
<file path=[Content_Types].xml><?xml version="1.0" encoding="utf-8"?>
<Types xmlns="http://schemas.openxmlformats.org/package/2006/content-types">
  <Default Extension="xml" ContentType="application/xml"/>
  <Default Extension="wmf" ContentType="image/x-wmf"/>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outlineLvl w:val="9"/>
        <w:rPr>
          <w:rFonts w:hint="default" w:ascii="Times New Roman" w:hAnsi="Times New Roman" w:eastAsia="宋体" w:cs="Times New Roman"/>
          <w:b/>
          <w:bCs/>
          <w:color w:val="0000FF"/>
          <w:sz w:val="48"/>
          <w:szCs w:val="48"/>
          <w:lang w:val="en-US" w:eastAsia="zh-CN"/>
        </w:rPr>
      </w:pPr>
    </w:p>
    <w:p>
      <w:pPr>
        <w:spacing w:line="360" w:lineRule="auto"/>
        <w:jc w:val="center"/>
        <w:rPr>
          <w:rFonts w:hint="default" w:ascii="Times New Roman" w:hAnsi="Times New Roman" w:eastAsia="宋体" w:cs="Times New Roman"/>
          <w:b/>
          <w:color w:val="0000FF"/>
          <w:sz w:val="44"/>
          <w:szCs w:val="44"/>
          <w:lang w:val="en-US" w:eastAsia="zh-CN"/>
        </w:rPr>
      </w:pPr>
    </w:p>
    <w:p>
      <w:pPr>
        <w:spacing w:line="360" w:lineRule="auto"/>
        <w:jc w:val="center"/>
        <w:rPr>
          <w:rFonts w:hint="default" w:ascii="Times New Roman" w:hAnsi="Times New Roman" w:eastAsia="宋体" w:cs="Times New Roman"/>
          <w:b/>
          <w:color w:val="000000" w:themeColor="text1"/>
          <w:sz w:val="44"/>
          <w:szCs w:val="44"/>
          <w:lang w:val="en-US" w:eastAsia="zh-CN"/>
          <w14:textFill>
            <w14:solidFill>
              <w14:schemeClr w14:val="tx1"/>
            </w14:solidFill>
          </w14:textFill>
        </w:rPr>
      </w:pPr>
    </w:p>
    <w:p>
      <w:pPr>
        <w:spacing w:line="360" w:lineRule="auto"/>
        <w:jc w:val="center"/>
        <w:rPr>
          <w:rFonts w:hint="default" w:ascii="Times New Roman" w:hAnsi="Times New Roman" w:eastAsia="宋体" w:cs="Times New Roman"/>
          <w:b/>
          <w:color w:val="000000" w:themeColor="text1"/>
          <w:sz w:val="44"/>
          <w:szCs w:val="44"/>
          <w:lang w:val="en-US" w:eastAsia="zh-CN"/>
          <w14:textFill>
            <w14:solidFill>
              <w14:schemeClr w14:val="tx1"/>
            </w14:solidFill>
          </w14:textFill>
        </w:rPr>
      </w:pPr>
    </w:p>
    <w:p>
      <w:pPr>
        <w:spacing w:line="360" w:lineRule="auto"/>
        <w:jc w:val="center"/>
        <w:rPr>
          <w:rFonts w:hint="default" w:ascii="Times New Roman" w:hAnsi="Times New Roman" w:eastAsia="宋体" w:cs="Times New Roman"/>
          <w:b/>
          <w:color w:val="000000" w:themeColor="text1"/>
          <w:sz w:val="44"/>
          <w:szCs w:val="44"/>
          <w14:textFill>
            <w14:solidFill>
              <w14:schemeClr w14:val="tx1"/>
            </w14:solidFill>
          </w14:textFill>
        </w:rPr>
      </w:pPr>
      <w:r>
        <w:rPr>
          <w:rFonts w:hint="default" w:ascii="Times New Roman" w:hAnsi="Times New Roman" w:eastAsia="宋体" w:cs="Times New Roman"/>
          <w:b/>
          <w:color w:val="000000" w:themeColor="text1"/>
          <w:sz w:val="44"/>
          <w:szCs w:val="44"/>
          <w:lang w:eastAsia="zh-CN"/>
          <w14:textFill>
            <w14:solidFill>
              <w14:schemeClr w14:val="tx1"/>
            </w14:solidFill>
          </w14:textFill>
        </w:rPr>
        <w:t>优倍特模塑科技生产项目</w:t>
      </w:r>
      <w:r>
        <w:rPr>
          <w:rFonts w:hint="default" w:ascii="Times New Roman" w:hAnsi="Times New Roman" w:eastAsia="宋体" w:cs="Times New Roman"/>
          <w:b/>
          <w:color w:val="000000" w:themeColor="text1"/>
          <w:sz w:val="44"/>
          <w:szCs w:val="44"/>
          <w14:textFill>
            <w14:solidFill>
              <w14:schemeClr w14:val="tx1"/>
            </w14:solidFill>
          </w14:textFill>
        </w:rPr>
        <w:t>竣工环境保护</w:t>
      </w:r>
    </w:p>
    <w:p>
      <w:pPr>
        <w:spacing w:line="360" w:lineRule="auto"/>
        <w:jc w:val="center"/>
        <w:rPr>
          <w:rFonts w:hint="default" w:ascii="Times New Roman" w:hAnsi="Times New Roman" w:eastAsia="宋体" w:cs="Times New Roman"/>
          <w:b/>
          <w:color w:val="000000" w:themeColor="text1"/>
          <w:sz w:val="44"/>
          <w:szCs w:val="44"/>
          <w14:textFill>
            <w14:solidFill>
              <w14:schemeClr w14:val="tx1"/>
            </w14:solidFill>
          </w14:textFill>
        </w:rPr>
      </w:pPr>
      <w:r>
        <w:rPr>
          <w:rFonts w:hint="default" w:ascii="Times New Roman" w:hAnsi="Times New Roman" w:eastAsia="宋体" w:cs="Times New Roman"/>
          <w:b/>
          <w:color w:val="000000" w:themeColor="text1"/>
          <w:sz w:val="44"/>
          <w:szCs w:val="44"/>
          <w14:textFill>
            <w14:solidFill>
              <w14:schemeClr w14:val="tx1"/>
            </w14:solidFill>
          </w14:textFill>
        </w:rPr>
        <w:t>验收监测报告表</w:t>
      </w:r>
    </w:p>
    <w:p>
      <w:pPr>
        <w:jc w:val="center"/>
        <w:rPr>
          <w:rFonts w:hint="default" w:ascii="Times New Roman" w:hAnsi="Times New Roman" w:eastAsia="宋体" w:cs="Times New Roman"/>
          <w:color w:val="000000" w:themeColor="text1"/>
          <w:sz w:val="28"/>
          <w14:textFill>
            <w14:solidFill>
              <w14:schemeClr w14:val="tx1"/>
            </w14:solidFill>
          </w14:textFill>
        </w:rPr>
      </w:pPr>
    </w:p>
    <w:p>
      <w:pPr>
        <w:pStyle w:val="21"/>
        <w:rPr>
          <w:rFonts w:hint="default" w:ascii="Times New Roman" w:hAnsi="Times New Roman" w:eastAsia="宋体" w:cs="Times New Roman"/>
          <w:color w:val="000000" w:themeColor="text1"/>
          <w14:textFill>
            <w14:solidFill>
              <w14:schemeClr w14:val="tx1"/>
            </w14:solidFill>
          </w14:textFill>
        </w:rPr>
      </w:pPr>
    </w:p>
    <w:p>
      <w:pPr>
        <w:jc w:val="center"/>
        <w:rPr>
          <w:rFonts w:hint="default" w:ascii="Times New Roman" w:hAnsi="Times New Roman" w:eastAsia="宋体" w:cs="Times New Roman"/>
          <w:color w:val="000000" w:themeColor="text1"/>
          <w:sz w:val="28"/>
          <w14:textFill>
            <w14:solidFill>
              <w14:schemeClr w14:val="tx1"/>
            </w14:solidFill>
          </w14:textFill>
        </w:rPr>
      </w:pPr>
    </w:p>
    <w:p>
      <w:pPr>
        <w:jc w:val="center"/>
        <w:rPr>
          <w:rFonts w:hint="default" w:ascii="Times New Roman" w:hAnsi="Times New Roman" w:eastAsia="宋体" w:cs="Times New Roman"/>
          <w:color w:val="000000" w:themeColor="text1"/>
          <w:sz w:val="28"/>
          <w14:textFill>
            <w14:solidFill>
              <w14:schemeClr w14:val="tx1"/>
            </w14:solidFill>
          </w14:textFill>
        </w:rPr>
      </w:pPr>
    </w:p>
    <w:p>
      <w:pPr>
        <w:pStyle w:val="21"/>
        <w:rPr>
          <w:rFonts w:hint="default" w:ascii="Times New Roman" w:hAnsi="Times New Roman" w:eastAsia="宋体" w:cs="Times New Roman"/>
          <w:color w:val="000000" w:themeColor="text1"/>
          <w:sz w:val="28"/>
          <w14:textFill>
            <w14:solidFill>
              <w14:schemeClr w14:val="tx1"/>
            </w14:solidFill>
          </w14:textFill>
        </w:rPr>
      </w:pPr>
    </w:p>
    <w:p>
      <w:pPr>
        <w:pStyle w:val="21"/>
        <w:rPr>
          <w:rFonts w:hint="default" w:ascii="Times New Roman" w:hAnsi="Times New Roman" w:eastAsia="宋体" w:cs="Times New Roman"/>
          <w:color w:val="000000" w:themeColor="text1"/>
          <w:sz w:val="28"/>
          <w14:textFill>
            <w14:solidFill>
              <w14:schemeClr w14:val="tx1"/>
            </w14:solidFill>
          </w14:textFill>
        </w:rPr>
      </w:pPr>
    </w:p>
    <w:p>
      <w:pPr>
        <w:pStyle w:val="2"/>
        <w:rPr>
          <w:rFonts w:hint="default" w:ascii="Times New Roman" w:hAnsi="Times New Roman" w:eastAsia="宋体" w:cs="Times New Roman"/>
          <w:color w:val="000000" w:themeColor="text1"/>
          <w14:textFill>
            <w14:solidFill>
              <w14:schemeClr w14:val="tx1"/>
            </w14:solidFill>
          </w14:textFill>
        </w:rPr>
      </w:pPr>
    </w:p>
    <w:p>
      <w:pPr>
        <w:pStyle w:val="21"/>
        <w:ind w:firstLine="164"/>
        <w:rPr>
          <w:rFonts w:hint="default" w:ascii="Times New Roman" w:hAnsi="Times New Roman" w:eastAsia="宋体" w:cs="Times New Roman"/>
          <w:color w:val="000000" w:themeColor="text1"/>
          <w14:textFill>
            <w14:solidFill>
              <w14:schemeClr w14:val="tx1"/>
            </w14:solidFill>
          </w14:textFill>
        </w:rPr>
      </w:pPr>
    </w:p>
    <w:p>
      <w:pPr>
        <w:pStyle w:val="29"/>
        <w:rPr>
          <w:rFonts w:hint="default" w:ascii="Times New Roman" w:hAnsi="Times New Roman" w:eastAsia="宋体" w:cs="Times New Roman"/>
          <w:color w:val="000000" w:themeColor="text1"/>
          <w:sz w:val="28"/>
          <w14:textFill>
            <w14:solidFill>
              <w14:schemeClr w14:val="tx1"/>
            </w14:solidFill>
          </w14:textFill>
        </w:rPr>
      </w:pPr>
    </w:p>
    <w:p>
      <w:pPr>
        <w:pStyle w:val="29"/>
        <w:rPr>
          <w:rFonts w:hint="default" w:ascii="Times New Roman" w:hAnsi="Times New Roman" w:eastAsia="宋体" w:cs="Times New Roman"/>
          <w:color w:val="000000" w:themeColor="text1"/>
          <w:sz w:val="28"/>
          <w14:textFill>
            <w14:solidFill>
              <w14:schemeClr w14:val="tx1"/>
            </w14:solidFill>
          </w14:textFill>
        </w:rPr>
      </w:pPr>
    </w:p>
    <w:p>
      <w:pPr>
        <w:pStyle w:val="29"/>
        <w:rPr>
          <w:rFonts w:hint="default" w:ascii="Times New Roman" w:hAnsi="Times New Roman" w:eastAsia="宋体" w:cs="Times New Roman"/>
          <w:color w:val="000000" w:themeColor="text1"/>
          <w:sz w:val="28"/>
          <w14:textFill>
            <w14:solidFill>
              <w14:schemeClr w14:val="tx1"/>
            </w14:solidFill>
          </w14:textFill>
        </w:rPr>
      </w:pPr>
    </w:p>
    <w:p>
      <w:pPr>
        <w:pStyle w:val="29"/>
        <w:rPr>
          <w:rFonts w:hint="default" w:ascii="Times New Roman" w:hAnsi="Times New Roman" w:eastAsia="宋体" w:cs="Times New Roman"/>
          <w:color w:val="000000" w:themeColor="text1"/>
          <w:sz w:val="28"/>
          <w14:textFill>
            <w14:solidFill>
              <w14:schemeClr w14:val="tx1"/>
            </w14:solidFill>
          </w14:textFill>
        </w:rPr>
      </w:pPr>
    </w:p>
    <w:p>
      <w:pPr>
        <w:pStyle w:val="29"/>
        <w:rPr>
          <w:rFonts w:hint="default" w:ascii="Times New Roman" w:hAnsi="Times New Roman" w:eastAsia="宋体" w:cs="Times New Roman"/>
          <w:color w:val="000000" w:themeColor="text1"/>
          <w:sz w:val="28"/>
          <w14:textFill>
            <w14:solidFill>
              <w14:schemeClr w14:val="tx1"/>
            </w14:solidFill>
          </w14:textFill>
        </w:rPr>
      </w:pPr>
    </w:p>
    <w:p>
      <w:pPr>
        <w:pStyle w:val="2"/>
        <w:rPr>
          <w:rFonts w:hint="default" w:ascii="Times New Roman" w:hAnsi="Times New Roman" w:eastAsia="宋体" w:cs="Times New Roman"/>
          <w:color w:val="000000" w:themeColor="text1"/>
          <w:sz w:val="28"/>
          <w14:textFill>
            <w14:solidFill>
              <w14:schemeClr w14:val="tx1"/>
            </w14:solidFill>
          </w14:textFill>
        </w:rPr>
      </w:pPr>
    </w:p>
    <w:p>
      <w:pPr>
        <w:pStyle w:val="2"/>
        <w:rPr>
          <w:rFonts w:hint="default" w:ascii="Times New Roman" w:hAnsi="Times New Roman" w:eastAsia="宋体" w:cs="Times New Roman"/>
          <w:color w:val="000000" w:themeColor="text1"/>
          <w:sz w:val="28"/>
          <w14:textFill>
            <w14:solidFill>
              <w14:schemeClr w14:val="tx1"/>
            </w14:solidFill>
          </w14:textFill>
        </w:rPr>
      </w:pPr>
    </w:p>
    <w:p>
      <w:pPr>
        <w:pStyle w:val="2"/>
        <w:rPr>
          <w:rFonts w:hint="default" w:ascii="Times New Roman" w:hAnsi="Times New Roman" w:eastAsia="宋体" w:cs="Times New Roman"/>
          <w:color w:val="000000" w:themeColor="text1"/>
          <w:sz w:val="28"/>
          <w14:textFill>
            <w14:solidFill>
              <w14:schemeClr w14:val="tx1"/>
            </w14:solidFill>
          </w14:textFill>
        </w:rPr>
      </w:pPr>
    </w:p>
    <w:p>
      <w:pPr>
        <w:pStyle w:val="2"/>
        <w:rPr>
          <w:rFonts w:hint="default" w:ascii="Times New Roman" w:hAnsi="Times New Roman" w:eastAsia="宋体" w:cs="Times New Roman"/>
          <w:color w:val="000000" w:themeColor="text1"/>
          <w:sz w:val="28"/>
          <w14:textFill>
            <w14:solidFill>
              <w14:schemeClr w14:val="tx1"/>
            </w14:solidFill>
          </w14:textFill>
        </w:rPr>
      </w:pPr>
    </w:p>
    <w:p>
      <w:pPr>
        <w:pStyle w:val="29"/>
        <w:rPr>
          <w:rFonts w:hint="default" w:ascii="Times New Roman" w:hAnsi="Times New Roman" w:eastAsia="宋体" w:cs="Times New Roman"/>
          <w:color w:val="000000" w:themeColor="text1"/>
          <w14:textFill>
            <w14:solidFill>
              <w14:schemeClr w14:val="tx1"/>
            </w14:solidFill>
          </w14:textFill>
        </w:rPr>
      </w:pPr>
    </w:p>
    <w:p>
      <w:pPr>
        <w:ind w:firstLine="720" w:firstLineChars="200"/>
        <w:rPr>
          <w:rFonts w:hint="default" w:ascii="Times New Roman" w:hAnsi="Times New Roman" w:eastAsia="宋体" w:cs="Times New Roman"/>
          <w:color w:val="000000" w:themeColor="text1"/>
          <w:sz w:val="36"/>
          <w:szCs w:val="36"/>
          <w:u w:val="single"/>
          <w:lang w:eastAsia="zh-CN"/>
          <w14:textFill>
            <w14:solidFill>
              <w14:schemeClr w14:val="tx1"/>
            </w14:solidFill>
          </w14:textFill>
        </w:rPr>
      </w:pPr>
      <w:r>
        <w:rPr>
          <w:rFonts w:hint="default" w:ascii="Times New Roman" w:hAnsi="Times New Roman" w:eastAsia="宋体" w:cs="Times New Roman"/>
          <w:color w:val="000000" w:themeColor="text1"/>
          <w:sz w:val="36"/>
          <w:szCs w:val="36"/>
          <w14:textFill>
            <w14:solidFill>
              <w14:schemeClr w14:val="tx1"/>
            </w14:solidFill>
          </w14:textFill>
        </w:rPr>
        <w:t>建设单位：</w:t>
      </w:r>
      <w:r>
        <w:rPr>
          <w:rFonts w:hint="default" w:ascii="Times New Roman" w:hAnsi="Times New Roman" w:eastAsia="宋体" w:cs="Times New Roman"/>
          <w:color w:val="000000" w:themeColor="text1"/>
          <w:sz w:val="36"/>
          <w:szCs w:val="36"/>
          <w:u w:val="single"/>
          <w:lang w:val="en-US" w:eastAsia="zh-CN"/>
          <w14:textFill>
            <w14:solidFill>
              <w14:schemeClr w14:val="tx1"/>
            </w14:solidFill>
          </w14:textFill>
        </w:rPr>
        <w:t>福建优倍特模塑科技有限公司</w:t>
      </w:r>
    </w:p>
    <w:p>
      <w:pPr>
        <w:ind w:firstLine="720" w:firstLineChars="200"/>
        <w:rPr>
          <w:rFonts w:hint="default" w:ascii="Times New Roman" w:hAnsi="Times New Roman" w:eastAsia="宋体" w:cs="Times New Roman"/>
          <w:color w:val="000000" w:themeColor="text1"/>
          <w:sz w:val="36"/>
          <w:szCs w:val="36"/>
          <w:u w:val="single"/>
          <w:lang w:val="en-US" w:eastAsia="zh-CN"/>
          <w14:textFill>
            <w14:solidFill>
              <w14:schemeClr w14:val="tx1"/>
            </w14:solidFill>
          </w14:textFill>
        </w:rPr>
      </w:pPr>
      <w:r>
        <w:rPr>
          <w:rFonts w:hint="default" w:ascii="Times New Roman" w:hAnsi="Times New Roman" w:eastAsia="宋体" w:cs="Times New Roman"/>
          <w:color w:val="000000" w:themeColor="text1"/>
          <w:sz w:val="36"/>
          <w:szCs w:val="36"/>
          <w14:textFill>
            <w14:solidFill>
              <w14:schemeClr w14:val="tx1"/>
            </w14:solidFill>
          </w14:textFill>
        </w:rPr>
        <w:t>编制单位：</w:t>
      </w:r>
      <w:r>
        <w:rPr>
          <w:rFonts w:hint="default" w:ascii="Times New Roman" w:hAnsi="Times New Roman" w:eastAsia="宋体" w:cs="Times New Roman"/>
          <w:color w:val="000000" w:themeColor="text1"/>
          <w:sz w:val="36"/>
          <w:szCs w:val="36"/>
          <w:u w:val="single"/>
          <w:lang w:val="en-US" w:eastAsia="zh-CN"/>
          <w14:textFill>
            <w14:solidFill>
              <w14:schemeClr w14:val="tx1"/>
            </w14:solidFill>
          </w14:textFill>
        </w:rPr>
        <w:t>福建优倍特模塑科技有限公司</w:t>
      </w:r>
    </w:p>
    <w:p>
      <w:pPr>
        <w:pStyle w:val="29"/>
        <w:rPr>
          <w:rFonts w:hint="default" w:ascii="Times New Roman" w:hAnsi="Times New Roman" w:eastAsia="宋体" w:cs="Times New Roman"/>
          <w:color w:val="000000" w:themeColor="text1"/>
          <w:sz w:val="28"/>
          <w14:textFill>
            <w14:solidFill>
              <w14:schemeClr w14:val="tx1"/>
            </w14:solidFill>
          </w14:textFill>
        </w:rPr>
      </w:pPr>
    </w:p>
    <w:p>
      <w:pPr>
        <w:pStyle w:val="29"/>
        <w:rPr>
          <w:rFonts w:hint="default" w:ascii="Times New Roman" w:hAnsi="Times New Roman" w:eastAsia="宋体" w:cs="Times New Roman"/>
          <w:color w:val="000000" w:themeColor="text1"/>
          <w:sz w:val="28"/>
          <w14:textFill>
            <w14:solidFill>
              <w14:schemeClr w14:val="tx1"/>
            </w14:solidFill>
          </w14:textFill>
        </w:rPr>
      </w:pPr>
    </w:p>
    <w:p>
      <w:pPr>
        <w:pStyle w:val="29"/>
        <w:rPr>
          <w:rFonts w:hint="default" w:ascii="Times New Roman" w:hAnsi="Times New Roman" w:eastAsia="宋体" w:cs="Times New Roman"/>
          <w:color w:val="000000" w:themeColor="text1"/>
          <w:sz w:val="28"/>
          <w14:textFill>
            <w14:solidFill>
              <w14:schemeClr w14:val="tx1"/>
            </w14:solidFill>
          </w14:textFill>
        </w:rPr>
      </w:pPr>
    </w:p>
    <w:p>
      <w:pPr>
        <w:pStyle w:val="29"/>
        <w:rPr>
          <w:rFonts w:hint="default" w:ascii="Times New Roman" w:hAnsi="Times New Roman" w:eastAsia="宋体" w:cs="Times New Roman"/>
          <w:color w:val="000000" w:themeColor="text1"/>
          <w:sz w:val="28"/>
          <w14:textFill>
            <w14:solidFill>
              <w14:schemeClr w14:val="tx1"/>
            </w14:solidFill>
          </w14:textFill>
        </w:rPr>
      </w:pPr>
    </w:p>
    <w:p>
      <w:pPr>
        <w:pStyle w:val="29"/>
        <w:rPr>
          <w:rFonts w:hint="default" w:ascii="Times New Roman" w:hAnsi="Times New Roman" w:eastAsia="宋体" w:cs="Times New Roman"/>
          <w:color w:val="000000" w:themeColor="text1"/>
          <w:sz w:val="28"/>
          <w14:textFill>
            <w14:solidFill>
              <w14:schemeClr w14:val="tx1"/>
            </w14:solidFill>
          </w14:textFill>
        </w:rPr>
      </w:pPr>
    </w:p>
    <w:p>
      <w:pPr>
        <w:pStyle w:val="29"/>
        <w:rPr>
          <w:rFonts w:hint="default" w:ascii="Times New Roman" w:hAnsi="Times New Roman" w:eastAsia="宋体" w:cs="Times New Roman"/>
          <w:color w:val="000000" w:themeColor="text1"/>
          <w:sz w:val="28"/>
          <w14:textFill>
            <w14:solidFill>
              <w14:schemeClr w14:val="tx1"/>
            </w14:solidFill>
          </w14:textFill>
        </w:rPr>
      </w:pPr>
    </w:p>
    <w:p>
      <w:pPr>
        <w:jc w:val="center"/>
        <w:rPr>
          <w:rFonts w:hint="default" w:ascii="Times New Roman" w:hAnsi="Times New Roman" w:eastAsia="宋体" w:cs="Times New Roman"/>
          <w:bCs/>
          <w:color w:val="000000" w:themeColor="text1"/>
          <w:sz w:val="32"/>
          <w:szCs w:val="32"/>
          <w14:textFill>
            <w14:solidFill>
              <w14:schemeClr w14:val="tx1"/>
            </w14:solidFill>
          </w14:textFill>
        </w:rPr>
      </w:pPr>
      <w:r>
        <w:rPr>
          <w:rFonts w:hint="default" w:ascii="Times New Roman" w:hAnsi="Times New Roman" w:eastAsia="宋体" w:cs="Times New Roman"/>
          <w:bCs/>
          <w:color w:val="000000" w:themeColor="text1"/>
          <w:sz w:val="32"/>
          <w:szCs w:val="32"/>
          <w14:textFill>
            <w14:solidFill>
              <w14:schemeClr w14:val="tx1"/>
            </w14:solidFill>
          </w14:textFill>
        </w:rPr>
        <w:t>202</w:t>
      </w:r>
      <w:r>
        <w:rPr>
          <w:rFonts w:hint="default" w:ascii="Times New Roman" w:hAnsi="Times New Roman" w:eastAsia="宋体" w:cs="Times New Roman"/>
          <w:bCs/>
          <w:color w:val="000000" w:themeColor="text1"/>
          <w:sz w:val="32"/>
          <w:szCs w:val="32"/>
          <w:lang w:val="en-US" w:eastAsia="zh-CN"/>
          <w14:textFill>
            <w14:solidFill>
              <w14:schemeClr w14:val="tx1"/>
            </w14:solidFill>
          </w14:textFill>
        </w:rPr>
        <w:t>3</w:t>
      </w:r>
      <w:r>
        <w:rPr>
          <w:rFonts w:hint="default" w:ascii="Times New Roman" w:hAnsi="Times New Roman" w:eastAsia="宋体" w:cs="Times New Roman"/>
          <w:bCs/>
          <w:color w:val="000000" w:themeColor="text1"/>
          <w:sz w:val="32"/>
          <w:szCs w:val="32"/>
          <w14:textFill>
            <w14:solidFill>
              <w14:schemeClr w14:val="tx1"/>
            </w14:solidFill>
          </w14:textFill>
        </w:rPr>
        <w:t>年</w:t>
      </w:r>
      <w:r>
        <w:rPr>
          <w:rFonts w:hint="default" w:ascii="Times New Roman" w:hAnsi="Times New Roman" w:eastAsia="宋体" w:cs="Times New Roman"/>
          <w:bCs/>
          <w:color w:val="000000" w:themeColor="text1"/>
          <w:sz w:val="32"/>
          <w:szCs w:val="32"/>
          <w:lang w:val="en-US" w:eastAsia="zh-CN"/>
          <w14:textFill>
            <w14:solidFill>
              <w14:schemeClr w14:val="tx1"/>
            </w14:solidFill>
          </w14:textFill>
        </w:rPr>
        <w:t>5</w:t>
      </w:r>
      <w:r>
        <w:rPr>
          <w:rFonts w:hint="default" w:ascii="Times New Roman" w:hAnsi="Times New Roman" w:eastAsia="宋体" w:cs="Times New Roman"/>
          <w:bCs/>
          <w:color w:val="000000" w:themeColor="text1"/>
          <w:sz w:val="32"/>
          <w:szCs w:val="32"/>
          <w14:textFill>
            <w14:solidFill>
              <w14:schemeClr w14:val="tx1"/>
            </w14:solidFill>
          </w14:textFill>
        </w:rPr>
        <w:t>月</w:t>
      </w:r>
    </w:p>
    <w:p>
      <w:pPr>
        <w:spacing w:line="360" w:lineRule="auto"/>
        <w:rPr>
          <w:rFonts w:hint="default" w:ascii="Times New Roman" w:hAnsi="Times New Roman" w:eastAsia="宋体" w:cs="Times New Roman"/>
          <w:bCs/>
          <w:color w:val="0000FF"/>
          <w:sz w:val="28"/>
        </w:rPr>
        <w:sectPr>
          <w:footerReference r:id="rId3" w:type="default"/>
          <w:pgSz w:w="11906" w:h="16838"/>
          <w:pgMar w:top="1440" w:right="1440" w:bottom="1440" w:left="1701" w:header="709" w:footer="709" w:gutter="0"/>
          <w:pgBorders>
            <w:top w:val="none" w:sz="0" w:space="0"/>
            <w:left w:val="none" w:sz="0" w:space="0"/>
            <w:bottom w:val="none" w:sz="0" w:space="0"/>
            <w:right w:val="none" w:sz="0" w:space="0"/>
          </w:pgBorders>
          <w:pgNumType w:start="1"/>
          <w:cols w:space="0" w:num="1"/>
          <w:docGrid w:linePitch="360" w:charSpace="0"/>
        </w:sectPr>
      </w:pPr>
    </w:p>
    <w:p>
      <w:pPr>
        <w:spacing w:line="360" w:lineRule="auto"/>
        <w:rPr>
          <w:rFonts w:hint="default" w:ascii="Times New Roman" w:hAnsi="Times New Roman" w:eastAsia="宋体" w:cs="Times New Roman"/>
          <w:bCs/>
          <w:color w:val="000000" w:themeColor="text1"/>
          <w:sz w:val="28"/>
          <w:szCs w:val="28"/>
          <w:lang w:eastAsia="zh-CN"/>
          <w14:textFill>
            <w14:solidFill>
              <w14:schemeClr w14:val="tx1"/>
            </w14:solidFill>
          </w14:textFill>
        </w:rPr>
      </w:pPr>
      <w:r>
        <w:rPr>
          <w:rFonts w:hint="default" w:ascii="Times New Roman" w:hAnsi="Times New Roman" w:eastAsia="宋体" w:cs="Times New Roman"/>
          <w:bCs/>
          <w:color w:val="000000" w:themeColor="text1"/>
          <w:sz w:val="28"/>
          <w14:textFill>
            <w14:solidFill>
              <w14:schemeClr w14:val="tx1"/>
            </w14:solidFill>
          </w14:textFill>
        </w:rPr>
        <w:t>建设</w:t>
      </w:r>
      <w:r>
        <w:rPr>
          <w:rFonts w:hint="default" w:ascii="Times New Roman" w:hAnsi="Times New Roman" w:eastAsia="宋体" w:cs="Times New Roman"/>
          <w:bCs/>
          <w:color w:val="000000" w:themeColor="text1"/>
          <w:sz w:val="28"/>
          <w:szCs w:val="28"/>
          <w14:textFill>
            <w14:solidFill>
              <w14:schemeClr w14:val="tx1"/>
            </w14:solidFill>
          </w14:textFill>
        </w:rPr>
        <w:t>单位法人代表:</w:t>
      </w:r>
      <w:r>
        <w:rPr>
          <w:rFonts w:hint="default" w:ascii="Times New Roman" w:hAnsi="Times New Roman" w:eastAsia="宋体" w:cs="Times New Roman"/>
          <w:bCs/>
          <w:color w:val="000000" w:themeColor="text1"/>
          <w:sz w:val="28"/>
          <w:szCs w:val="28"/>
          <w:lang w:val="en-US" w:eastAsia="zh-CN"/>
          <w14:textFill>
            <w14:solidFill>
              <w14:schemeClr w14:val="tx1"/>
            </w14:solidFill>
          </w14:textFill>
        </w:rPr>
        <w:t>杨泽金</w:t>
      </w:r>
    </w:p>
    <w:p>
      <w:pPr>
        <w:spacing w:line="360" w:lineRule="auto"/>
        <w:rPr>
          <w:rFonts w:hint="default" w:ascii="Times New Roman" w:hAnsi="Times New Roman" w:eastAsia="宋体" w:cs="Times New Roman"/>
          <w:bCs/>
          <w:color w:val="000000" w:themeColor="text1"/>
          <w:sz w:val="28"/>
          <w:szCs w:val="28"/>
          <w:lang w:eastAsia="zh-CN"/>
          <w14:textFill>
            <w14:solidFill>
              <w14:schemeClr w14:val="tx1"/>
            </w14:solidFill>
          </w14:textFill>
        </w:rPr>
      </w:pPr>
    </w:p>
    <w:p>
      <w:pPr>
        <w:spacing w:line="360" w:lineRule="auto"/>
        <w:rPr>
          <w:rFonts w:hint="default" w:ascii="Times New Roman" w:hAnsi="Times New Roman" w:eastAsia="宋体" w:cs="Times New Roman"/>
          <w:bCs/>
          <w:color w:val="000000" w:themeColor="text1"/>
          <w:sz w:val="28"/>
          <w:szCs w:val="28"/>
          <w:lang w:eastAsia="zh-CN"/>
          <w14:textFill>
            <w14:solidFill>
              <w14:schemeClr w14:val="tx1"/>
            </w14:solidFill>
          </w14:textFill>
        </w:rPr>
      </w:pPr>
      <w:r>
        <w:rPr>
          <w:rFonts w:hint="default" w:ascii="Times New Roman" w:hAnsi="Times New Roman" w:eastAsia="宋体" w:cs="Times New Roman"/>
          <w:bCs/>
          <w:color w:val="000000" w:themeColor="text1"/>
          <w:sz w:val="28"/>
          <w:szCs w:val="28"/>
          <w14:textFill>
            <w14:solidFill>
              <w14:schemeClr w14:val="tx1"/>
            </w14:solidFill>
          </w14:textFill>
        </w:rPr>
        <w:t>编制单位法人代表:</w:t>
      </w:r>
      <w:r>
        <w:rPr>
          <w:rFonts w:hint="default" w:ascii="Times New Roman" w:hAnsi="Times New Roman" w:eastAsia="宋体" w:cs="Times New Roman"/>
          <w:bCs/>
          <w:color w:val="000000" w:themeColor="text1"/>
          <w:sz w:val="28"/>
          <w:szCs w:val="28"/>
          <w:lang w:val="en-US" w:eastAsia="zh-CN"/>
          <w14:textFill>
            <w14:solidFill>
              <w14:schemeClr w14:val="tx1"/>
            </w14:solidFill>
          </w14:textFill>
        </w:rPr>
        <w:t>杨泽金</w:t>
      </w:r>
    </w:p>
    <w:p>
      <w:pPr>
        <w:spacing w:line="360" w:lineRule="auto"/>
        <w:rPr>
          <w:rFonts w:hint="default" w:ascii="Times New Roman" w:hAnsi="Times New Roman" w:eastAsia="宋体" w:cs="Times New Roman"/>
          <w:bCs/>
          <w:color w:val="000000" w:themeColor="text1"/>
          <w:sz w:val="28"/>
          <w:szCs w:val="28"/>
          <w:lang w:eastAsia="zh-CN"/>
          <w14:textFill>
            <w14:solidFill>
              <w14:schemeClr w14:val="tx1"/>
            </w14:solidFill>
          </w14:textFill>
        </w:rPr>
      </w:pPr>
    </w:p>
    <w:p>
      <w:pPr>
        <w:spacing w:line="360" w:lineRule="auto"/>
        <w:rPr>
          <w:rFonts w:hint="default" w:ascii="Times New Roman" w:hAnsi="Times New Roman" w:eastAsia="宋体" w:cs="Times New Roman"/>
          <w:bCs/>
          <w:color w:val="000000" w:themeColor="text1"/>
          <w:sz w:val="28"/>
          <w:szCs w:val="28"/>
          <w:lang w:val="en-US" w:eastAsia="zh-CN"/>
          <w14:textFill>
            <w14:solidFill>
              <w14:schemeClr w14:val="tx1"/>
            </w14:solidFill>
          </w14:textFill>
        </w:rPr>
      </w:pPr>
      <w:r>
        <w:rPr>
          <w:rFonts w:hint="default" w:ascii="Times New Roman" w:hAnsi="Times New Roman" w:eastAsia="宋体" w:cs="Times New Roman"/>
          <w:bCs/>
          <w:color w:val="000000" w:themeColor="text1"/>
          <w:sz w:val="28"/>
          <w:szCs w:val="28"/>
          <w14:textFill>
            <w14:solidFill>
              <w14:schemeClr w14:val="tx1"/>
            </w14:solidFill>
          </w14:textFill>
        </w:rPr>
        <w:t>项目负责人:</w:t>
      </w:r>
      <w:r>
        <w:rPr>
          <w:rFonts w:hint="default" w:ascii="Times New Roman" w:hAnsi="Times New Roman" w:eastAsia="宋体" w:cs="Times New Roman"/>
          <w:bCs/>
          <w:color w:val="000000" w:themeColor="text1"/>
          <w:sz w:val="28"/>
          <w:szCs w:val="28"/>
          <w:lang w:eastAsia="zh-CN"/>
          <w14:textFill>
            <w14:solidFill>
              <w14:schemeClr w14:val="tx1"/>
            </w14:solidFill>
          </w14:textFill>
        </w:rPr>
        <w:t>郑善科</w:t>
      </w:r>
    </w:p>
    <w:p>
      <w:pPr>
        <w:spacing w:line="360" w:lineRule="auto"/>
        <w:rPr>
          <w:rFonts w:hint="default" w:ascii="Times New Roman" w:hAnsi="Times New Roman" w:eastAsia="宋体" w:cs="Times New Roman"/>
          <w:bCs/>
          <w:color w:val="000000" w:themeColor="text1"/>
          <w:sz w:val="28"/>
          <w:szCs w:val="28"/>
          <w:lang w:val="en-US" w:eastAsia="zh-CN"/>
          <w14:textFill>
            <w14:solidFill>
              <w14:schemeClr w14:val="tx1"/>
            </w14:solidFill>
          </w14:textFill>
        </w:rPr>
      </w:pPr>
    </w:p>
    <w:p>
      <w:pPr>
        <w:spacing w:line="360" w:lineRule="auto"/>
        <w:rPr>
          <w:rFonts w:hint="default" w:ascii="Times New Roman" w:hAnsi="Times New Roman" w:eastAsia="宋体" w:cs="Times New Roman"/>
          <w:bCs/>
          <w:color w:val="000000" w:themeColor="text1"/>
          <w:sz w:val="28"/>
          <w:szCs w:val="28"/>
          <w:lang w:eastAsia="zh-CN"/>
          <w14:textFill>
            <w14:solidFill>
              <w14:schemeClr w14:val="tx1"/>
            </w14:solidFill>
          </w14:textFill>
        </w:rPr>
      </w:pPr>
      <w:r>
        <w:rPr>
          <w:rFonts w:hint="default" w:ascii="Times New Roman" w:hAnsi="Times New Roman" w:eastAsia="宋体" w:cs="Times New Roman"/>
          <w:bCs/>
          <w:color w:val="000000" w:themeColor="text1"/>
          <w:sz w:val="28"/>
          <w:szCs w:val="28"/>
          <w14:textFill>
            <w14:solidFill>
              <w14:schemeClr w14:val="tx1"/>
            </w14:solidFill>
          </w14:textFill>
        </w:rPr>
        <w:t>填表人：</w:t>
      </w:r>
      <w:r>
        <w:rPr>
          <w:rFonts w:hint="default" w:ascii="Times New Roman" w:hAnsi="Times New Roman" w:eastAsia="宋体" w:cs="Times New Roman"/>
          <w:bCs/>
          <w:color w:val="000000" w:themeColor="text1"/>
          <w:sz w:val="28"/>
          <w:szCs w:val="28"/>
          <w:lang w:eastAsia="zh-CN"/>
          <w14:textFill>
            <w14:solidFill>
              <w14:schemeClr w14:val="tx1"/>
            </w14:solidFill>
          </w14:textFill>
        </w:rPr>
        <w:t>郑善科</w:t>
      </w:r>
    </w:p>
    <w:p>
      <w:pPr>
        <w:spacing w:line="360" w:lineRule="auto"/>
        <w:rPr>
          <w:rFonts w:hint="default" w:ascii="Times New Roman" w:hAnsi="Times New Roman" w:eastAsia="宋体" w:cs="Times New Roman"/>
          <w:color w:val="000000" w:themeColor="text1"/>
          <w:sz w:val="28"/>
          <w14:textFill>
            <w14:solidFill>
              <w14:schemeClr w14:val="tx1"/>
            </w14:solidFill>
          </w14:textFill>
        </w:rPr>
      </w:pPr>
      <w:r>
        <w:rPr>
          <w:rFonts w:hint="default" w:ascii="Times New Roman" w:hAnsi="Times New Roman" w:eastAsia="宋体" w:cs="Times New Roman"/>
          <w:color w:val="000000" w:themeColor="text1"/>
          <w:sz w:val="28"/>
          <w14:textFill>
            <w14:solidFill>
              <w14:schemeClr w14:val="tx1"/>
            </w14:solidFill>
          </w14:textFill>
        </w:rPr>
        <w:tab/>
      </w:r>
    </w:p>
    <w:p>
      <w:pPr>
        <w:pStyle w:val="2"/>
        <w:rPr>
          <w:rFonts w:hint="default" w:ascii="Times New Roman" w:hAnsi="Times New Roman" w:eastAsia="宋体" w:cs="Times New Roman"/>
          <w:color w:val="000000" w:themeColor="text1"/>
          <w:sz w:val="28"/>
          <w14:textFill>
            <w14:solidFill>
              <w14:schemeClr w14:val="tx1"/>
            </w14:solidFill>
          </w14:textFill>
        </w:rPr>
      </w:pPr>
    </w:p>
    <w:p>
      <w:pPr>
        <w:pStyle w:val="2"/>
        <w:rPr>
          <w:rFonts w:hint="default" w:ascii="Times New Roman" w:hAnsi="Times New Roman" w:eastAsia="宋体" w:cs="Times New Roman"/>
          <w:color w:val="000000" w:themeColor="text1"/>
          <w:sz w:val="28"/>
          <w14:textFill>
            <w14:solidFill>
              <w14:schemeClr w14:val="tx1"/>
            </w14:solidFill>
          </w14:textFill>
        </w:rPr>
      </w:pPr>
    </w:p>
    <w:p>
      <w:pPr>
        <w:pStyle w:val="2"/>
        <w:rPr>
          <w:rFonts w:hint="default" w:ascii="Times New Roman" w:hAnsi="Times New Roman" w:eastAsia="宋体" w:cs="Times New Roman"/>
          <w:color w:val="000000" w:themeColor="text1"/>
          <w:sz w:val="28"/>
          <w14:textFill>
            <w14:solidFill>
              <w14:schemeClr w14:val="tx1"/>
            </w14:solidFill>
          </w14:textFill>
        </w:rPr>
      </w:pPr>
    </w:p>
    <w:p>
      <w:pPr>
        <w:pStyle w:val="2"/>
        <w:rPr>
          <w:rFonts w:hint="default" w:ascii="Times New Roman" w:hAnsi="Times New Roman" w:eastAsia="宋体" w:cs="Times New Roman"/>
          <w:color w:val="000000" w:themeColor="text1"/>
          <w:sz w:val="28"/>
          <w14:textFill>
            <w14:solidFill>
              <w14:schemeClr w14:val="tx1"/>
            </w14:solidFill>
          </w14:textFill>
        </w:rPr>
      </w:pPr>
    </w:p>
    <w:p>
      <w:pPr>
        <w:pStyle w:val="2"/>
        <w:rPr>
          <w:rFonts w:hint="default" w:ascii="Times New Roman" w:hAnsi="Times New Roman" w:eastAsia="宋体" w:cs="Times New Roman"/>
          <w:color w:val="000000" w:themeColor="text1"/>
          <w:sz w:val="28"/>
          <w14:textFill>
            <w14:solidFill>
              <w14:schemeClr w14:val="tx1"/>
            </w14:solidFill>
          </w14:textFill>
        </w:rPr>
      </w:pPr>
    </w:p>
    <w:p>
      <w:pPr>
        <w:pStyle w:val="2"/>
        <w:rPr>
          <w:rFonts w:hint="default" w:ascii="Times New Roman" w:hAnsi="Times New Roman" w:eastAsia="宋体" w:cs="Times New Roman"/>
          <w:color w:val="000000" w:themeColor="text1"/>
          <w:sz w:val="28"/>
          <w14:textFill>
            <w14:solidFill>
              <w14:schemeClr w14:val="tx1"/>
            </w14:solidFill>
          </w14:textFill>
        </w:rPr>
      </w:pPr>
    </w:p>
    <w:p>
      <w:pPr>
        <w:pStyle w:val="2"/>
        <w:rPr>
          <w:rFonts w:hint="default" w:ascii="Times New Roman" w:hAnsi="Times New Roman" w:eastAsia="宋体" w:cs="Times New Roman"/>
          <w:color w:val="000000" w:themeColor="text1"/>
          <w:sz w:val="28"/>
          <w14:textFill>
            <w14:solidFill>
              <w14:schemeClr w14:val="tx1"/>
            </w14:solidFill>
          </w14:textFill>
        </w:rPr>
      </w:pPr>
    </w:p>
    <w:p>
      <w:pPr>
        <w:pStyle w:val="2"/>
        <w:rPr>
          <w:rFonts w:hint="default" w:ascii="Times New Roman" w:hAnsi="Times New Roman" w:eastAsia="宋体" w:cs="Times New Roman"/>
          <w:color w:val="000000" w:themeColor="text1"/>
          <w:sz w:val="28"/>
          <w14:textFill>
            <w14:solidFill>
              <w14:schemeClr w14:val="tx1"/>
            </w14:solidFill>
          </w14:textFill>
        </w:rPr>
      </w:pPr>
    </w:p>
    <w:p>
      <w:pPr>
        <w:pStyle w:val="2"/>
        <w:rPr>
          <w:rFonts w:hint="default" w:ascii="Times New Roman" w:hAnsi="Times New Roman" w:eastAsia="宋体" w:cs="Times New Roman"/>
          <w:color w:val="000000" w:themeColor="text1"/>
          <w:sz w:val="28"/>
          <w14:textFill>
            <w14:solidFill>
              <w14:schemeClr w14:val="tx1"/>
            </w14:solidFill>
          </w14:textFill>
        </w:rPr>
      </w:pPr>
    </w:p>
    <w:p>
      <w:pPr>
        <w:pStyle w:val="2"/>
        <w:rPr>
          <w:rFonts w:hint="default" w:ascii="Times New Roman" w:hAnsi="Times New Roman" w:eastAsia="宋体" w:cs="Times New Roman"/>
          <w:color w:val="000000" w:themeColor="text1"/>
          <w:sz w:val="28"/>
          <w14:textFill>
            <w14:solidFill>
              <w14:schemeClr w14:val="tx1"/>
            </w14:solidFill>
          </w14:textFill>
        </w:rPr>
      </w:pPr>
    </w:p>
    <w:p>
      <w:pPr>
        <w:pStyle w:val="2"/>
        <w:rPr>
          <w:rFonts w:hint="default" w:ascii="Times New Roman" w:hAnsi="Times New Roman" w:eastAsia="宋体" w:cs="Times New Roman"/>
          <w:color w:val="000000" w:themeColor="text1"/>
          <w:sz w:val="28"/>
          <w14:textFill>
            <w14:solidFill>
              <w14:schemeClr w14:val="tx1"/>
            </w14:solidFill>
          </w14:textFill>
        </w:rPr>
      </w:pPr>
    </w:p>
    <w:p>
      <w:pPr>
        <w:pStyle w:val="2"/>
        <w:rPr>
          <w:rFonts w:hint="default" w:ascii="Times New Roman" w:hAnsi="Times New Roman" w:eastAsia="宋体" w:cs="Times New Roman"/>
          <w:color w:val="000000" w:themeColor="text1"/>
          <w:sz w:val="28"/>
          <w14:textFill>
            <w14:solidFill>
              <w14:schemeClr w14:val="tx1"/>
            </w14:solidFill>
          </w14:textFill>
        </w:rPr>
      </w:pPr>
    </w:p>
    <w:p>
      <w:pPr>
        <w:pStyle w:val="2"/>
        <w:rPr>
          <w:rFonts w:hint="default" w:ascii="Times New Roman" w:hAnsi="Times New Roman" w:eastAsia="宋体" w:cs="Times New Roman"/>
          <w:color w:val="000000" w:themeColor="text1"/>
          <w:sz w:val="28"/>
          <w14:textFill>
            <w14:solidFill>
              <w14:schemeClr w14:val="tx1"/>
            </w14:solidFill>
          </w14:textFill>
        </w:rPr>
      </w:pPr>
    </w:p>
    <w:p>
      <w:pPr>
        <w:spacing w:line="360" w:lineRule="auto"/>
        <w:rPr>
          <w:rFonts w:hint="default" w:ascii="Times New Roman" w:hAnsi="Times New Roman" w:eastAsia="宋体" w:cs="Times New Roman"/>
          <w:color w:val="000000" w:themeColor="text1"/>
          <w:sz w:val="28"/>
          <w14:textFill>
            <w14:solidFill>
              <w14:schemeClr w14:val="tx1"/>
            </w14:solidFill>
          </w14:textFill>
        </w:rPr>
      </w:pPr>
    </w:p>
    <w:tbl>
      <w:tblPr>
        <w:tblStyle w:val="23"/>
        <w:tblW w:w="9900" w:type="dxa"/>
        <w:tblInd w:w="-47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010"/>
        <w:gridCol w:w="48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10" w:type="dxa"/>
          </w:tcPr>
          <w:p>
            <w:pPr>
              <w:widowControl/>
              <w:tabs>
                <w:tab w:val="left" w:pos="984"/>
              </w:tabs>
              <w:spacing w:line="360" w:lineRule="auto"/>
              <w:jc w:val="both"/>
              <w:rPr>
                <w:rFonts w:hint="default" w:ascii="Times New Roman" w:hAnsi="Times New Roman" w:eastAsia="宋体" w:cs="Times New Roman"/>
                <w:color w:val="000000" w:themeColor="text1"/>
                <w:sz w:val="28"/>
                <w:lang w:val="en-US" w:eastAsia="zh-CN"/>
                <w14:textFill>
                  <w14:solidFill>
                    <w14:schemeClr w14:val="tx1"/>
                  </w14:solidFill>
                </w14:textFill>
              </w:rPr>
            </w:pPr>
            <w:r>
              <w:rPr>
                <w:rFonts w:hint="default" w:ascii="Times New Roman" w:hAnsi="Times New Roman" w:eastAsia="宋体" w:cs="Times New Roman"/>
                <w:color w:val="000000" w:themeColor="text1"/>
                <w:sz w:val="28"/>
                <w:lang w:val="en-US" w:eastAsia="zh-CN"/>
                <w14:textFill>
                  <w14:solidFill>
                    <w14:schemeClr w14:val="tx1"/>
                  </w14:solidFill>
                </w14:textFill>
              </w:rPr>
              <w:t>建设单位：</w:t>
            </w:r>
          </w:p>
          <w:p>
            <w:pPr>
              <w:widowControl/>
              <w:tabs>
                <w:tab w:val="left" w:pos="984"/>
              </w:tabs>
              <w:spacing w:line="360" w:lineRule="auto"/>
              <w:jc w:val="both"/>
              <w:rPr>
                <w:rFonts w:hint="default" w:ascii="Times New Roman" w:hAnsi="Times New Roman" w:eastAsia="宋体" w:cs="Times New Roman"/>
                <w:color w:val="000000" w:themeColor="text1"/>
                <w:sz w:val="28"/>
                <w:lang w:val="en-US" w:eastAsia="zh-CN"/>
                <w14:textFill>
                  <w14:solidFill>
                    <w14:schemeClr w14:val="tx1"/>
                  </w14:solidFill>
                </w14:textFill>
              </w:rPr>
            </w:pPr>
            <w:r>
              <w:rPr>
                <w:rFonts w:hint="default" w:ascii="Times New Roman" w:hAnsi="Times New Roman" w:eastAsia="宋体" w:cs="Times New Roman"/>
                <w:color w:val="000000" w:themeColor="text1"/>
                <w:sz w:val="28"/>
                <w:lang w:val="en-US" w:eastAsia="zh-CN"/>
                <w14:textFill>
                  <w14:solidFill>
                    <w14:schemeClr w14:val="tx1"/>
                  </w14:solidFill>
                </w14:textFill>
              </w:rPr>
              <w:t>福建优倍特模塑科技有限公司</w:t>
            </w:r>
          </w:p>
        </w:tc>
        <w:tc>
          <w:tcPr>
            <w:tcW w:w="4890" w:type="dxa"/>
          </w:tcPr>
          <w:p>
            <w:pPr>
              <w:widowControl/>
              <w:tabs>
                <w:tab w:val="left" w:pos="984"/>
              </w:tabs>
              <w:spacing w:line="360" w:lineRule="auto"/>
              <w:jc w:val="both"/>
              <w:rPr>
                <w:rFonts w:hint="default" w:ascii="Times New Roman" w:hAnsi="Times New Roman" w:eastAsia="宋体" w:cs="Times New Roman"/>
                <w:color w:val="000000" w:themeColor="text1"/>
                <w:sz w:val="28"/>
                <w:lang w:val="en-US" w:eastAsia="zh-CN"/>
                <w14:textFill>
                  <w14:solidFill>
                    <w14:schemeClr w14:val="tx1"/>
                  </w14:solidFill>
                </w14:textFill>
              </w:rPr>
            </w:pPr>
            <w:r>
              <w:rPr>
                <w:rFonts w:hint="default" w:ascii="Times New Roman" w:hAnsi="Times New Roman" w:eastAsia="宋体" w:cs="Times New Roman"/>
                <w:color w:val="000000" w:themeColor="text1"/>
                <w:sz w:val="28"/>
                <w:lang w:val="en-US" w:eastAsia="zh-CN"/>
                <w14:textFill>
                  <w14:solidFill>
                    <w14:schemeClr w14:val="tx1"/>
                  </w14:solidFill>
                </w14:textFill>
              </w:rPr>
              <w:t>编制单位：</w:t>
            </w:r>
          </w:p>
          <w:p>
            <w:pPr>
              <w:widowControl/>
              <w:tabs>
                <w:tab w:val="left" w:pos="984"/>
              </w:tabs>
              <w:spacing w:line="360" w:lineRule="auto"/>
              <w:jc w:val="both"/>
              <w:rPr>
                <w:rFonts w:hint="default" w:ascii="Times New Roman" w:hAnsi="Times New Roman" w:eastAsia="宋体" w:cs="Times New Roman"/>
                <w:color w:val="000000" w:themeColor="text1"/>
                <w:sz w:val="28"/>
                <w:lang w:val="en-US" w:eastAsia="zh-CN"/>
                <w14:textFill>
                  <w14:solidFill>
                    <w14:schemeClr w14:val="tx1"/>
                  </w14:solidFill>
                </w14:textFill>
              </w:rPr>
            </w:pPr>
            <w:r>
              <w:rPr>
                <w:rFonts w:hint="default" w:ascii="Times New Roman" w:hAnsi="Times New Roman" w:eastAsia="宋体" w:cs="Times New Roman"/>
                <w:color w:val="000000" w:themeColor="text1"/>
                <w:sz w:val="28"/>
                <w:lang w:val="en-US" w:eastAsia="zh-CN"/>
                <w14:textFill>
                  <w14:solidFill>
                    <w14:schemeClr w14:val="tx1"/>
                  </w14:solidFill>
                </w14:textFill>
              </w:rPr>
              <w:t>福建优倍特模塑科技有限公司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10" w:type="dxa"/>
          </w:tcPr>
          <w:p>
            <w:pPr>
              <w:widowControl/>
              <w:tabs>
                <w:tab w:val="left" w:pos="984"/>
              </w:tabs>
              <w:spacing w:line="360" w:lineRule="auto"/>
              <w:jc w:val="both"/>
              <w:rPr>
                <w:rFonts w:hint="default" w:ascii="Times New Roman" w:hAnsi="Times New Roman" w:eastAsia="宋体" w:cs="Times New Roman"/>
                <w:color w:val="000000" w:themeColor="text1"/>
                <w:sz w:val="28"/>
                <w:lang w:val="en-US" w:eastAsia="zh-CN"/>
                <w14:textFill>
                  <w14:solidFill>
                    <w14:schemeClr w14:val="tx1"/>
                  </w14:solidFill>
                </w14:textFill>
              </w:rPr>
            </w:pPr>
            <w:r>
              <w:rPr>
                <w:rFonts w:hint="default" w:ascii="Times New Roman" w:hAnsi="Times New Roman" w:eastAsia="宋体" w:cs="Times New Roman"/>
                <w:color w:val="000000" w:themeColor="text1"/>
                <w:sz w:val="28"/>
                <w:lang w:val="en-US" w:eastAsia="zh-CN"/>
                <w14:textFill>
                  <w14:solidFill>
                    <w14:schemeClr w14:val="tx1"/>
                  </w14:solidFill>
                </w14:textFill>
              </w:rPr>
              <w:t>电话:13774697818</w:t>
            </w:r>
          </w:p>
        </w:tc>
        <w:tc>
          <w:tcPr>
            <w:tcW w:w="4890" w:type="dxa"/>
            <w:vAlign w:val="top"/>
          </w:tcPr>
          <w:p>
            <w:pPr>
              <w:widowControl/>
              <w:tabs>
                <w:tab w:val="left" w:pos="984"/>
              </w:tabs>
              <w:spacing w:line="360" w:lineRule="auto"/>
              <w:jc w:val="both"/>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8"/>
                <w:lang w:val="en-US" w:eastAsia="zh-CN"/>
                <w14:textFill>
                  <w14:solidFill>
                    <w14:schemeClr w14:val="tx1"/>
                  </w14:solidFill>
                </w14:textFill>
              </w:rPr>
              <w:t>电话13774697818</w:t>
            </w:r>
            <w:bookmarkStart w:id="6" w:name="_GoBack"/>
            <w:bookmarkEnd w:id="6"/>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10" w:type="dxa"/>
          </w:tcPr>
          <w:p>
            <w:pPr>
              <w:widowControl/>
              <w:tabs>
                <w:tab w:val="left" w:pos="984"/>
              </w:tabs>
              <w:spacing w:line="360" w:lineRule="auto"/>
              <w:jc w:val="both"/>
              <w:rPr>
                <w:rFonts w:hint="default" w:ascii="Times New Roman" w:hAnsi="Times New Roman" w:eastAsia="宋体" w:cs="Times New Roman"/>
                <w:color w:val="000000" w:themeColor="text1"/>
                <w:sz w:val="28"/>
                <w:lang w:val="en-US" w:eastAsia="zh-CN"/>
                <w14:textFill>
                  <w14:solidFill>
                    <w14:schemeClr w14:val="tx1"/>
                  </w14:solidFill>
                </w14:textFill>
              </w:rPr>
            </w:pPr>
            <w:r>
              <w:rPr>
                <w:rFonts w:hint="default" w:ascii="Times New Roman" w:hAnsi="Times New Roman" w:eastAsia="宋体" w:cs="Times New Roman"/>
                <w:color w:val="000000" w:themeColor="text1"/>
                <w:sz w:val="28"/>
                <w:lang w:val="en-US" w:eastAsia="zh-CN"/>
                <w14:textFill>
                  <w14:solidFill>
                    <w14:schemeClr w14:val="tx1"/>
                  </w14:solidFill>
                </w14:textFill>
              </w:rPr>
              <w:t>传真:/</w:t>
            </w:r>
          </w:p>
        </w:tc>
        <w:tc>
          <w:tcPr>
            <w:tcW w:w="4890" w:type="dxa"/>
            <w:vAlign w:val="top"/>
          </w:tcPr>
          <w:p>
            <w:pPr>
              <w:widowControl/>
              <w:tabs>
                <w:tab w:val="left" w:pos="984"/>
              </w:tabs>
              <w:spacing w:line="360" w:lineRule="auto"/>
              <w:jc w:val="both"/>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8"/>
                <w:lang w:val="en-US" w:eastAsia="zh-CN"/>
                <w14:textFill>
                  <w14:solidFill>
                    <w14:schemeClr w14:val="tx1"/>
                  </w14:solidFill>
                </w14:textFill>
              </w:rPr>
              <w:t>传真:/</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10" w:type="dxa"/>
          </w:tcPr>
          <w:p>
            <w:pPr>
              <w:widowControl/>
              <w:tabs>
                <w:tab w:val="left" w:pos="984"/>
              </w:tabs>
              <w:spacing w:line="360" w:lineRule="auto"/>
              <w:jc w:val="both"/>
              <w:rPr>
                <w:rFonts w:hint="default" w:ascii="Times New Roman" w:hAnsi="Times New Roman" w:eastAsia="宋体" w:cs="Times New Roman"/>
                <w:color w:val="000000" w:themeColor="text1"/>
                <w:sz w:val="28"/>
                <w:lang w:val="en-US" w:eastAsia="zh-CN"/>
                <w14:textFill>
                  <w14:solidFill>
                    <w14:schemeClr w14:val="tx1"/>
                  </w14:solidFill>
                </w14:textFill>
              </w:rPr>
            </w:pPr>
            <w:r>
              <w:rPr>
                <w:rFonts w:hint="default" w:ascii="Times New Roman" w:hAnsi="Times New Roman" w:eastAsia="宋体" w:cs="Times New Roman"/>
                <w:color w:val="000000" w:themeColor="text1"/>
                <w:sz w:val="28"/>
                <w:lang w:val="en-US" w:eastAsia="zh-CN"/>
                <w14:textFill>
                  <w14:solidFill>
                    <w14:schemeClr w14:val="tx1"/>
                  </w14:solidFill>
                </w14:textFill>
              </w:rPr>
              <w:t>邮编:</w:t>
            </w:r>
            <w:r>
              <w:rPr>
                <w:rFonts w:hint="default" w:ascii="Times New Roman" w:hAnsi="Times New Roman" w:eastAsia="宋体" w:cs="Times New Roman"/>
                <w:color w:val="0000FF"/>
                <w:sz w:val="28"/>
                <w:lang w:val="en-US" w:eastAsia="zh-CN"/>
              </w:rPr>
              <w:t>363500</w:t>
            </w:r>
          </w:p>
        </w:tc>
        <w:tc>
          <w:tcPr>
            <w:tcW w:w="4890" w:type="dxa"/>
            <w:vAlign w:val="top"/>
          </w:tcPr>
          <w:p>
            <w:pPr>
              <w:widowControl/>
              <w:tabs>
                <w:tab w:val="left" w:pos="984"/>
              </w:tabs>
              <w:spacing w:line="360" w:lineRule="auto"/>
              <w:jc w:val="both"/>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8"/>
                <w:lang w:val="en-US" w:eastAsia="zh-CN"/>
                <w14:textFill>
                  <w14:solidFill>
                    <w14:schemeClr w14:val="tx1"/>
                  </w14:solidFill>
                </w14:textFill>
              </w:rPr>
              <w:t>邮编:363500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10" w:type="dxa"/>
          </w:tcPr>
          <w:p>
            <w:pPr>
              <w:widowControl/>
              <w:tabs>
                <w:tab w:val="left" w:pos="984"/>
              </w:tabs>
              <w:spacing w:line="360" w:lineRule="auto"/>
              <w:jc w:val="both"/>
              <w:rPr>
                <w:rFonts w:hint="default" w:ascii="Times New Roman" w:hAnsi="Times New Roman" w:eastAsia="宋体" w:cs="Times New Roman"/>
                <w:color w:val="000000" w:themeColor="text1"/>
                <w:sz w:val="28"/>
                <w:lang w:val="en-US" w:eastAsia="zh-CN"/>
                <w14:textFill>
                  <w14:solidFill>
                    <w14:schemeClr w14:val="tx1"/>
                  </w14:solidFill>
                </w14:textFill>
              </w:rPr>
            </w:pPr>
            <w:r>
              <w:rPr>
                <w:rFonts w:hint="default" w:ascii="Times New Roman" w:hAnsi="Times New Roman" w:eastAsia="宋体" w:cs="Times New Roman"/>
                <w:color w:val="000000" w:themeColor="text1"/>
                <w:sz w:val="28"/>
                <w:lang w:val="en-US" w:eastAsia="zh-CN"/>
                <w14:textFill>
                  <w14:solidFill>
                    <w14:schemeClr w14:val="tx1"/>
                  </w14:solidFill>
                </w14:textFill>
              </w:rPr>
              <w:t>地址:</w:t>
            </w:r>
          </w:p>
          <w:p>
            <w:pPr>
              <w:widowControl/>
              <w:tabs>
                <w:tab w:val="left" w:pos="984"/>
              </w:tabs>
              <w:spacing w:line="360" w:lineRule="auto"/>
              <w:jc w:val="both"/>
              <w:rPr>
                <w:rFonts w:hint="default" w:ascii="Times New Roman" w:hAnsi="Times New Roman" w:eastAsia="宋体" w:cs="Times New Roman"/>
                <w:color w:val="000000" w:themeColor="text1"/>
                <w:sz w:val="28"/>
                <w:lang w:val="en-US" w:eastAsia="zh-CN"/>
                <w14:textFill>
                  <w14:solidFill>
                    <w14:schemeClr w14:val="tx1"/>
                  </w14:solidFill>
                </w14:textFill>
              </w:rPr>
            </w:pPr>
            <w:r>
              <w:rPr>
                <w:rFonts w:hint="default" w:ascii="Times New Roman" w:hAnsi="Times New Roman" w:eastAsia="宋体" w:cs="Times New Roman"/>
                <w:color w:val="000000" w:themeColor="text1"/>
                <w:sz w:val="28"/>
                <w:lang w:val="en-US" w:eastAsia="zh-CN"/>
                <w14:textFill>
                  <w14:solidFill>
                    <w14:schemeClr w14:val="tx1"/>
                  </w14:solidFill>
                </w14:textFill>
              </w:rPr>
              <w:t>福建省漳州市长泰区陈巷镇福照路12号</w:t>
            </w:r>
          </w:p>
        </w:tc>
        <w:tc>
          <w:tcPr>
            <w:tcW w:w="4890" w:type="dxa"/>
            <w:vAlign w:val="top"/>
          </w:tcPr>
          <w:p>
            <w:pPr>
              <w:widowControl/>
              <w:tabs>
                <w:tab w:val="left" w:pos="984"/>
              </w:tabs>
              <w:spacing w:line="360" w:lineRule="auto"/>
              <w:jc w:val="both"/>
              <w:rPr>
                <w:rFonts w:hint="default" w:ascii="Times New Roman" w:hAnsi="Times New Roman" w:eastAsia="宋体" w:cs="Times New Roman"/>
                <w:color w:val="000000" w:themeColor="text1"/>
                <w:sz w:val="28"/>
                <w:lang w:val="en-US" w:eastAsia="zh-CN"/>
                <w14:textFill>
                  <w14:solidFill>
                    <w14:schemeClr w14:val="tx1"/>
                  </w14:solidFill>
                </w14:textFill>
              </w:rPr>
            </w:pPr>
            <w:r>
              <w:rPr>
                <w:rFonts w:hint="default" w:ascii="Times New Roman" w:hAnsi="Times New Roman" w:eastAsia="宋体" w:cs="Times New Roman"/>
                <w:color w:val="000000" w:themeColor="text1"/>
                <w:sz w:val="28"/>
                <w:lang w:val="en-US" w:eastAsia="zh-CN"/>
                <w14:textFill>
                  <w14:solidFill>
                    <w14:schemeClr w14:val="tx1"/>
                  </w14:solidFill>
                </w14:textFill>
              </w:rPr>
              <w:t>地址:</w:t>
            </w:r>
          </w:p>
          <w:p>
            <w:pPr>
              <w:widowControl/>
              <w:tabs>
                <w:tab w:val="left" w:pos="984"/>
              </w:tabs>
              <w:spacing w:line="360" w:lineRule="auto"/>
              <w:jc w:val="both"/>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8"/>
                <w:lang w:val="en-US" w:eastAsia="zh-CN"/>
                <w14:textFill>
                  <w14:solidFill>
                    <w14:schemeClr w14:val="tx1"/>
                  </w14:solidFill>
                </w14:textFill>
              </w:rPr>
              <w:t>福建省漳州市长泰区陈巷镇福照路12号</w:t>
            </w:r>
          </w:p>
        </w:tc>
      </w:tr>
    </w:tbl>
    <w:p>
      <w:pPr>
        <w:jc w:val="center"/>
        <w:rPr>
          <w:rFonts w:hint="default" w:ascii="Times New Roman" w:hAnsi="Times New Roman" w:eastAsia="宋体" w:cs="Times New Roman"/>
          <w:color w:val="0000FF"/>
          <w:sz w:val="21"/>
          <w:szCs w:val="21"/>
        </w:rPr>
        <w:sectPr>
          <w:footerReference r:id="rId4" w:type="default"/>
          <w:pgSz w:w="11906" w:h="16838"/>
          <w:pgMar w:top="1440" w:right="1440" w:bottom="1440" w:left="1701" w:header="709" w:footer="709" w:gutter="0"/>
          <w:pgBorders>
            <w:top w:val="none" w:sz="0" w:space="0"/>
            <w:left w:val="none" w:sz="0" w:space="0"/>
            <w:bottom w:val="none" w:sz="0" w:space="0"/>
            <w:right w:val="none" w:sz="0" w:space="0"/>
          </w:pgBorders>
          <w:pgNumType w:start="1"/>
          <w:cols w:space="0" w:num="1"/>
          <w:docGrid w:linePitch="360" w:charSpace="0"/>
        </w:sectPr>
      </w:pPr>
    </w:p>
    <w:p>
      <w:pPr>
        <w:outlineLvl w:val="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表一</w:t>
      </w:r>
    </w:p>
    <w:tbl>
      <w:tblPr>
        <w:tblStyle w:val="22"/>
        <w:tblpPr w:leftFromText="180" w:rightFromText="180" w:vertAnchor="page" w:horzAnchor="page" w:tblpX="1614" w:tblpY="1803"/>
        <w:tblOverlap w:val="never"/>
        <w:tblW w:w="8924"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926"/>
        <w:gridCol w:w="2492"/>
        <w:gridCol w:w="1722"/>
        <w:gridCol w:w="984"/>
        <w:gridCol w:w="765"/>
        <w:gridCol w:w="103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926"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建设项目名称</w:t>
            </w:r>
          </w:p>
        </w:tc>
        <w:tc>
          <w:tcPr>
            <w:tcW w:w="6998" w:type="dxa"/>
            <w:gridSpan w:val="5"/>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优倍特模塑科技生产项目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926"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建设单位名称</w:t>
            </w:r>
          </w:p>
        </w:tc>
        <w:tc>
          <w:tcPr>
            <w:tcW w:w="6998" w:type="dxa"/>
            <w:gridSpan w:val="5"/>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福建优倍特模塑科技有限公司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926"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建设项目性质</w:t>
            </w:r>
          </w:p>
        </w:tc>
        <w:tc>
          <w:tcPr>
            <w:tcW w:w="6998" w:type="dxa"/>
            <w:gridSpan w:val="5"/>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新建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1926"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建设地点</w:t>
            </w:r>
          </w:p>
        </w:tc>
        <w:tc>
          <w:tcPr>
            <w:tcW w:w="6998" w:type="dxa"/>
            <w:gridSpan w:val="5"/>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漳州市长泰区陈巷镇福照路12号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926" w:type="dxa"/>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主要产品名称</w:t>
            </w:r>
          </w:p>
        </w:tc>
        <w:tc>
          <w:tcPr>
            <w:tcW w:w="6998" w:type="dxa"/>
            <w:gridSpan w:val="5"/>
            <w:vAlign w:val="center"/>
          </w:tcPr>
          <w:p>
            <w:pPr>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各类电器塑料零部件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1926" w:type="dxa"/>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建设规模</w:t>
            </w:r>
          </w:p>
        </w:tc>
        <w:tc>
          <w:tcPr>
            <w:tcW w:w="6998" w:type="dxa"/>
            <w:gridSpan w:val="5"/>
            <w:vAlign w:val="center"/>
          </w:tcPr>
          <w:p>
            <w:pPr>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年产各类电器塑料零部件3000吨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1926" w:type="dxa"/>
            <w:vAlign w:val="center"/>
          </w:tcPr>
          <w:p>
            <w:pPr>
              <w:jc w:val="center"/>
              <w:rPr>
                <w:rFonts w:hint="default" w:ascii="Times New Roman" w:hAnsi="Times New Roman" w:eastAsia="宋体" w:cs="Times New Roman"/>
                <w:b w:val="0"/>
                <w:bCs w:val="0"/>
                <w:color w:val="000000" w:themeColor="text1"/>
                <w:sz w:val="21"/>
                <w:szCs w:val="21"/>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eastAsia="zh-CN"/>
                <w14:textFill>
                  <w14:solidFill>
                    <w14:schemeClr w14:val="tx1"/>
                  </w14:solidFill>
                </w14:textFill>
              </w:rPr>
              <w:t>实际建设规模</w:t>
            </w:r>
          </w:p>
        </w:tc>
        <w:tc>
          <w:tcPr>
            <w:tcW w:w="6998" w:type="dxa"/>
            <w:gridSpan w:val="5"/>
            <w:vAlign w:val="center"/>
          </w:tcPr>
          <w:p>
            <w:pPr>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年产各类电器塑料零部件3000吨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926"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建设项目环评时间</w:t>
            </w:r>
          </w:p>
        </w:tc>
        <w:tc>
          <w:tcPr>
            <w:tcW w:w="2492"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20</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22</w:t>
            </w:r>
            <w:r>
              <w:rPr>
                <w:rFonts w:hint="default" w:ascii="Times New Roman" w:hAnsi="Times New Roman" w:eastAsia="宋体" w:cs="Times New Roman"/>
                <w:color w:val="000000" w:themeColor="text1"/>
                <w:sz w:val="21"/>
                <w:szCs w:val="21"/>
                <w14:textFill>
                  <w14:solidFill>
                    <w14:schemeClr w14:val="tx1"/>
                  </w14:solidFill>
                </w14:textFill>
              </w:rPr>
              <w:t>年</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12</w:t>
            </w:r>
            <w:r>
              <w:rPr>
                <w:rFonts w:hint="default" w:ascii="Times New Roman" w:hAnsi="Times New Roman" w:eastAsia="宋体" w:cs="Times New Roman"/>
                <w:color w:val="000000" w:themeColor="text1"/>
                <w:sz w:val="21"/>
                <w:szCs w:val="21"/>
                <w14:textFill>
                  <w14:solidFill>
                    <w14:schemeClr w14:val="tx1"/>
                  </w14:solidFill>
                </w14:textFill>
              </w:rPr>
              <w:t>月</w:t>
            </w:r>
          </w:p>
        </w:tc>
        <w:tc>
          <w:tcPr>
            <w:tcW w:w="1722"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开工建设时间</w:t>
            </w:r>
          </w:p>
        </w:tc>
        <w:tc>
          <w:tcPr>
            <w:tcW w:w="2784" w:type="dxa"/>
            <w:gridSpan w:val="3"/>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20</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23</w:t>
            </w:r>
            <w:r>
              <w:rPr>
                <w:rFonts w:hint="default" w:ascii="Times New Roman" w:hAnsi="Times New Roman" w:eastAsia="宋体" w:cs="Times New Roman"/>
                <w:color w:val="000000" w:themeColor="text1"/>
                <w:sz w:val="21"/>
                <w:szCs w:val="21"/>
                <w14:textFill>
                  <w14:solidFill>
                    <w14:schemeClr w14:val="tx1"/>
                  </w14:solidFill>
                </w14:textFill>
              </w:rPr>
              <w:t>年</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926"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竣工时间</w:t>
            </w:r>
          </w:p>
        </w:tc>
        <w:tc>
          <w:tcPr>
            <w:tcW w:w="2492"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20</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23</w:t>
            </w:r>
            <w:r>
              <w:rPr>
                <w:rFonts w:hint="default" w:ascii="Times New Roman" w:hAnsi="Times New Roman" w:eastAsia="宋体" w:cs="Times New Roman"/>
                <w:color w:val="000000" w:themeColor="text1"/>
                <w:sz w:val="21"/>
                <w:szCs w:val="21"/>
                <w14:textFill>
                  <w14:solidFill>
                    <w14:schemeClr w14:val="tx1"/>
                  </w14:solidFill>
                </w14:textFill>
              </w:rPr>
              <w:t>年</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14:textFill>
                  <w14:solidFill>
                    <w14:schemeClr w14:val="tx1"/>
                  </w14:solidFill>
                </w14:textFill>
              </w:rPr>
              <w:t>月</w:t>
            </w:r>
          </w:p>
        </w:tc>
        <w:tc>
          <w:tcPr>
            <w:tcW w:w="1722"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验收现场监测</w:t>
            </w:r>
          </w:p>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时间</w:t>
            </w:r>
          </w:p>
        </w:tc>
        <w:tc>
          <w:tcPr>
            <w:tcW w:w="2784" w:type="dxa"/>
            <w:gridSpan w:val="3"/>
            <w:vAlign w:val="center"/>
          </w:tcPr>
          <w:p>
            <w:pPr>
              <w:pStyle w:val="2"/>
              <w:ind w:firstLine="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2023.04.26~2023.04.27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926"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环评报告表</w:t>
            </w:r>
          </w:p>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审批部门</w:t>
            </w:r>
          </w:p>
        </w:tc>
        <w:tc>
          <w:tcPr>
            <w:tcW w:w="2492"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漳州市长泰生态环境局</w:t>
            </w:r>
          </w:p>
        </w:tc>
        <w:tc>
          <w:tcPr>
            <w:tcW w:w="1722"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环评报告表</w:t>
            </w:r>
          </w:p>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编制单位</w:t>
            </w:r>
          </w:p>
        </w:tc>
        <w:tc>
          <w:tcPr>
            <w:tcW w:w="2784" w:type="dxa"/>
            <w:gridSpan w:val="3"/>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漳州绿园环保技术咨询有限公司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926"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环保设施设计单位</w:t>
            </w:r>
          </w:p>
        </w:tc>
        <w:tc>
          <w:tcPr>
            <w:tcW w:w="2492" w:type="dxa"/>
            <w:vAlign w:val="center"/>
          </w:tcPr>
          <w:p>
            <w:pPr>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漳州润科环保科技有限公司</w:t>
            </w:r>
          </w:p>
        </w:tc>
        <w:tc>
          <w:tcPr>
            <w:tcW w:w="1722"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环保设施施工</w:t>
            </w:r>
          </w:p>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单位</w:t>
            </w:r>
          </w:p>
        </w:tc>
        <w:tc>
          <w:tcPr>
            <w:tcW w:w="2784" w:type="dxa"/>
            <w:gridSpan w:val="3"/>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漳州润科环保科技有限公司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926"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投资总概算</w:t>
            </w:r>
          </w:p>
        </w:tc>
        <w:tc>
          <w:tcPr>
            <w:tcW w:w="2492"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5000</w:t>
            </w:r>
            <w:r>
              <w:rPr>
                <w:rFonts w:hint="default" w:ascii="Times New Roman" w:hAnsi="Times New Roman" w:eastAsia="宋体" w:cs="Times New Roman"/>
                <w:color w:val="000000" w:themeColor="text1"/>
                <w:sz w:val="21"/>
                <w:szCs w:val="21"/>
                <w14:textFill>
                  <w14:solidFill>
                    <w14:schemeClr w14:val="tx1"/>
                  </w14:solidFill>
                </w14:textFill>
              </w:rPr>
              <w:t>万元</w:t>
            </w:r>
          </w:p>
        </w:tc>
        <w:tc>
          <w:tcPr>
            <w:tcW w:w="1722"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环保投资总概算</w:t>
            </w:r>
          </w:p>
        </w:tc>
        <w:tc>
          <w:tcPr>
            <w:tcW w:w="984"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40</w:t>
            </w:r>
            <w:r>
              <w:rPr>
                <w:rFonts w:hint="default" w:ascii="Times New Roman" w:hAnsi="Times New Roman" w:eastAsia="宋体" w:cs="Times New Roman"/>
                <w:color w:val="000000" w:themeColor="text1"/>
                <w:sz w:val="21"/>
                <w:szCs w:val="21"/>
                <w14:textFill>
                  <w14:solidFill>
                    <w14:schemeClr w14:val="tx1"/>
                  </w14:solidFill>
                </w14:textFill>
              </w:rPr>
              <w:t>万元</w:t>
            </w:r>
          </w:p>
        </w:tc>
        <w:tc>
          <w:tcPr>
            <w:tcW w:w="765"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比例</w:t>
            </w:r>
          </w:p>
        </w:tc>
        <w:tc>
          <w:tcPr>
            <w:tcW w:w="1035"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0.8</w:t>
            </w:r>
            <w:r>
              <w:rPr>
                <w:rFonts w:hint="default" w:ascii="Times New Roman" w:hAnsi="Times New Roman" w:eastAsia="宋体" w:cs="Times New Roman"/>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926"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实际总概算</w:t>
            </w:r>
          </w:p>
        </w:tc>
        <w:tc>
          <w:tcPr>
            <w:tcW w:w="2492"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5000</w:t>
            </w:r>
            <w:r>
              <w:rPr>
                <w:rFonts w:hint="default" w:ascii="Times New Roman" w:hAnsi="Times New Roman" w:eastAsia="宋体" w:cs="Times New Roman"/>
                <w:color w:val="000000" w:themeColor="text1"/>
                <w:sz w:val="21"/>
                <w:szCs w:val="21"/>
                <w14:textFill>
                  <w14:solidFill>
                    <w14:schemeClr w14:val="tx1"/>
                  </w14:solidFill>
                </w14:textFill>
              </w:rPr>
              <w:t>万元</w:t>
            </w:r>
          </w:p>
        </w:tc>
        <w:tc>
          <w:tcPr>
            <w:tcW w:w="1722"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环保投资</w:t>
            </w:r>
          </w:p>
        </w:tc>
        <w:tc>
          <w:tcPr>
            <w:tcW w:w="984"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60</w:t>
            </w:r>
            <w:r>
              <w:rPr>
                <w:rFonts w:hint="default" w:ascii="Times New Roman" w:hAnsi="Times New Roman" w:eastAsia="宋体" w:cs="Times New Roman"/>
                <w:color w:val="000000" w:themeColor="text1"/>
                <w:sz w:val="21"/>
                <w:szCs w:val="21"/>
                <w14:textFill>
                  <w14:solidFill>
                    <w14:schemeClr w14:val="tx1"/>
                  </w14:solidFill>
                </w14:textFill>
              </w:rPr>
              <w:t>万元</w:t>
            </w:r>
          </w:p>
        </w:tc>
        <w:tc>
          <w:tcPr>
            <w:tcW w:w="765"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比例</w:t>
            </w:r>
          </w:p>
        </w:tc>
        <w:tc>
          <w:tcPr>
            <w:tcW w:w="1035"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1.2</w:t>
            </w:r>
            <w:r>
              <w:rPr>
                <w:rFonts w:hint="default" w:ascii="Times New Roman" w:hAnsi="Times New Roman" w:eastAsia="宋体" w:cs="Times New Roman"/>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335" w:hRule="atLeast"/>
        </w:trPr>
        <w:tc>
          <w:tcPr>
            <w:tcW w:w="1926"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验收监测依据</w:t>
            </w:r>
          </w:p>
        </w:tc>
        <w:tc>
          <w:tcPr>
            <w:tcW w:w="6998" w:type="dxa"/>
            <w:gridSpan w:val="5"/>
            <w:vAlign w:val="center"/>
          </w:tcPr>
          <w:p>
            <w:pPr>
              <w:spacing w:line="360" w:lineRule="auto"/>
              <w:ind w:left="420" w:hanging="420" w:hangingChars="200"/>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1、《建设项目竣工环境保护验收暂行办法》国环规环评</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2017</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4号；</w:t>
            </w:r>
          </w:p>
          <w:p>
            <w:pPr>
              <w:spacing w:line="360" w:lineRule="auto"/>
              <w:ind w:left="420" w:hanging="420" w:hangingChars="200"/>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2、《建设项目环境保护管理条例》修订（第682号令）；</w:t>
            </w:r>
          </w:p>
          <w:p>
            <w:pPr>
              <w:spacing w:line="360" w:lineRule="auto"/>
              <w:ind w:left="420" w:hanging="420" w:hangingChars="200"/>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3、《建设项目竣工环境保护验收技术指南污染影响类》；</w:t>
            </w:r>
          </w:p>
          <w:p>
            <w:pPr>
              <w:spacing w:line="360" w:lineRule="auto"/>
              <w:ind w:left="420" w:hanging="420" w:hangingChars="200"/>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4、《中华人民共和国环境保护法》，2014年4月24日修订；</w:t>
            </w:r>
          </w:p>
          <w:p>
            <w:pPr>
              <w:spacing w:line="360" w:lineRule="auto"/>
              <w:ind w:left="420" w:hanging="420" w:hangingChars="200"/>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5、《中华人民共和国环境影响评价法》，201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8</w:t>
            </w:r>
            <w:r>
              <w:rPr>
                <w:rFonts w:hint="default" w:ascii="Times New Roman" w:hAnsi="Times New Roman" w:eastAsia="宋体" w:cs="Times New Roman"/>
                <w:color w:val="000000" w:themeColor="text1"/>
                <w:sz w:val="21"/>
                <w:szCs w:val="21"/>
                <w14:textFill>
                  <w14:solidFill>
                    <w14:schemeClr w14:val="tx1"/>
                  </w14:solidFill>
                </w14:textFill>
              </w:rPr>
              <w:t>年修订；</w:t>
            </w:r>
          </w:p>
          <w:p>
            <w:pPr>
              <w:spacing w:line="360" w:lineRule="auto"/>
              <w:ind w:left="420" w:hanging="420" w:hangingChars="200"/>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6、《中华人民共和国大气污染防治法》，201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8</w:t>
            </w:r>
            <w:r>
              <w:rPr>
                <w:rFonts w:hint="default" w:ascii="Times New Roman" w:hAnsi="Times New Roman" w:eastAsia="宋体" w:cs="Times New Roman"/>
                <w:color w:val="000000" w:themeColor="text1"/>
                <w:sz w:val="21"/>
                <w:szCs w:val="21"/>
                <w14:textFill>
                  <w14:solidFill>
                    <w14:schemeClr w14:val="tx1"/>
                  </w14:solidFill>
                </w14:textFill>
              </w:rPr>
              <w:t>年修订；</w:t>
            </w:r>
          </w:p>
          <w:p>
            <w:pPr>
              <w:spacing w:line="360" w:lineRule="auto"/>
              <w:ind w:left="420" w:hanging="420" w:hangingChars="200"/>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7、《中华人民共和国环境噪声污染防治法》，</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2018</w:t>
            </w:r>
            <w:r>
              <w:rPr>
                <w:rFonts w:hint="default" w:ascii="Times New Roman" w:hAnsi="Times New Roman" w:eastAsia="宋体" w:cs="Times New Roman"/>
                <w:color w:val="000000" w:themeColor="text1"/>
                <w:sz w:val="21"/>
                <w:szCs w:val="21"/>
                <w14:textFill>
                  <w14:solidFill>
                    <w14:schemeClr w14:val="tx1"/>
                  </w14:solidFill>
                </w14:textFill>
              </w:rPr>
              <w:t>年</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修订</w:t>
            </w:r>
            <w:r>
              <w:rPr>
                <w:rFonts w:hint="default" w:ascii="Times New Roman" w:hAnsi="Times New Roman" w:eastAsia="宋体" w:cs="Times New Roman"/>
                <w:color w:val="000000" w:themeColor="text1"/>
                <w:sz w:val="21"/>
                <w:szCs w:val="21"/>
                <w14:textFill>
                  <w14:solidFill>
                    <w14:schemeClr w14:val="tx1"/>
                  </w14:solidFill>
                </w14:textFill>
              </w:rPr>
              <w:t>；</w:t>
            </w:r>
          </w:p>
          <w:p>
            <w:pPr>
              <w:pStyle w:val="11"/>
              <w:spacing w:line="360" w:lineRule="auto"/>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8、</w:t>
            </w:r>
            <w:r>
              <w:rPr>
                <w:rFonts w:hint="default" w:ascii="Times New Roman" w:hAnsi="Times New Roman" w:eastAsia="宋体" w:cs="Times New Roman"/>
                <w:color w:val="000000" w:themeColor="text1"/>
                <w:sz w:val="21"/>
                <w:szCs w:val="21"/>
                <w14:textFill>
                  <w14:solidFill>
                    <w14:schemeClr w14:val="tx1"/>
                  </w14:solidFill>
                </w14:textFill>
              </w:rPr>
              <w:t>《中华人民共和国</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水环境</w:t>
            </w:r>
            <w:r>
              <w:rPr>
                <w:rFonts w:hint="default" w:ascii="Times New Roman" w:hAnsi="Times New Roman" w:eastAsia="宋体" w:cs="Times New Roman"/>
                <w:color w:val="000000" w:themeColor="text1"/>
                <w:sz w:val="21"/>
                <w:szCs w:val="21"/>
                <w14:textFill>
                  <w14:solidFill>
                    <w14:schemeClr w14:val="tx1"/>
                  </w14:solidFill>
                </w14:textFill>
              </w:rPr>
              <w:t>污染防治法》，</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2017</w:t>
            </w:r>
            <w:r>
              <w:rPr>
                <w:rFonts w:hint="default" w:ascii="Times New Roman" w:hAnsi="Times New Roman" w:eastAsia="宋体" w:cs="Times New Roman"/>
                <w:color w:val="000000" w:themeColor="text1"/>
                <w:sz w:val="21"/>
                <w:szCs w:val="21"/>
                <w14:textFill>
                  <w14:solidFill>
                    <w14:schemeClr w14:val="tx1"/>
                  </w14:solidFill>
                </w14:textFill>
              </w:rPr>
              <w:t>年</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修订</w:t>
            </w:r>
          </w:p>
          <w:p>
            <w:pPr>
              <w:spacing w:line="360" w:lineRule="auto"/>
              <w:ind w:left="420" w:hanging="420" w:hangingChars="200"/>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9</w:t>
            </w:r>
            <w:r>
              <w:rPr>
                <w:rFonts w:hint="default" w:ascii="Times New Roman" w:hAnsi="Times New Roman" w:eastAsia="宋体" w:cs="Times New Roman"/>
                <w:color w:val="000000" w:themeColor="text1"/>
                <w:sz w:val="21"/>
                <w:szCs w:val="21"/>
                <w14:textFill>
                  <w14:solidFill>
                    <w14:schemeClr w14:val="tx1"/>
                  </w14:solidFill>
                </w14:textFill>
              </w:rPr>
              <w:t>、《中华人民共和国固体废物污染环境防治法》，</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2020</w:t>
            </w:r>
            <w:r>
              <w:rPr>
                <w:rFonts w:hint="default" w:ascii="Times New Roman" w:hAnsi="Times New Roman" w:eastAsia="宋体" w:cs="Times New Roman"/>
                <w:color w:val="000000" w:themeColor="text1"/>
                <w:sz w:val="21"/>
                <w:szCs w:val="21"/>
                <w14:textFill>
                  <w14:solidFill>
                    <w14:schemeClr w14:val="tx1"/>
                  </w14:solidFill>
                </w14:textFill>
              </w:rPr>
              <w:t>年修订；</w:t>
            </w:r>
          </w:p>
          <w:p>
            <w:pPr>
              <w:spacing w:line="360" w:lineRule="auto"/>
              <w:ind w:left="420" w:hanging="420" w:hangingChars="200"/>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14:textFill>
                  <w14:solidFill>
                    <w14:schemeClr w14:val="tx1"/>
                  </w14:solidFill>
                </w14:textFill>
              </w:rPr>
              <w:t>、《中华人民共和国清洁生产促进法》，2012年修正；</w:t>
            </w:r>
          </w:p>
          <w:p>
            <w:pPr>
              <w:spacing w:line="360" w:lineRule="auto"/>
              <w:ind w:left="420" w:hanging="420" w:hangingChars="200"/>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、《产业结构调整指导目录（201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9</w:t>
            </w:r>
            <w:r>
              <w:rPr>
                <w:rFonts w:hint="default" w:ascii="Times New Roman" w:hAnsi="Times New Roman" w:eastAsia="宋体" w:cs="Times New Roman"/>
                <w:color w:val="000000" w:themeColor="text1"/>
                <w:sz w:val="21"/>
                <w:szCs w:val="21"/>
                <w14:textFill>
                  <w14:solidFill>
                    <w14:schemeClr w14:val="tx1"/>
                  </w14:solidFill>
                </w14:textFill>
              </w:rPr>
              <w:t>年本）》（201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9</w:t>
            </w:r>
            <w:r>
              <w:rPr>
                <w:rFonts w:hint="default" w:ascii="Times New Roman" w:hAnsi="Times New Roman" w:eastAsia="宋体" w:cs="Times New Roman"/>
                <w:color w:val="000000" w:themeColor="text1"/>
                <w:sz w:val="21"/>
                <w:szCs w:val="21"/>
                <w14:textFill>
                  <w14:solidFill>
                    <w14:schemeClr w14:val="tx1"/>
                  </w14:solidFill>
                </w14:textFill>
              </w:rPr>
              <w:t>年修正）；</w:t>
            </w:r>
          </w:p>
          <w:p>
            <w:pPr>
              <w:spacing w:line="360" w:lineRule="auto"/>
              <w:ind w:left="420" w:hanging="420" w:hangingChars="200"/>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、《福建省环境保护条例》，2012年3月31日实施。</w:t>
            </w:r>
          </w:p>
          <w:p>
            <w:pPr>
              <w:spacing w:line="360" w:lineRule="auto"/>
              <w:ind w:left="420" w:hanging="420" w:hangingChars="200"/>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优倍特模塑科技生产项目</w:t>
            </w:r>
            <w:r>
              <w:rPr>
                <w:rFonts w:hint="default" w:ascii="Times New Roman" w:hAnsi="Times New Roman" w:eastAsia="宋体" w:cs="Times New Roman"/>
                <w:color w:val="000000" w:themeColor="text1"/>
                <w:sz w:val="21"/>
                <w:szCs w:val="21"/>
                <w14:textFill>
                  <w14:solidFill>
                    <w14:schemeClr w14:val="tx1"/>
                  </w14:solidFill>
                </w14:textFill>
              </w:rPr>
              <w:t>环境影响报告表》；</w:t>
            </w:r>
          </w:p>
          <w:p>
            <w:pPr>
              <w:spacing w:line="360" w:lineRule="auto"/>
              <w:ind w:left="420" w:hanging="420" w:hangingChars="200"/>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漳州市长泰生态环境局</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优倍特模塑科技生产项目</w:t>
            </w:r>
            <w:r>
              <w:rPr>
                <w:rFonts w:hint="default" w:ascii="Times New Roman" w:hAnsi="Times New Roman" w:eastAsia="宋体" w:cs="Times New Roman"/>
                <w:color w:val="000000" w:themeColor="text1"/>
                <w:sz w:val="21"/>
                <w:szCs w:val="21"/>
                <w14:textFill>
                  <w14:solidFill>
                    <w14:schemeClr w14:val="tx1"/>
                  </w14:solidFill>
                </w14:textFill>
              </w:rPr>
              <w:t>环境影响评价报告表》的批复；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504" w:hRule="atLeast"/>
        </w:trPr>
        <w:tc>
          <w:tcPr>
            <w:tcW w:w="1926"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验收监测评价标准、标号、级别、限值</w:t>
            </w:r>
          </w:p>
        </w:tc>
        <w:tc>
          <w:tcPr>
            <w:tcW w:w="6998" w:type="dxa"/>
            <w:gridSpan w:val="5"/>
            <w:vAlign w:val="center"/>
          </w:tcPr>
          <w:p>
            <w:pPr>
              <w:pStyle w:val="2"/>
              <w:numPr>
                <w:ilvl w:val="0"/>
                <w:numId w:val="1"/>
              </w:numPr>
              <w:spacing w:after="60" w:line="360" w:lineRule="auto"/>
              <w:ind w:firstLine="0"/>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《工业企业厂界环境噪声排放标准》</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GB12348-2008</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的</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类标准；</w:t>
            </w:r>
          </w:p>
          <w:p>
            <w:pPr>
              <w:pStyle w:val="2"/>
              <w:spacing w:after="60" w:line="360" w:lineRule="auto"/>
              <w:ind w:firstLine="0"/>
              <w:jc w:val="left"/>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即：</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3类</w:t>
            </w:r>
            <w:r>
              <w:rPr>
                <w:rFonts w:hint="default" w:ascii="Times New Roman" w:hAnsi="Times New Roman" w:eastAsia="宋体" w:cs="Times New Roman"/>
                <w:color w:val="000000" w:themeColor="text1"/>
                <w:sz w:val="21"/>
                <w:szCs w:val="21"/>
                <w14:textFill>
                  <w14:solidFill>
                    <w14:schemeClr w14:val="tx1"/>
                  </w14:solidFill>
                </w14:textFill>
              </w:rPr>
              <w:t>昼间≤6</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5</w:t>
            </w:r>
            <w:r>
              <w:rPr>
                <w:rFonts w:hint="default" w:ascii="Times New Roman" w:hAnsi="Times New Roman" w:eastAsia="宋体" w:cs="Times New Roman"/>
                <w:color w:val="000000" w:themeColor="text1"/>
                <w:sz w:val="21"/>
                <w:szCs w:val="21"/>
                <w14:textFill>
                  <w14:solidFill>
                    <w14:schemeClr w14:val="tx1"/>
                  </w14:solidFill>
                </w14:textFill>
              </w:rPr>
              <w:t>dB（A），夜间≤5</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5d</w:t>
            </w:r>
            <w:r>
              <w:rPr>
                <w:rFonts w:hint="default" w:ascii="Times New Roman" w:hAnsi="Times New Roman" w:eastAsia="宋体" w:cs="Times New Roman"/>
                <w:color w:val="000000" w:themeColor="text1"/>
                <w:sz w:val="21"/>
                <w:szCs w:val="21"/>
                <w14:textFill>
                  <w14:solidFill>
                    <w14:schemeClr w14:val="tx1"/>
                  </w14:solidFill>
                </w14:textFill>
              </w:rPr>
              <w:t>B（A）</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pPr>
              <w:pStyle w:val="2"/>
              <w:spacing w:after="60" w:line="360" w:lineRule="auto"/>
              <w:ind w:firstLine="0"/>
              <w:jc w:val="left"/>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2、《污水综合排放标准》（GB8978-1996）表4三级标准，同时满足长泰区东区污水处理厂进水水质标准。即：pH：6~9、COD：500mg/L、BOD5：160mg/L、SS：190mg/L、动植物油：100mg/L、氨氮：35mg/L，总磷4mg/L，总氮70mg/L</w:t>
            </w:r>
          </w:p>
          <w:p>
            <w:pPr>
              <w:pStyle w:val="2"/>
              <w:numPr>
                <w:ilvl w:val="0"/>
                <w:numId w:val="0"/>
              </w:numPr>
              <w:spacing w:after="60" w:line="360" w:lineRule="auto"/>
              <w:ind w:leftChars="0"/>
              <w:jc w:val="left"/>
              <w:rPr>
                <w:rFonts w:hint="default" w:ascii="Times New Roman" w:hAnsi="Times New Roman" w:eastAsia="宋体" w:cs="Times New Roman"/>
                <w:color w:val="auto"/>
                <w:sz w:val="21"/>
                <w:szCs w:val="21"/>
                <w:vertAlign w:val="superscript"/>
                <w:lang w:val="en-US" w:eastAsia="zh-CN"/>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3、《合成树脂工业污染物排放标准》（GB31572-2015）表4大气污染物排放限值要求及表9无组织排放控制要求，</w:t>
            </w:r>
            <w:r>
              <w:rPr>
                <w:rFonts w:hint="default" w:ascii="Times New Roman" w:hAnsi="Times New Roman" w:eastAsia="宋体" w:cs="Times New Roman"/>
                <w:color w:val="auto"/>
                <w:sz w:val="21"/>
                <w:szCs w:val="21"/>
                <w:lang w:val="en-US" w:eastAsia="zh-CN"/>
              </w:rPr>
              <w:t>非甲烷总烃≤100mg/m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；厂界无组织非甲烷总烃≤4.0mg/m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；厂内监控点非甲烷总烃≤30mg/m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vertAlign w:val="baseline"/>
                <w:lang w:val="en-US" w:eastAsia="zh-CN"/>
              </w:rPr>
              <w:t>（任意一次浓度值）</w:t>
            </w:r>
          </w:p>
          <w:p>
            <w:pPr>
              <w:pStyle w:val="2"/>
              <w:spacing w:after="60" w:line="360" w:lineRule="auto"/>
              <w:ind w:firstLine="0"/>
              <w:jc w:val="left"/>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《大气污染物综合排放标准》（GB16297-1996）表</w:t>
            </w:r>
            <w:r>
              <w:rPr>
                <w:rFonts w:hint="default" w:ascii="Times New Roman" w:hAnsi="Times New Roman" w:eastAsia="宋体" w:cs="Times New Roman"/>
                <w:color w:val="auto"/>
                <w:sz w:val="21"/>
                <w:szCs w:val="21"/>
                <w:lang w:val="en-US" w:eastAsia="zh-CN"/>
              </w:rPr>
              <w:t>2颗粒物最高允许排放浓度限值，即颗粒物≤1.0mg/m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vertAlign w:val="baseline"/>
                <w:lang w:val="en-US" w:eastAsia="zh-CN"/>
              </w:rPr>
              <w:t>。无组织颗粒物排放执行表2无组织排放监控浓度限值，即</w:t>
            </w:r>
            <w:r>
              <w:rPr>
                <w:rFonts w:hint="default" w:ascii="Times New Roman" w:hAnsi="Times New Roman" w:eastAsia="宋体" w:cs="Times New Roman"/>
                <w:color w:val="auto"/>
                <w:sz w:val="21"/>
                <w:szCs w:val="21"/>
                <w:lang w:val="en-US" w:eastAsia="zh-CN"/>
              </w:rPr>
              <w:t>颗粒物≤1.0mg/m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vertAlign w:val="baseline"/>
                <w:lang w:val="en-US" w:eastAsia="zh-CN"/>
              </w:rPr>
              <w:t>.</w:t>
            </w:r>
          </w:p>
        </w:tc>
      </w:tr>
    </w:tbl>
    <w:p>
      <w:pPr>
        <w:outlineLvl w:val="0"/>
        <w:rPr>
          <w:rFonts w:hint="default" w:ascii="Times New Roman" w:hAnsi="Times New Roman" w:eastAsia="宋体" w:cs="Times New Roman"/>
          <w:color w:val="000000" w:themeColor="text1"/>
          <w:sz w:val="21"/>
          <w:szCs w:val="21"/>
          <w14:textFill>
            <w14:solidFill>
              <w14:schemeClr w14:val="tx1"/>
            </w14:solidFill>
          </w14:textFill>
        </w:rPr>
        <w:sectPr>
          <w:footerReference r:id="rId5" w:type="default"/>
          <w:pgSz w:w="11906" w:h="16838"/>
          <w:pgMar w:top="1440" w:right="1440" w:bottom="1440" w:left="1701" w:header="709" w:footer="709" w:gutter="0"/>
          <w:pgBorders>
            <w:top w:val="none" w:sz="0" w:space="0"/>
            <w:left w:val="none" w:sz="0" w:space="0"/>
            <w:bottom w:val="none" w:sz="0" w:space="0"/>
            <w:right w:val="none" w:sz="0" w:space="0"/>
          </w:pgBorders>
          <w:pgNumType w:start="1"/>
          <w:cols w:space="0" w:num="1"/>
          <w:docGrid w:linePitch="360" w:charSpace="0"/>
        </w:sectPr>
      </w:pPr>
    </w:p>
    <w:p>
      <w:pPr>
        <w:spacing w:line="360" w:lineRule="auto"/>
        <w:outlineLvl w:val="0"/>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表二</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9" w:hRule="atLeast"/>
        </w:trPr>
        <w:tc>
          <w:tcPr>
            <w:tcW w:w="5000" w:type="pct"/>
          </w:tcPr>
          <w:p>
            <w:pPr>
              <w:widowControl/>
              <w:spacing w:line="360" w:lineRule="auto"/>
              <w:jc w:val="both"/>
              <w:rPr>
                <w:rFonts w:hint="default" w:ascii="Times New Roman" w:hAnsi="Times New Roman" w:eastAsia="宋体" w:cs="Times New Roman"/>
                <w:b/>
                <w:bCs/>
                <w:color w:val="000000" w:themeColor="text1"/>
                <w:sz w:val="24"/>
                <w:szCs w:val="24"/>
                <w:lang w:eastAsia="zh-CN"/>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工程建设内容：</w:t>
            </w:r>
          </w:p>
          <w:p>
            <w:pPr>
              <w:widowControl/>
              <w:numPr>
                <w:ilvl w:val="0"/>
                <w:numId w:val="2"/>
              </w:numPr>
              <w:spacing w:line="360" w:lineRule="auto"/>
              <w:ind w:left="-42" w:leftChars="0" w:firstLine="482" w:firstLineChars="0"/>
              <w:jc w:val="both"/>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项目概况</w:t>
            </w:r>
          </w:p>
          <w:p>
            <w:pPr>
              <w:pStyle w:val="2"/>
              <w:keepNext w:val="0"/>
              <w:keepLines w:val="0"/>
              <w:pageBreakBefore w:val="0"/>
              <w:widowControl/>
              <w:kinsoku/>
              <w:wordWrap/>
              <w:overflowPunct/>
              <w:topLinePunct w:val="0"/>
              <w:autoSpaceDE/>
              <w:autoSpaceDN/>
              <w:bidi w:val="0"/>
              <w:adjustRightInd w:val="0"/>
              <w:snapToGrid w:val="0"/>
              <w:spacing w:after="0" w:line="360" w:lineRule="auto"/>
              <w:ind w:firstLine="420"/>
              <w:jc w:val="both"/>
              <w:textAlignment w:val="auto"/>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福建优倍特模塑科技有限公司位于漳州市长泰区陈巷镇福照路12号，租赁福建金隆昌科技有限公司厂房进行塑料制品加工生产，租赁面积为5631.39m</w:t>
            </w:r>
            <w:r>
              <w:rPr>
                <w:rFonts w:hint="default" w:ascii="Times New Roman" w:hAnsi="Times New Roman" w:eastAsia="宋体" w:cs="Times New Roman"/>
                <w:color w:val="000000" w:themeColor="text1"/>
                <w:sz w:val="24"/>
                <w:szCs w:val="24"/>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，总建筑面积5631.39m</w:t>
            </w:r>
            <w:r>
              <w:rPr>
                <w:rFonts w:hint="default" w:ascii="Times New Roman" w:hAnsi="Times New Roman" w:eastAsia="宋体" w:cs="Times New Roman"/>
                <w:color w:val="000000" w:themeColor="text1"/>
                <w:sz w:val="24"/>
                <w:szCs w:val="24"/>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设计年产各类电器塑料零部件3000吨，该项目于2022年6月10通过漳州市长泰区发展和改革局福建省投资项目的备案，备案编号为闽发改备[2022]E070182号，同年12月23日通过2022年第四次长泰去工业项目落地会审，该项目属于环评管理名录中的二十六、橡胶和塑料制品业29:53.塑料制品业292中的其他（年用非溶剂型低VOCs含量涂料10吨以下的除外），需要编制环境影响评价报告表，因此福建优倍特模塑科技有限公司于2022年12月委托漳州市绿园环保技术咨询有限公司编制了《优倍特模塑科技生产项目环境影响评价报告表》，该报告表于2023年4月24日通过漳州市长泰生态环境局的审批，审批编号为：漳泰环评审[2023]表21号。项目于2023年1月开工建设，2023年4月竣工并投入试生产。公司于2023年04月25日取得排污许可证登记证（91350625MA8UR0E48T001X）。</w:t>
            </w:r>
          </w:p>
          <w:p>
            <w:pPr>
              <w:widowControl w:val="0"/>
              <w:adjustRightInd/>
              <w:snapToGrid/>
              <w:spacing w:line="360" w:lineRule="auto"/>
              <w:ind w:firstLine="480" w:firstLineChars="200"/>
              <w:jc w:val="both"/>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本项目</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四周情况为：</w:t>
            </w:r>
            <w:r>
              <w:rPr>
                <w:rFonts w:hint="default" w:ascii="Times New Roman" w:hAnsi="Times New Roman" w:eastAsia="宋体" w:cs="Times New Roman"/>
                <w:color w:val="000000" w:themeColor="text1"/>
                <w:sz w:val="24"/>
                <w:szCs w:val="24"/>
                <w:vertAlign w:val="baseline"/>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sz w:val="24"/>
                <w:szCs w:val="24"/>
                <w:vertAlign w:val="baseline"/>
                <w:lang w:val="zh-CN" w:eastAsia="zh-CN" w:bidi="ar-SA"/>
                <w14:textFill>
                  <w14:solidFill>
                    <w14:schemeClr w14:val="tx1"/>
                  </w14:solidFill>
                </w14:textFill>
              </w:rPr>
              <w:instrText xml:space="preserve"> REF 周边情况 \h </w:instrText>
            </w:r>
            <w:r>
              <w:rPr>
                <w:rFonts w:hint="default" w:ascii="Times New Roman" w:hAnsi="Times New Roman" w:eastAsia="宋体" w:cs="Times New Roman"/>
                <w:color w:val="000000" w:themeColor="text1"/>
                <w:sz w:val="24"/>
                <w:szCs w:val="24"/>
                <w:vertAlign w:val="baseline"/>
                <w:lang w:val="en-US" w:eastAsia="zh-CN" w:bidi="ar-SA"/>
                <w14:textFill>
                  <w14:solidFill>
                    <w14:schemeClr w14:val="tx1"/>
                  </w14:solidFill>
                </w14:textFill>
              </w:rPr>
              <w:instrText xml:space="preserve"> \* MERGEFORMAT </w:instrText>
            </w:r>
            <w:r>
              <w:rPr>
                <w:rFonts w:hint="default" w:ascii="Times New Roman" w:hAnsi="Times New Roman" w:eastAsia="宋体" w:cs="Times New Roman"/>
                <w:color w:val="000000" w:themeColor="text1"/>
                <w:sz w:val="24"/>
                <w:szCs w:val="24"/>
                <w:vertAlign w:val="baseline"/>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vertAlign w:val="baseline"/>
                <w:lang w:val="en-US" w:eastAsia="zh-CN" w:bidi="ar-SA"/>
                <w14:textFill>
                  <w14:solidFill>
                    <w14:schemeClr w14:val="tx1"/>
                  </w14:solidFill>
                </w14:textFill>
              </w:rPr>
              <w:t>项目北侧为福建金隆昌科技有限公司，东侧及南侧为空地，西侧为福建泰霖智能家居有限公司，北侧隔420m为夫坊村</w:t>
            </w:r>
            <w:r>
              <w:rPr>
                <w:rFonts w:hint="default" w:ascii="Times New Roman" w:hAnsi="Times New Roman" w:eastAsia="宋体" w:cs="Times New Roman"/>
                <w:color w:val="000000" w:themeColor="text1"/>
                <w:sz w:val="24"/>
                <w:szCs w:val="24"/>
                <w:vertAlign w:val="baseline"/>
                <w:lang w:val="en-US" w:eastAsia="zh-CN" w:bidi="ar-SA"/>
                <w14:textFill>
                  <w14:solidFill>
                    <w14:schemeClr w14:val="tx1"/>
                  </w14:solidFill>
                </w14:textFill>
              </w:rPr>
              <w:fldChar w:fldCharType="end"/>
            </w:r>
            <w:r>
              <w:rPr>
                <w:rFonts w:hint="default" w:ascii="Times New Roman" w:hAnsi="Times New Roman" w:eastAsia="宋体" w:cs="Times New Roman"/>
                <w:color w:val="000000" w:themeColor="text1"/>
                <w:sz w:val="24"/>
                <w:szCs w:val="24"/>
                <w:vertAlign w:val="baseline"/>
                <w:lang w:val="en-US" w:eastAsia="zh-CN" w:bidi="ar-SA"/>
                <w14:textFill>
                  <w14:solidFill>
                    <w14:schemeClr w14:val="tx1"/>
                  </w14:solidFill>
                </w14:textFill>
              </w:rPr>
              <w:t>。</w:t>
            </w:r>
          </w:p>
          <w:p>
            <w:pPr>
              <w:widowControl w:val="0"/>
              <w:adjustRightInd/>
              <w:snapToGrid/>
              <w:spacing w:line="360" w:lineRule="auto"/>
              <w:ind w:firstLine="480" w:firstLineChars="200"/>
              <w:jc w:val="both"/>
              <w:rPr>
                <w:rFonts w:hint="default" w:ascii="Times New Roman" w:hAnsi="Times New Roman" w:eastAsia="宋体" w:cs="Times New Roman"/>
                <w:lang w:val="en-US" w:eastAsia="zh-CN"/>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项目环评设计年产各类电器塑料零部件3000吨。项目设备经调试后，目前实际年产量与环评设计能力相同。本项目劳动定员60人，目前项目实际工人60人，均不住厂，年工作天数300天，每日3班，每班工作8小时。</w:t>
            </w:r>
          </w:p>
          <w:p>
            <w:pPr>
              <w:widowControl w:val="0"/>
              <w:adjustRightInd/>
              <w:snapToGrid/>
              <w:spacing w:line="360" w:lineRule="auto"/>
              <w:ind w:firstLine="480" w:firstLineChars="200"/>
              <w:jc w:val="both"/>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目前本项目已全部建成投产，根据《建设项目环境保护管理条例》和《建设项目竣工环境保护验收技术指南污染影响类》等法律法规文件的要求，公司依据国家有关法规文件、技术标准及经审批后的本项目环境影响报告表并结合现场实际情况制定了本项目的环境保护验收监测方案，并于202</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年</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14:textFill>
                  <w14:solidFill>
                    <w14:schemeClr w14:val="tx1"/>
                  </w14:solidFill>
                </w14:textFill>
              </w:rPr>
              <w:t>月</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26</w:t>
            </w:r>
            <w:r>
              <w:rPr>
                <w:rFonts w:hint="default" w:ascii="Times New Roman" w:hAnsi="Times New Roman" w:eastAsia="宋体" w:cs="Times New Roman"/>
                <w:color w:val="000000" w:themeColor="text1"/>
                <w:sz w:val="24"/>
                <w:szCs w:val="24"/>
                <w14:textFill>
                  <w14:solidFill>
                    <w14:schemeClr w14:val="tx1"/>
                  </w14:solidFill>
                </w14:textFill>
              </w:rPr>
              <w:t>日至202</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年</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14:textFill>
                  <w14:solidFill>
                    <w14:schemeClr w14:val="tx1"/>
                  </w14:solidFill>
                </w14:textFill>
              </w:rPr>
              <w:t>月</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27</w:t>
            </w:r>
            <w:r>
              <w:rPr>
                <w:rFonts w:hint="default" w:ascii="Times New Roman" w:hAnsi="Times New Roman" w:eastAsia="宋体" w:cs="Times New Roman"/>
                <w:color w:val="000000" w:themeColor="text1"/>
                <w:sz w:val="24"/>
                <w:szCs w:val="24"/>
                <w14:textFill>
                  <w14:solidFill>
                    <w14:schemeClr w14:val="tx1"/>
                  </w14:solidFill>
                </w14:textFill>
              </w:rPr>
              <w:t>日委托</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福建绿家检测技术有限公司</w:t>
            </w:r>
            <w:r>
              <w:rPr>
                <w:rFonts w:hint="default" w:ascii="Times New Roman" w:hAnsi="Times New Roman" w:eastAsia="宋体" w:cs="Times New Roman"/>
                <w:color w:val="000000" w:themeColor="text1"/>
                <w:sz w:val="24"/>
                <w:szCs w:val="24"/>
                <w14:textFill>
                  <w14:solidFill>
                    <w14:schemeClr w14:val="tx1"/>
                  </w14:solidFill>
                </w14:textFill>
              </w:rPr>
              <w:t>到本项目开展竣工环境保护验收</w:t>
            </w:r>
            <w:r>
              <w:rPr>
                <w:rFonts w:hint="default" w:ascii="Times New Roman" w:hAnsi="Times New Roman" w:eastAsia="宋体" w:cs="Times New Roman"/>
                <w:color w:val="000000" w:themeColor="text1"/>
                <w:sz w:val="24"/>
                <w:szCs w:val="24"/>
                <w:lang w:eastAsia="zh-CN"/>
                <w14:textFill>
                  <w14:solidFill>
                    <w14:schemeClr w14:val="tx1"/>
                  </w14:solidFill>
                </w14:textFill>
              </w:rPr>
              <w:t>检测</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根据现场监测情况、样品监测分析结果及现场调查情况，编制本验收监测报告表。</w:t>
            </w:r>
          </w:p>
          <w:p>
            <w:pPr>
              <w:pStyle w:val="29"/>
              <w:spacing w:line="360" w:lineRule="auto"/>
              <w:ind w:firstLine="480" w:firstLineChars="200"/>
              <w:jc w:val="both"/>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具体建设内容见下表2-1：</w:t>
            </w:r>
          </w:p>
          <w:p>
            <w:pPr>
              <w:widowControl/>
              <w:numPr>
                <w:ilvl w:val="0"/>
                <w:numId w:val="2"/>
              </w:numPr>
              <w:spacing w:line="360" w:lineRule="auto"/>
              <w:ind w:left="-42" w:leftChars="0" w:firstLine="482" w:firstLineChars="0"/>
              <w:jc w:val="both"/>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项目建设内容</w:t>
            </w:r>
          </w:p>
          <w:p>
            <w:pPr>
              <w:pStyle w:val="2"/>
              <w:widowControl w:val="0"/>
              <w:jc w:val="both"/>
              <w:rPr>
                <w:rFonts w:hint="default" w:ascii="Times New Roman" w:hAnsi="Times New Roman" w:eastAsia="宋体" w:cs="Times New Roman"/>
                <w:b/>
                <w:bCs/>
                <w:color w:val="000000" w:themeColor="text1"/>
                <w:sz w:val="21"/>
                <w:szCs w:val="21"/>
                <w14:textFill>
                  <w14:solidFill>
                    <w14:schemeClr w14:val="tx1"/>
                  </w14:solidFill>
                </w14:textFill>
              </w:rPr>
            </w:pPr>
          </w:p>
          <w:p>
            <w:pPr>
              <w:pStyle w:val="2"/>
              <w:widowControl w:val="0"/>
              <w:jc w:val="both"/>
              <w:rPr>
                <w:rFonts w:hint="default" w:ascii="Times New Roman" w:hAnsi="Times New Roman" w:eastAsia="宋体" w:cs="Times New Roman"/>
                <w:b/>
                <w:bCs/>
                <w:color w:val="000000" w:themeColor="text1"/>
                <w:sz w:val="21"/>
                <w:szCs w:val="21"/>
                <w14:textFill>
                  <w14:solidFill>
                    <w14:schemeClr w14:val="tx1"/>
                  </w14:solidFill>
                </w14:textFill>
              </w:rPr>
            </w:pPr>
          </w:p>
          <w:p>
            <w:pPr>
              <w:pStyle w:val="2"/>
              <w:widowControl w:val="0"/>
              <w:jc w:val="both"/>
              <w:rPr>
                <w:rFonts w:hint="default" w:ascii="Times New Roman" w:hAnsi="Times New Roman" w:eastAsia="宋体" w:cs="Times New Roman"/>
                <w:b/>
                <w:bCs/>
                <w:color w:val="000000" w:themeColor="text1"/>
                <w:sz w:val="21"/>
                <w:szCs w:val="21"/>
                <w14:textFill>
                  <w14:solidFill>
                    <w14:schemeClr w14:val="tx1"/>
                  </w14:solidFill>
                </w14:textFill>
              </w:rPr>
            </w:pPr>
          </w:p>
          <w:p>
            <w:pPr>
              <w:pStyle w:val="2"/>
              <w:widowControl w:val="0"/>
              <w:jc w:val="both"/>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表2-1项目建设内容一览表</w:t>
            </w:r>
          </w:p>
          <w:tbl>
            <w:tblPr>
              <w:tblStyle w:val="22"/>
              <w:tblW w:w="5039"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079"/>
              <w:gridCol w:w="553"/>
              <w:gridCol w:w="810"/>
              <w:gridCol w:w="2687"/>
              <w:gridCol w:w="2173"/>
              <w:gridCol w:w="1532"/>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18" w:hRule="atLeast"/>
                <w:jc w:val="center"/>
              </w:trPr>
              <w:tc>
                <w:tcPr>
                  <w:tcW w:w="610" w:type="pct"/>
                  <w:noWrap w:val="0"/>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工程类别</w:t>
                  </w:r>
                </w:p>
              </w:tc>
              <w:tc>
                <w:tcPr>
                  <w:tcW w:w="771" w:type="pct"/>
                  <w:gridSpan w:val="2"/>
                  <w:noWrap w:val="0"/>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组成</w:t>
                  </w:r>
                </w:p>
              </w:tc>
              <w:tc>
                <w:tcPr>
                  <w:tcW w:w="1520" w:type="pct"/>
                  <w:tcBorders>
                    <w:right w:val="single" w:color="auto" w:sz="4" w:space="0"/>
                  </w:tcBorders>
                  <w:noWrap w:val="0"/>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规格</w:t>
                  </w:r>
                </w:p>
              </w:tc>
              <w:tc>
                <w:tcPr>
                  <w:tcW w:w="1229" w:type="pct"/>
                  <w:tcBorders>
                    <w:top w:val="single" w:color="auto" w:sz="12" w:space="0"/>
                    <w:left w:val="single" w:color="auto" w:sz="4" w:space="0"/>
                    <w:bottom w:val="single" w:color="auto" w:sz="4" w:space="0"/>
                    <w:right w:val="nil"/>
                  </w:tcBorders>
                  <w:noWrap w:val="0"/>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实际建设情况</w:t>
                  </w:r>
                </w:p>
              </w:tc>
              <w:tc>
                <w:tcPr>
                  <w:tcW w:w="867" w:type="pct"/>
                  <w:tcBorders>
                    <w:top w:val="single" w:color="auto" w:sz="12" w:space="0"/>
                    <w:left w:val="single" w:color="auto" w:sz="4" w:space="0"/>
                    <w:bottom w:val="single" w:color="auto" w:sz="4" w:space="0"/>
                    <w:right w:val="nil"/>
                  </w:tcBorders>
                  <w:noWrap w:val="0"/>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与环评一致性</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777" w:hRule="atLeast"/>
                <w:jc w:val="center"/>
              </w:trPr>
              <w:tc>
                <w:tcPr>
                  <w:tcW w:w="610" w:type="pct"/>
                  <w:noWrap w:val="0"/>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主体工程</w:t>
                  </w:r>
                </w:p>
              </w:tc>
              <w:tc>
                <w:tcPr>
                  <w:tcW w:w="771" w:type="pct"/>
                  <w:gridSpan w:val="2"/>
                  <w:noWrap w:val="0"/>
                  <w:vAlign w:val="center"/>
                </w:tcPr>
                <w:p>
                  <w:pPr>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szCs w:val="21"/>
                    </w:rPr>
                    <w:t>厂房</w:t>
                  </w:r>
                </w:p>
              </w:tc>
              <w:tc>
                <w:tcPr>
                  <w:tcW w:w="1520" w:type="pct"/>
                  <w:noWrap w:val="0"/>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1F，H=7m，共5631.39m</w:t>
                  </w:r>
                  <w:r>
                    <w:rPr>
                      <w:rFonts w:hint="default" w:ascii="Times New Roman" w:hAnsi="Times New Roman" w:eastAsia="宋体" w:cs="Times New Roman"/>
                      <w:color w:val="000000" w:themeColor="text1"/>
                      <w:sz w:val="21"/>
                      <w:szCs w:val="21"/>
                      <w:vertAlign w:val="superscript"/>
                      <w:lang w:val="en-US" w:eastAsia="zh-CN"/>
                      <w14:textFill>
                        <w14:solidFill>
                          <w14:schemeClr w14:val="tx1"/>
                        </w14:solidFill>
                      </w14:textFill>
                    </w:rPr>
                    <w:t>2</w:t>
                  </w:r>
                </w:p>
              </w:tc>
              <w:tc>
                <w:tcPr>
                  <w:tcW w:w="1229" w:type="pct"/>
                  <w:tcBorders>
                    <w:top w:val="single" w:color="auto" w:sz="4" w:space="0"/>
                  </w:tcBorders>
                  <w:noWrap w:val="0"/>
                  <w:vAlign w:val="center"/>
                </w:tcPr>
                <w:p>
                  <w:pPr>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1F，H=7m，共5631.39m</w:t>
                  </w:r>
                  <w:r>
                    <w:rPr>
                      <w:rFonts w:hint="default" w:ascii="Times New Roman" w:hAnsi="Times New Roman" w:eastAsia="宋体" w:cs="Times New Roman"/>
                      <w:color w:val="000000" w:themeColor="text1"/>
                      <w:sz w:val="21"/>
                      <w:szCs w:val="21"/>
                      <w:vertAlign w:val="superscript"/>
                      <w:lang w:val="en-US" w:eastAsia="zh-CN"/>
                      <w14:textFill>
                        <w14:solidFill>
                          <w14:schemeClr w14:val="tx1"/>
                        </w14:solidFill>
                      </w14:textFill>
                    </w:rPr>
                    <w:t>2</w:t>
                  </w:r>
                </w:p>
              </w:tc>
              <w:tc>
                <w:tcPr>
                  <w:tcW w:w="867" w:type="pct"/>
                  <w:tcBorders>
                    <w:top w:val="single" w:color="auto" w:sz="4" w:space="0"/>
                  </w:tcBorders>
                  <w:noWrap w:val="0"/>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与环评一致</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17" w:hRule="atLeast"/>
                <w:jc w:val="center"/>
              </w:trPr>
              <w:tc>
                <w:tcPr>
                  <w:tcW w:w="610" w:type="pct"/>
                  <w:vMerge w:val="restart"/>
                  <w:noWrap w:val="0"/>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公用工程</w:t>
                  </w:r>
                </w:p>
              </w:tc>
              <w:tc>
                <w:tcPr>
                  <w:tcW w:w="771" w:type="pct"/>
                  <w:gridSpan w:val="2"/>
                  <w:noWrap w:val="0"/>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供电</w:t>
                  </w:r>
                </w:p>
              </w:tc>
              <w:tc>
                <w:tcPr>
                  <w:tcW w:w="1520" w:type="pct"/>
                  <w:noWrap w:val="0"/>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区域电网供应</w:t>
                  </w:r>
                </w:p>
              </w:tc>
              <w:tc>
                <w:tcPr>
                  <w:tcW w:w="1229" w:type="pct"/>
                  <w:noWrap w:val="0"/>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区域电网供应</w:t>
                  </w:r>
                </w:p>
              </w:tc>
              <w:tc>
                <w:tcPr>
                  <w:tcW w:w="867" w:type="pct"/>
                  <w:noWrap w:val="0"/>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与环评一致</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01" w:hRule="atLeast"/>
                <w:jc w:val="center"/>
              </w:trPr>
              <w:tc>
                <w:tcPr>
                  <w:tcW w:w="610" w:type="pct"/>
                  <w:vMerge w:val="continue"/>
                  <w:noWrap w:val="0"/>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771" w:type="pct"/>
                  <w:gridSpan w:val="2"/>
                  <w:noWrap w:val="0"/>
                  <w:vAlign w:val="center"/>
                </w:tcPr>
                <w:p>
                  <w:pPr>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供</w:t>
                  </w:r>
                  <w:r>
                    <w:rPr>
                      <w:rFonts w:hint="default" w:ascii="Times New Roman" w:hAnsi="Times New Roman" w:eastAsia="宋体" w:cs="Times New Roman"/>
                      <w:color w:val="000000" w:themeColor="text1"/>
                      <w:sz w:val="21"/>
                      <w:szCs w:val="21"/>
                      <w:lang w:eastAsia="zh-CN"/>
                      <w14:textFill>
                        <w14:solidFill>
                          <w14:schemeClr w14:val="tx1"/>
                        </w14:solidFill>
                      </w14:textFill>
                    </w:rPr>
                    <w:t>水</w:t>
                  </w:r>
                </w:p>
              </w:tc>
              <w:tc>
                <w:tcPr>
                  <w:tcW w:w="1520" w:type="pct"/>
                  <w:noWrap w:val="0"/>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自来水管网供给</w:t>
                  </w:r>
                </w:p>
              </w:tc>
              <w:tc>
                <w:tcPr>
                  <w:tcW w:w="1229" w:type="pct"/>
                  <w:noWrap w:val="0"/>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自来水管网供给</w:t>
                  </w:r>
                </w:p>
              </w:tc>
              <w:tc>
                <w:tcPr>
                  <w:tcW w:w="867" w:type="pct"/>
                  <w:noWrap w:val="0"/>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与环评一致</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622" w:hRule="atLeast"/>
                <w:jc w:val="center"/>
              </w:trPr>
              <w:tc>
                <w:tcPr>
                  <w:tcW w:w="610" w:type="pct"/>
                  <w:vMerge w:val="restart"/>
                  <w:noWrap w:val="0"/>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环保工程</w:t>
                  </w:r>
                </w:p>
              </w:tc>
              <w:tc>
                <w:tcPr>
                  <w:tcW w:w="312" w:type="pct"/>
                  <w:vMerge w:val="restart"/>
                  <w:noWrap w:val="0"/>
                  <w:vAlign w:val="center"/>
                </w:tcPr>
                <w:p>
                  <w:pPr>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废水</w:t>
                  </w:r>
                </w:p>
              </w:tc>
              <w:tc>
                <w:tcPr>
                  <w:tcW w:w="458" w:type="pct"/>
                  <w:noWrap w:val="0"/>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生活污水</w:t>
                  </w:r>
                </w:p>
              </w:tc>
              <w:tc>
                <w:tcPr>
                  <w:tcW w:w="1520" w:type="pct"/>
                  <w:noWrap w:val="0"/>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生活污水采用三级化粪池进行处理后通过市政污水管网排入长泰东区污水处理厂</w:t>
                  </w:r>
                </w:p>
              </w:tc>
              <w:tc>
                <w:tcPr>
                  <w:tcW w:w="1229" w:type="pct"/>
                  <w:noWrap w:val="0"/>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生活污水采用三级化粪池进行处理后通过市政污水管网排入长泰东区污水处理厂</w:t>
                  </w:r>
                </w:p>
              </w:tc>
              <w:tc>
                <w:tcPr>
                  <w:tcW w:w="867" w:type="pct"/>
                  <w:noWrap w:val="0"/>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与环评一致</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64" w:hRule="atLeast"/>
                <w:jc w:val="center"/>
              </w:trPr>
              <w:tc>
                <w:tcPr>
                  <w:tcW w:w="610" w:type="pct"/>
                  <w:vMerge w:val="continue"/>
                  <w:noWrap w:val="0"/>
                  <w:vAlign w:val="center"/>
                </w:tcPr>
                <w:p>
                  <w:pPr>
                    <w:jc w:val="center"/>
                    <w:rPr>
                      <w:rFonts w:hint="default" w:ascii="Times New Roman" w:hAnsi="Times New Roman" w:eastAsia="宋体" w:cs="Times New Roman"/>
                    </w:rPr>
                  </w:pPr>
                </w:p>
              </w:tc>
              <w:tc>
                <w:tcPr>
                  <w:tcW w:w="312" w:type="pct"/>
                  <w:vMerge w:val="continue"/>
                  <w:noWrap w:val="0"/>
                  <w:vAlign w:val="center"/>
                </w:tcPr>
                <w:p>
                  <w:pPr>
                    <w:jc w:val="center"/>
                    <w:rPr>
                      <w:rFonts w:hint="default" w:ascii="Times New Roman" w:hAnsi="Times New Roman" w:eastAsia="宋体" w:cs="Times New Roman"/>
                    </w:rPr>
                  </w:pPr>
                </w:p>
              </w:tc>
              <w:tc>
                <w:tcPr>
                  <w:tcW w:w="458" w:type="pct"/>
                  <w:noWrap w:val="0"/>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生产废水</w:t>
                  </w:r>
                </w:p>
              </w:tc>
              <w:tc>
                <w:tcPr>
                  <w:tcW w:w="1520" w:type="pct"/>
                  <w:noWrap w:val="0"/>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冷却废水经沉淀池沉淀后循环利用，不外排</w:t>
                  </w:r>
                </w:p>
              </w:tc>
              <w:tc>
                <w:tcPr>
                  <w:tcW w:w="1229" w:type="pct"/>
                  <w:noWrap w:val="0"/>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冷却废水在机台设备上循环利用，不外排</w:t>
                  </w:r>
                </w:p>
              </w:tc>
              <w:tc>
                <w:tcPr>
                  <w:tcW w:w="867" w:type="pct"/>
                  <w:noWrap w:val="0"/>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冷却废水在机台设备上循环，不需要沉淀池</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01" w:hRule="atLeast"/>
                <w:jc w:val="center"/>
              </w:trPr>
              <w:tc>
                <w:tcPr>
                  <w:tcW w:w="610" w:type="pct"/>
                  <w:vMerge w:val="continue"/>
                  <w:noWrap w:val="0"/>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771" w:type="pct"/>
                  <w:gridSpan w:val="2"/>
                  <w:noWrap w:val="0"/>
                  <w:vAlign w:val="center"/>
                </w:tcPr>
                <w:p>
                  <w:pPr>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噪声</w:t>
                  </w:r>
                </w:p>
              </w:tc>
              <w:tc>
                <w:tcPr>
                  <w:tcW w:w="1520" w:type="pct"/>
                  <w:noWrap w:val="0"/>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合理布局，选用低噪声设备，车间隔声，加强设备维护，加强厂区绿化等</w:t>
                  </w:r>
                </w:p>
              </w:tc>
              <w:tc>
                <w:tcPr>
                  <w:tcW w:w="1229" w:type="pct"/>
                  <w:noWrap w:val="0"/>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合理布局，选用低噪声设备，车间隔声，加强设备维护，加强厂区绿化等</w:t>
                  </w:r>
                </w:p>
              </w:tc>
              <w:tc>
                <w:tcPr>
                  <w:tcW w:w="867" w:type="pct"/>
                  <w:noWrap w:val="0"/>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与环评一致</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128" w:hRule="atLeast"/>
                <w:jc w:val="center"/>
              </w:trPr>
              <w:tc>
                <w:tcPr>
                  <w:tcW w:w="610" w:type="pct"/>
                  <w:vMerge w:val="continue"/>
                  <w:noWrap w:val="0"/>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312" w:type="pct"/>
                  <w:vMerge w:val="restart"/>
                  <w:noWrap w:val="0"/>
                  <w:vAlign w:val="center"/>
                </w:tcPr>
                <w:p>
                  <w:pPr>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废气</w:t>
                  </w:r>
                </w:p>
              </w:tc>
              <w:tc>
                <w:tcPr>
                  <w:tcW w:w="458" w:type="pct"/>
                  <w:noWrap w:val="0"/>
                  <w:vAlign w:val="center"/>
                </w:tcPr>
                <w:p>
                  <w:pPr>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有机废气</w:t>
                  </w:r>
                </w:p>
              </w:tc>
              <w:tc>
                <w:tcPr>
                  <w:tcW w:w="1520" w:type="pct"/>
                  <w:noWrap w:val="0"/>
                  <w:vAlign w:val="center"/>
                </w:tcPr>
                <w:p>
                  <w:pPr>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集气罩+2级活性炭吸附装置+15m高排气筒（DA001）</w:t>
                  </w:r>
                </w:p>
              </w:tc>
              <w:tc>
                <w:tcPr>
                  <w:tcW w:w="1229" w:type="pct"/>
                  <w:noWrap w:val="0"/>
                  <w:vAlign w:val="center"/>
                </w:tcPr>
                <w:p>
                  <w:pPr>
                    <w:jc w:val="both"/>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两套废气处理设施，集气罩+2级活性炭吸附装置+15m高排气筒</w:t>
                  </w:r>
                </w:p>
              </w:tc>
              <w:tc>
                <w:tcPr>
                  <w:tcW w:w="867" w:type="pct"/>
                  <w:noWrap w:val="0"/>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新增一套有机废气处理设施</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143" w:hRule="atLeast"/>
                <w:jc w:val="center"/>
              </w:trPr>
              <w:tc>
                <w:tcPr>
                  <w:tcW w:w="610" w:type="pct"/>
                  <w:vMerge w:val="continue"/>
                  <w:noWrap w:val="0"/>
                  <w:vAlign w:val="center"/>
                </w:tcPr>
                <w:p>
                  <w:pPr>
                    <w:jc w:val="center"/>
                    <w:rPr>
                      <w:rFonts w:hint="default" w:ascii="Times New Roman" w:hAnsi="Times New Roman" w:eastAsia="宋体" w:cs="Times New Roman"/>
                    </w:rPr>
                  </w:pPr>
                </w:p>
              </w:tc>
              <w:tc>
                <w:tcPr>
                  <w:tcW w:w="312" w:type="pct"/>
                  <w:vMerge w:val="continue"/>
                  <w:noWrap w:val="0"/>
                  <w:vAlign w:val="center"/>
                </w:tcPr>
                <w:p>
                  <w:pPr>
                    <w:jc w:val="center"/>
                    <w:rPr>
                      <w:rFonts w:hint="default" w:ascii="Times New Roman" w:hAnsi="Times New Roman" w:eastAsia="宋体" w:cs="Times New Roman"/>
                    </w:rPr>
                  </w:pPr>
                </w:p>
              </w:tc>
              <w:tc>
                <w:tcPr>
                  <w:tcW w:w="458" w:type="pct"/>
                  <w:noWrap w:val="0"/>
                  <w:vAlign w:val="center"/>
                </w:tcPr>
                <w:p>
                  <w:pPr>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颗粒物</w:t>
                  </w:r>
                </w:p>
              </w:tc>
              <w:tc>
                <w:tcPr>
                  <w:tcW w:w="1520" w:type="pct"/>
                  <w:noWrap w:val="0"/>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移动式布袋除尘器</w:t>
                  </w:r>
                </w:p>
              </w:tc>
              <w:tc>
                <w:tcPr>
                  <w:tcW w:w="1229" w:type="pct"/>
                  <w:noWrap w:val="0"/>
                  <w:vAlign w:val="center"/>
                </w:tcPr>
                <w:p>
                  <w:pPr>
                    <w:keepNext w:val="0"/>
                    <w:keepLines w:val="0"/>
                    <w:widowControl/>
                    <w:suppressLineNumbers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移动式布袋除尘器</w:t>
                  </w:r>
                </w:p>
              </w:tc>
              <w:tc>
                <w:tcPr>
                  <w:tcW w:w="867" w:type="pct"/>
                  <w:noWrap w:val="0"/>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与环评一致</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143" w:hRule="atLeast"/>
                <w:jc w:val="center"/>
              </w:trPr>
              <w:tc>
                <w:tcPr>
                  <w:tcW w:w="610" w:type="pct"/>
                  <w:vMerge w:val="continue"/>
                  <w:noWrap w:val="0"/>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312" w:type="pct"/>
                  <w:vMerge w:val="restart"/>
                  <w:noWrap w:val="0"/>
                  <w:vAlign w:val="center"/>
                </w:tcPr>
                <w:p>
                  <w:pPr>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固废</w:t>
                  </w:r>
                </w:p>
              </w:tc>
              <w:tc>
                <w:tcPr>
                  <w:tcW w:w="458" w:type="pct"/>
                  <w:noWrap w:val="0"/>
                  <w:vAlign w:val="center"/>
                </w:tcPr>
                <w:p>
                  <w:pPr>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生活垃圾</w:t>
                  </w:r>
                </w:p>
              </w:tc>
              <w:tc>
                <w:tcPr>
                  <w:tcW w:w="1520" w:type="pct"/>
                  <w:noWrap w:val="0"/>
                  <w:vAlign w:val="center"/>
                </w:tcPr>
                <w:p>
                  <w:pPr>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配备建设生活垃圾临时收集桶</w:t>
                  </w:r>
                </w:p>
              </w:tc>
              <w:tc>
                <w:tcPr>
                  <w:tcW w:w="1229" w:type="pct"/>
                  <w:noWrap w:val="0"/>
                  <w:vAlign w:val="center"/>
                </w:tcPr>
                <w:p>
                  <w:pPr>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生活垃圾分类收集收，由环卫部门统一清运。</w:t>
                  </w:r>
                </w:p>
              </w:tc>
              <w:tc>
                <w:tcPr>
                  <w:tcW w:w="867" w:type="pct"/>
                  <w:noWrap w:val="0"/>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与环评一致</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143" w:hRule="atLeast"/>
                <w:jc w:val="center"/>
              </w:trPr>
              <w:tc>
                <w:tcPr>
                  <w:tcW w:w="610" w:type="pct"/>
                  <w:vMerge w:val="continue"/>
                  <w:noWrap w:val="0"/>
                  <w:vAlign w:val="center"/>
                </w:tcPr>
                <w:p>
                  <w:pPr>
                    <w:jc w:val="center"/>
                    <w:rPr>
                      <w:rFonts w:hint="default" w:ascii="Times New Roman" w:hAnsi="Times New Roman" w:eastAsia="宋体" w:cs="Times New Roman"/>
                    </w:rPr>
                  </w:pPr>
                </w:p>
              </w:tc>
              <w:tc>
                <w:tcPr>
                  <w:tcW w:w="312" w:type="pct"/>
                  <w:vMerge w:val="continue"/>
                  <w:noWrap w:val="0"/>
                  <w:vAlign w:val="center"/>
                </w:tcPr>
                <w:p>
                  <w:pPr>
                    <w:jc w:val="center"/>
                    <w:rPr>
                      <w:rFonts w:hint="default" w:ascii="Times New Roman" w:hAnsi="Times New Roman" w:eastAsia="宋体" w:cs="Times New Roman"/>
                    </w:rPr>
                  </w:pPr>
                </w:p>
              </w:tc>
              <w:tc>
                <w:tcPr>
                  <w:tcW w:w="458" w:type="pct"/>
                  <w:noWrap w:val="0"/>
                  <w:vAlign w:val="center"/>
                </w:tcPr>
                <w:p>
                  <w:pPr>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一般工业固废</w:t>
                  </w:r>
                </w:p>
              </w:tc>
              <w:tc>
                <w:tcPr>
                  <w:tcW w:w="1520" w:type="pct"/>
                  <w:noWrap w:val="0"/>
                  <w:vAlign w:val="center"/>
                </w:tcPr>
                <w:p>
                  <w:pPr>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配备建设一般固废贮存场所</w:t>
                  </w:r>
                </w:p>
              </w:tc>
              <w:tc>
                <w:tcPr>
                  <w:tcW w:w="1229" w:type="pct"/>
                  <w:noWrap w:val="0"/>
                  <w:vAlign w:val="center"/>
                </w:tcPr>
                <w:p>
                  <w:pPr>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配备建设一般固废贮存场所</w:t>
                  </w:r>
                </w:p>
              </w:tc>
              <w:tc>
                <w:tcPr>
                  <w:tcW w:w="867" w:type="pct"/>
                  <w:noWrap w:val="0"/>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与环评一致</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87" w:hRule="atLeast"/>
                <w:jc w:val="center"/>
              </w:trPr>
              <w:tc>
                <w:tcPr>
                  <w:tcW w:w="610" w:type="pct"/>
                  <w:vMerge w:val="continue"/>
                  <w:noWrap w:val="0"/>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312" w:type="pct"/>
                  <w:vMerge w:val="continue"/>
                  <w:noWrap w:val="0"/>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458" w:type="pct"/>
                  <w:noWrap w:val="0"/>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危险废物</w:t>
                  </w:r>
                </w:p>
              </w:tc>
              <w:tc>
                <w:tcPr>
                  <w:tcW w:w="1520" w:type="pct"/>
                  <w:noWrap w:val="0"/>
                  <w:vAlign w:val="center"/>
                </w:tcPr>
                <w:p>
                  <w:pPr>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配备建设危废储存仓库。</w:t>
                  </w:r>
                </w:p>
              </w:tc>
              <w:tc>
                <w:tcPr>
                  <w:tcW w:w="1229" w:type="pct"/>
                  <w:noWrap w:val="0"/>
                  <w:vAlign w:val="center"/>
                </w:tcPr>
                <w:p>
                  <w:pPr>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配备建设危废储存仓库</w:t>
                  </w:r>
                </w:p>
              </w:tc>
              <w:tc>
                <w:tcPr>
                  <w:tcW w:w="867" w:type="pct"/>
                  <w:noWrap w:val="0"/>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与环评一致</w:t>
                  </w:r>
                </w:p>
              </w:tc>
            </w:tr>
          </w:tbl>
          <w:p>
            <w:pPr>
              <w:pStyle w:val="29"/>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表2-2项目产品方案</w:t>
            </w:r>
          </w:p>
          <w:tbl>
            <w:tblPr>
              <w:tblStyle w:val="23"/>
              <w:tblW w:w="4988"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2600"/>
              <w:gridCol w:w="2728"/>
              <w:gridCol w:w="3401"/>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1489" w:type="pct"/>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产品</w:t>
                  </w:r>
                </w:p>
              </w:tc>
              <w:tc>
                <w:tcPr>
                  <w:tcW w:w="1562" w:type="pct"/>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环评设计生产能力</w:t>
                  </w:r>
                </w:p>
              </w:tc>
              <w:tc>
                <w:tcPr>
                  <w:tcW w:w="1948" w:type="pct"/>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实际生产能力</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1489" w:type="pct"/>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各类电器塑料零部件</w:t>
                  </w:r>
                </w:p>
              </w:tc>
              <w:tc>
                <w:tcPr>
                  <w:tcW w:w="1562"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3000t/a</w:t>
                  </w:r>
                </w:p>
              </w:tc>
              <w:tc>
                <w:tcPr>
                  <w:tcW w:w="1948" w:type="pct"/>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3000t/a</w:t>
                  </w:r>
                </w:p>
              </w:tc>
            </w:tr>
          </w:tbl>
          <w:p>
            <w:pPr>
              <w:pStyle w:val="29"/>
              <w:jc w:val="center"/>
              <w:rPr>
                <w:rFonts w:hint="default" w:ascii="Times New Roman" w:hAnsi="Times New Roman" w:eastAsia="宋体" w:cs="Times New Roman"/>
                <w:b/>
                <w:bCs/>
                <w:color w:val="000000" w:themeColor="text1"/>
                <w:sz w:val="21"/>
                <w:szCs w:val="21"/>
                <w14:textFill>
                  <w14:solidFill>
                    <w14:schemeClr w14:val="tx1"/>
                  </w14:solidFill>
                </w14:textFill>
              </w:rPr>
            </w:pPr>
          </w:p>
          <w:p>
            <w:pPr>
              <w:pStyle w:val="29"/>
              <w:jc w:val="center"/>
              <w:rPr>
                <w:rFonts w:hint="default" w:ascii="Times New Roman" w:hAnsi="Times New Roman" w:eastAsia="宋体" w:cs="Times New Roman"/>
                <w:b/>
                <w:bCs/>
                <w:color w:val="000000" w:themeColor="text1"/>
                <w:sz w:val="21"/>
                <w:szCs w:val="21"/>
                <w14:textFill>
                  <w14:solidFill>
                    <w14:schemeClr w14:val="tx1"/>
                  </w14:solidFill>
                </w14:textFill>
              </w:rPr>
            </w:pPr>
          </w:p>
          <w:p>
            <w:pPr>
              <w:pStyle w:val="29"/>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表2-3主要生产设备一览表</w:t>
            </w:r>
          </w:p>
          <w:tbl>
            <w:tblPr>
              <w:tblStyle w:val="22"/>
              <w:tblW w:w="4154" w:type="pct"/>
              <w:jc w:val="center"/>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683"/>
              <w:gridCol w:w="2249"/>
              <w:gridCol w:w="788"/>
              <w:gridCol w:w="1320"/>
              <w:gridCol w:w="1110"/>
              <w:gridCol w:w="1132"/>
            </w:tblGrid>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468" w:type="pct"/>
                  <w:tcBorders>
                    <w:top w:val="single" w:color="000000" w:sz="12" w:space="0"/>
                  </w:tcBorders>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szCs w:val="21"/>
                    </w:rPr>
                  </w:pPr>
                  <w:r>
                    <w:rPr>
                      <w:rFonts w:hint="default" w:ascii="Times New Roman" w:hAnsi="Times New Roman" w:eastAsia="宋体" w:cs="Times New Roman"/>
                      <w:bCs/>
                      <w:szCs w:val="21"/>
                    </w:rPr>
                    <w:t>序号</w:t>
                  </w:r>
                </w:p>
              </w:tc>
              <w:tc>
                <w:tcPr>
                  <w:tcW w:w="1544" w:type="pct"/>
                  <w:tcBorders>
                    <w:top w:val="single" w:color="000000" w:sz="12" w:space="0"/>
                  </w:tcBorders>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szCs w:val="21"/>
                    </w:rPr>
                  </w:pPr>
                  <w:r>
                    <w:rPr>
                      <w:rFonts w:hint="default" w:ascii="Times New Roman" w:hAnsi="Times New Roman" w:eastAsia="宋体" w:cs="Times New Roman"/>
                      <w:bCs/>
                      <w:szCs w:val="21"/>
                    </w:rPr>
                    <w:t>设备名称</w:t>
                  </w:r>
                </w:p>
              </w:tc>
              <w:tc>
                <w:tcPr>
                  <w:tcW w:w="541" w:type="pct"/>
                  <w:tcBorders>
                    <w:top w:val="single" w:color="000000" w:sz="12" w:space="0"/>
                  </w:tcBorders>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szCs w:val="21"/>
                    </w:rPr>
                  </w:pPr>
                  <w:r>
                    <w:rPr>
                      <w:rFonts w:hint="default" w:ascii="Times New Roman" w:hAnsi="Times New Roman" w:eastAsia="宋体" w:cs="Times New Roman"/>
                      <w:bCs/>
                      <w:szCs w:val="21"/>
                    </w:rPr>
                    <w:t>单位</w:t>
                  </w:r>
                </w:p>
              </w:tc>
              <w:tc>
                <w:tcPr>
                  <w:tcW w:w="906" w:type="pct"/>
                  <w:tcBorders>
                    <w:top w:val="single" w:color="000000" w:sz="12" w:space="0"/>
                  </w:tcBorders>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szCs w:val="21"/>
                    </w:rPr>
                  </w:pPr>
                  <w:r>
                    <w:rPr>
                      <w:rFonts w:hint="default" w:ascii="Times New Roman" w:hAnsi="Times New Roman" w:eastAsia="宋体" w:cs="Times New Roman"/>
                      <w:bCs/>
                      <w:szCs w:val="21"/>
                      <w:lang w:eastAsia="zh-CN"/>
                    </w:rPr>
                    <w:t>本项目环评</w:t>
                  </w:r>
                  <w:r>
                    <w:rPr>
                      <w:rFonts w:hint="default" w:ascii="Times New Roman" w:hAnsi="Times New Roman" w:eastAsia="宋体" w:cs="Times New Roman"/>
                      <w:bCs/>
                      <w:szCs w:val="21"/>
                    </w:rPr>
                    <w:t>设备数量</w:t>
                  </w:r>
                </w:p>
              </w:tc>
              <w:tc>
                <w:tcPr>
                  <w:tcW w:w="762" w:type="pct"/>
                  <w:tcBorders>
                    <w:top w:val="single" w:color="000000" w:sz="12" w:space="0"/>
                  </w:tcBorders>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lang w:val="en-US" w:eastAsia="zh-CN"/>
                    </w:rPr>
                    <w:t>实际设备数量</w:t>
                  </w:r>
                </w:p>
              </w:tc>
              <w:tc>
                <w:tcPr>
                  <w:tcW w:w="777" w:type="pct"/>
                  <w:tcBorders>
                    <w:top w:val="single" w:color="000000" w:sz="12" w:space="0"/>
                  </w:tcBorders>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lang w:val="en-US" w:eastAsia="zh-CN"/>
                    </w:rPr>
                    <w:t>设备增减情况</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PrEx>
              <w:trPr>
                <w:jc w:val="center"/>
              </w:trPr>
              <w:tc>
                <w:tcPr>
                  <w:tcW w:w="46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lang w:val="en-US" w:eastAsia="zh-CN"/>
                    </w:rPr>
                    <w:t>1</w:t>
                  </w:r>
                </w:p>
              </w:tc>
              <w:tc>
                <w:tcPr>
                  <w:tcW w:w="1544" w:type="pct"/>
                  <w:vAlign w:val="center"/>
                </w:tcPr>
                <w:p>
                  <w:pPr>
                    <w:jc w:val="cente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挤出成型线</w:t>
                  </w:r>
                </w:p>
              </w:tc>
              <w:tc>
                <w:tcPr>
                  <w:tcW w:w="541"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条</w:t>
                  </w:r>
                </w:p>
              </w:tc>
              <w:tc>
                <w:tcPr>
                  <w:tcW w:w="906" w:type="pct"/>
                  <w:vAlign w:val="center"/>
                </w:tcPr>
                <w:p>
                  <w:pPr>
                    <w:jc w:val="cente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40</w:t>
                  </w:r>
                </w:p>
              </w:tc>
              <w:tc>
                <w:tcPr>
                  <w:tcW w:w="1110"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40</w:t>
                  </w:r>
                </w:p>
              </w:tc>
              <w:tc>
                <w:tcPr>
                  <w:tcW w:w="77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0</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46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lang w:val="en-US" w:eastAsia="zh-CN"/>
                    </w:rPr>
                    <w:t>2</w:t>
                  </w:r>
                </w:p>
              </w:tc>
              <w:tc>
                <w:tcPr>
                  <w:tcW w:w="1544" w:type="pct"/>
                  <w:vAlign w:val="center"/>
                </w:tcPr>
                <w:p>
                  <w:pPr>
                    <w:jc w:val="cente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模具线切割</w:t>
                  </w:r>
                </w:p>
              </w:tc>
              <w:tc>
                <w:tcPr>
                  <w:tcW w:w="541"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台</w:t>
                  </w:r>
                </w:p>
              </w:tc>
              <w:tc>
                <w:tcPr>
                  <w:tcW w:w="906" w:type="pct"/>
                  <w:vAlign w:val="center"/>
                </w:tcPr>
                <w:p>
                  <w:pPr>
                    <w:jc w:val="cente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6</w:t>
                  </w:r>
                </w:p>
              </w:tc>
              <w:tc>
                <w:tcPr>
                  <w:tcW w:w="1110"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6</w:t>
                  </w:r>
                </w:p>
              </w:tc>
              <w:tc>
                <w:tcPr>
                  <w:tcW w:w="77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0</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46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lang w:val="en-US" w:eastAsia="zh-CN"/>
                    </w:rPr>
                    <w:t>3</w:t>
                  </w:r>
                </w:p>
              </w:tc>
              <w:tc>
                <w:tcPr>
                  <w:tcW w:w="1544" w:type="pct"/>
                  <w:vAlign w:val="center"/>
                </w:tcPr>
                <w:p>
                  <w:pPr>
                    <w:jc w:val="cente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铣床</w:t>
                  </w:r>
                </w:p>
              </w:tc>
              <w:tc>
                <w:tcPr>
                  <w:tcW w:w="541"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台</w:t>
                  </w:r>
                </w:p>
              </w:tc>
              <w:tc>
                <w:tcPr>
                  <w:tcW w:w="906" w:type="pct"/>
                  <w:vAlign w:val="center"/>
                </w:tcPr>
                <w:p>
                  <w:pPr>
                    <w:jc w:val="cente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4</w:t>
                  </w:r>
                </w:p>
              </w:tc>
              <w:tc>
                <w:tcPr>
                  <w:tcW w:w="1110"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4</w:t>
                  </w:r>
                </w:p>
              </w:tc>
              <w:tc>
                <w:tcPr>
                  <w:tcW w:w="77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0</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46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lang w:val="en-US" w:eastAsia="zh-CN"/>
                    </w:rPr>
                    <w:t>4</w:t>
                  </w:r>
                </w:p>
              </w:tc>
              <w:tc>
                <w:tcPr>
                  <w:tcW w:w="1544" w:type="pct"/>
                  <w:vAlign w:val="center"/>
                </w:tcPr>
                <w:p>
                  <w:pPr>
                    <w:jc w:val="cente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钻床</w:t>
                  </w:r>
                </w:p>
              </w:tc>
              <w:tc>
                <w:tcPr>
                  <w:tcW w:w="541"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台</w:t>
                  </w:r>
                </w:p>
              </w:tc>
              <w:tc>
                <w:tcPr>
                  <w:tcW w:w="906" w:type="pct"/>
                  <w:vAlign w:val="center"/>
                </w:tcPr>
                <w:p>
                  <w:pPr>
                    <w:jc w:val="cente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4</w:t>
                  </w:r>
                </w:p>
              </w:tc>
              <w:tc>
                <w:tcPr>
                  <w:tcW w:w="1110"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4</w:t>
                  </w:r>
                </w:p>
              </w:tc>
              <w:tc>
                <w:tcPr>
                  <w:tcW w:w="77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0</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46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lang w:val="en-US" w:eastAsia="zh-CN"/>
                    </w:rPr>
                    <w:t>5</w:t>
                  </w:r>
                </w:p>
              </w:tc>
              <w:tc>
                <w:tcPr>
                  <w:tcW w:w="1544" w:type="pct"/>
                  <w:vAlign w:val="center"/>
                </w:tcPr>
                <w:p>
                  <w:pPr>
                    <w:jc w:val="cente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电火花</w:t>
                  </w:r>
                </w:p>
              </w:tc>
              <w:tc>
                <w:tcPr>
                  <w:tcW w:w="541"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台</w:t>
                  </w:r>
                </w:p>
              </w:tc>
              <w:tc>
                <w:tcPr>
                  <w:tcW w:w="906" w:type="pct"/>
                  <w:vAlign w:val="center"/>
                </w:tcPr>
                <w:p>
                  <w:pPr>
                    <w:jc w:val="cente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3</w:t>
                  </w:r>
                </w:p>
              </w:tc>
              <w:tc>
                <w:tcPr>
                  <w:tcW w:w="1110"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3</w:t>
                  </w:r>
                </w:p>
              </w:tc>
              <w:tc>
                <w:tcPr>
                  <w:tcW w:w="77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Cs w:val="21"/>
                    </w:rPr>
                  </w:pPr>
                  <w:r>
                    <w:rPr>
                      <w:rFonts w:hint="default" w:ascii="Times New Roman" w:hAnsi="Times New Roman" w:eastAsia="宋体" w:cs="Times New Roman"/>
                      <w:szCs w:val="21"/>
                      <w:lang w:val="en-US" w:eastAsia="zh-CN"/>
                    </w:rPr>
                    <w:t>0</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468" w:type="pct"/>
                  <w:tcBorders>
                    <w:bottom w:val="single" w:color="000000" w:sz="12" w:space="0"/>
                  </w:tcBorders>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lang w:val="en-US" w:eastAsia="zh-CN"/>
                    </w:rPr>
                    <w:t>6</w:t>
                  </w:r>
                </w:p>
              </w:tc>
              <w:tc>
                <w:tcPr>
                  <w:tcW w:w="1544" w:type="pct"/>
                  <w:tcBorders>
                    <w:bottom w:val="single" w:color="000000" w:sz="12" w:space="0"/>
                  </w:tcBorders>
                  <w:vAlign w:val="center"/>
                </w:tcPr>
                <w:p>
                  <w:pPr>
                    <w:widowControl/>
                    <w:jc w:val="cente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机加设备</w:t>
                  </w:r>
                </w:p>
              </w:tc>
              <w:tc>
                <w:tcPr>
                  <w:tcW w:w="541" w:type="pct"/>
                  <w:tcBorders>
                    <w:bottom w:val="single" w:color="000000" w:sz="12" w:space="0"/>
                  </w:tcBorders>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台</w:t>
                  </w:r>
                </w:p>
              </w:tc>
              <w:tc>
                <w:tcPr>
                  <w:tcW w:w="906" w:type="pct"/>
                  <w:tcBorders>
                    <w:bottom w:val="single" w:color="000000" w:sz="12" w:space="0"/>
                  </w:tcBorders>
                  <w:vAlign w:val="center"/>
                </w:tcPr>
                <w:p>
                  <w:pPr>
                    <w:jc w:val="cente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5</w:t>
                  </w:r>
                </w:p>
              </w:tc>
              <w:tc>
                <w:tcPr>
                  <w:tcW w:w="1110" w:type="dxa"/>
                  <w:tcBorders>
                    <w:bottom w:val="single" w:color="000000" w:sz="12" w:space="0"/>
                  </w:tcBorders>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5</w:t>
                  </w:r>
                </w:p>
              </w:tc>
              <w:tc>
                <w:tcPr>
                  <w:tcW w:w="777" w:type="pct"/>
                  <w:tcBorders>
                    <w:bottom w:val="single" w:color="000000" w:sz="12" w:space="0"/>
                  </w:tcBorders>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0</w:t>
                  </w:r>
                </w:p>
              </w:tc>
            </w:tr>
          </w:tbl>
          <w:p>
            <w:pPr>
              <w:pStyle w:val="29"/>
              <w:spacing w:before="200" w:line="360" w:lineRule="auto"/>
              <w:ind w:left="440" w:leftChars="200"/>
              <w:jc w:val="both"/>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3、验收范围</w:t>
            </w:r>
          </w:p>
          <w:p>
            <w:pPr>
              <w:pStyle w:val="29"/>
              <w:spacing w:line="360" w:lineRule="auto"/>
              <w:ind w:firstLine="480" w:firstLineChars="200"/>
              <w:jc w:val="both"/>
              <w:rPr>
                <w:rFonts w:hint="default" w:ascii="Times New Roman" w:hAnsi="Times New Roman" w:eastAsia="宋体" w:cs="Times New Roman"/>
                <w:b/>
                <w:bCs/>
                <w:color w:val="0000FF"/>
              </w:rPr>
            </w:pP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福建优倍特模塑科技有限公司优倍特模塑科技生产项目选址于漳州市长泰区陈巷镇福照路12号，目前项目已投入试运行，</w:t>
            </w:r>
            <w:r>
              <w:rPr>
                <w:rFonts w:hint="default" w:ascii="Times New Roman" w:hAnsi="Times New Roman" w:eastAsia="宋体" w:cs="Times New Roman"/>
                <w:color w:val="000000" w:themeColor="text1"/>
                <w:lang w:eastAsia="zh-CN"/>
                <w14:textFill>
                  <w14:solidFill>
                    <w14:schemeClr w14:val="tx1"/>
                  </w14:solidFill>
                </w14:textFill>
              </w:rPr>
              <w:t>本次验收范围为</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福建优倍特模塑科技有限公司优倍特模塑科技生产项目</w:t>
            </w:r>
            <w:r>
              <w:rPr>
                <w:rFonts w:hint="default" w:ascii="Times New Roman" w:hAnsi="Times New Roman" w:eastAsia="宋体" w:cs="Times New Roman"/>
                <w:color w:val="000000" w:themeColor="text1"/>
                <w:lang w:eastAsia="zh-CN"/>
                <w14:textFill>
                  <w14:solidFill>
                    <w14:schemeClr w14:val="tx1"/>
                  </w14:solidFill>
                </w14:textFill>
              </w:rPr>
              <w:t>进行整体验收</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w:t>
            </w:r>
          </w:p>
          <w:p>
            <w:pPr>
              <w:pStyle w:val="29"/>
              <w:spacing w:line="360" w:lineRule="auto"/>
              <w:ind w:firstLine="482" w:firstLineChars="200"/>
              <w:jc w:val="left"/>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4、工程变动情况</w:t>
            </w:r>
          </w:p>
          <w:p>
            <w:pPr>
              <w:widowControl w:val="0"/>
              <w:spacing w:line="360" w:lineRule="auto"/>
              <w:ind w:firstLine="480" w:firstLineChars="200"/>
              <w:jc w:val="both"/>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根据《中华人民共和国环境影响评价法》和《建设项目环境保护管理条例》有关规定：“建设项目的环境影响评价文件经批准后，建设项目的性质、规模、地点、采用的生产工艺或者防治污染、防止生态破坏的措施发生重大变动的，建设单位应当重新报批建设项目的环境影响评价文件”。根据</w:t>
            </w:r>
            <w:r>
              <w:rPr>
                <w:rFonts w:hint="default" w:ascii="Times New Roman" w:hAnsi="Times New Roman" w:eastAsia="宋体" w:cs="Times New Roman"/>
                <w:color w:val="auto"/>
                <w:sz w:val="24"/>
                <w:szCs w:val="24"/>
                <w:lang w:val="en-US" w:eastAsia="zh-CN"/>
              </w:rPr>
              <w:t>《污染影响类建设项目重大变动清单（试行）的通知》</w:t>
            </w:r>
            <w:r>
              <w:rPr>
                <w:rFonts w:hint="default" w:ascii="Times New Roman" w:hAnsi="Times New Roman" w:eastAsia="宋体" w:cs="Times New Roman"/>
                <w:color w:val="000000" w:themeColor="text1"/>
                <w:sz w:val="24"/>
                <w:szCs w:val="24"/>
                <w14:textFill>
                  <w14:solidFill>
                    <w14:schemeClr w14:val="tx1"/>
                  </w14:solidFill>
                </w14:textFill>
              </w:rPr>
              <w:t>，建设项目的性质、规模、地点、生产工艺和环境保护措施五个因素中的一项或一项以上发生重大变动，且可能导致环境影响显著变化（特别是不利环境影响加重）的，界定为重大变动。</w:t>
            </w:r>
            <w:r>
              <w:rPr>
                <w:rFonts w:hint="default" w:ascii="Times New Roman" w:hAnsi="Times New Roman" w:eastAsia="宋体" w:cs="Times New Roman"/>
                <w:color w:val="000000" w:themeColor="text1"/>
                <w:sz w:val="24"/>
                <w:szCs w:val="24"/>
                <w:lang w:eastAsia="zh-CN"/>
                <w14:textFill>
                  <w14:solidFill>
                    <w14:schemeClr w14:val="tx1"/>
                  </w14:solidFill>
                </w14:textFill>
              </w:rPr>
              <w:t>本项目变动情况见下表。</w:t>
            </w:r>
          </w:p>
          <w:p>
            <w:pPr>
              <w:pStyle w:val="29"/>
              <w:jc w:val="cente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eastAsia="zh-CN"/>
                <w14:textFill>
                  <w14:solidFill>
                    <w14:schemeClr w14:val="tx1"/>
                  </w14:solidFill>
                </w14:textFill>
              </w:rPr>
              <w:t>表</w:t>
            </w: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2-4重大变更清单</w:t>
            </w:r>
          </w:p>
          <w:tbl>
            <w:tblPr>
              <w:tblStyle w:val="22"/>
              <w:tblW w:w="49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7"/>
              <w:gridCol w:w="3622"/>
              <w:gridCol w:w="2713"/>
              <w:gridCol w:w="15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7" w:type="pct"/>
                  <w:gridSpan w:val="2"/>
                  <w:tcBorders>
                    <w:top w:val="single" w:color="auto" w:sz="12" w:space="0"/>
                    <w:left w:val="nil"/>
                    <w:bottom w:val="single" w:color="auto" w:sz="4" w:space="0"/>
                    <w:right w:val="single" w:color="auto" w:sz="4" w:space="0"/>
                  </w:tcBorders>
                  <w:noWrap w:val="0"/>
                  <w:vAlign w:val="center"/>
                </w:tcPr>
                <w:p>
                  <w:pPr>
                    <w:pStyle w:val="67"/>
                    <w:rPr>
                      <w:rFonts w:hint="default" w:ascii="Times New Roman" w:hAnsi="Times New Roman" w:eastAsia="宋体" w:cs="Times New Roman"/>
                      <w:color w:val="000000"/>
                    </w:rPr>
                  </w:pPr>
                  <w:r>
                    <w:rPr>
                      <w:rFonts w:hint="default" w:ascii="Times New Roman" w:hAnsi="Times New Roman" w:eastAsia="宋体" w:cs="Times New Roman"/>
                      <w:color w:val="000000"/>
                    </w:rPr>
                    <w:t>《污染影响类建设项目重大变动清单（试行）》（环办环评函〔2020〕688号）</w:t>
                  </w:r>
                </w:p>
              </w:tc>
              <w:tc>
                <w:tcPr>
                  <w:tcW w:w="1578" w:type="pct"/>
                  <w:tcBorders>
                    <w:top w:val="single" w:color="auto" w:sz="12" w:space="0"/>
                    <w:left w:val="single" w:color="auto" w:sz="4" w:space="0"/>
                    <w:bottom w:val="single" w:color="auto" w:sz="4" w:space="0"/>
                    <w:right w:val="single" w:color="auto" w:sz="4" w:space="0"/>
                  </w:tcBorders>
                  <w:noWrap w:val="0"/>
                  <w:vAlign w:val="center"/>
                </w:tcPr>
                <w:p>
                  <w:pPr>
                    <w:pStyle w:val="67"/>
                    <w:rPr>
                      <w:rFonts w:hint="default" w:ascii="Times New Roman" w:hAnsi="Times New Roman" w:eastAsia="宋体" w:cs="Times New Roman"/>
                      <w:color w:val="auto"/>
                    </w:rPr>
                  </w:pPr>
                  <w:r>
                    <w:rPr>
                      <w:rFonts w:hint="default" w:ascii="Times New Roman" w:hAnsi="Times New Roman" w:eastAsia="宋体" w:cs="Times New Roman"/>
                      <w:color w:val="auto"/>
                    </w:rPr>
                    <w:t>本项目实际情况</w:t>
                  </w:r>
                </w:p>
              </w:tc>
              <w:tc>
                <w:tcPr>
                  <w:tcW w:w="913" w:type="pct"/>
                  <w:tcBorders>
                    <w:top w:val="single" w:color="auto" w:sz="12" w:space="0"/>
                    <w:left w:val="single" w:color="auto" w:sz="4" w:space="0"/>
                    <w:bottom w:val="single" w:color="auto" w:sz="4" w:space="0"/>
                    <w:right w:val="nil"/>
                  </w:tcBorders>
                  <w:noWrap w:val="0"/>
                  <w:vAlign w:val="center"/>
                </w:tcPr>
                <w:p>
                  <w:pPr>
                    <w:pStyle w:val="67"/>
                    <w:rPr>
                      <w:rFonts w:hint="default" w:ascii="Times New Roman" w:hAnsi="Times New Roman" w:eastAsia="宋体" w:cs="Times New Roman"/>
                      <w:color w:val="auto"/>
                    </w:rPr>
                  </w:pPr>
                  <w:r>
                    <w:rPr>
                      <w:rFonts w:hint="default" w:ascii="Times New Roman" w:hAnsi="Times New Roman" w:eastAsia="宋体" w:cs="Times New Roman"/>
                      <w:color w:val="auto"/>
                    </w:rPr>
                    <w:t>变</w:t>
                  </w:r>
                  <w:r>
                    <w:rPr>
                      <w:rFonts w:hint="default" w:ascii="Times New Roman" w:hAnsi="Times New Roman" w:eastAsia="宋体" w:cs="Times New Roman"/>
                      <w:color w:val="auto"/>
                      <w:lang w:eastAsia="zh-CN"/>
                    </w:rPr>
                    <w:t>动</w:t>
                  </w:r>
                  <w:r>
                    <w:rPr>
                      <w:rFonts w:hint="default" w:ascii="Times New Roman" w:hAnsi="Times New Roman" w:eastAsia="宋体" w:cs="Times New Roman"/>
                      <w:color w:val="auto"/>
                    </w:rPr>
                    <w:t>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4"/>
                  <w:tcBorders>
                    <w:top w:val="single" w:color="auto" w:sz="4" w:space="0"/>
                    <w:left w:val="nil"/>
                    <w:bottom w:val="single" w:color="auto" w:sz="4" w:space="0"/>
                    <w:right w:val="nil"/>
                  </w:tcBorders>
                  <w:noWrap w:val="0"/>
                  <w:vAlign w:val="center"/>
                </w:tcPr>
                <w:p>
                  <w:pPr>
                    <w:pStyle w:val="67"/>
                    <w:jc w:val="left"/>
                    <w:rPr>
                      <w:rFonts w:hint="default" w:ascii="Times New Roman" w:hAnsi="Times New Roman" w:eastAsia="宋体" w:cs="Times New Roman"/>
                      <w:color w:val="auto"/>
                    </w:rPr>
                  </w:pPr>
                  <w:r>
                    <w:rPr>
                      <w:rFonts w:hint="default" w:ascii="Times New Roman" w:hAnsi="Times New Roman" w:eastAsia="宋体" w:cs="Times New Roman"/>
                      <w:color w:val="auto"/>
                    </w:rPr>
                    <w:t>性质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9" w:type="pct"/>
                  <w:tcBorders>
                    <w:top w:val="single" w:color="auto" w:sz="4" w:space="0"/>
                    <w:left w:val="nil"/>
                    <w:bottom w:val="single" w:color="auto" w:sz="4" w:space="0"/>
                    <w:right w:val="single" w:color="auto" w:sz="4" w:space="0"/>
                  </w:tcBorders>
                  <w:noWrap w:val="0"/>
                  <w:vAlign w:val="center"/>
                </w:tcPr>
                <w:p>
                  <w:pPr>
                    <w:pStyle w:val="67"/>
                    <w:rPr>
                      <w:rFonts w:hint="default" w:ascii="Times New Roman" w:hAnsi="Times New Roman" w:eastAsia="宋体" w:cs="Times New Roman"/>
                      <w:color w:val="000000"/>
                    </w:rPr>
                  </w:pPr>
                  <w:r>
                    <w:rPr>
                      <w:rFonts w:hint="default" w:ascii="Times New Roman" w:hAnsi="Times New Roman" w:eastAsia="宋体" w:cs="Times New Roman"/>
                      <w:color w:val="000000"/>
                    </w:rPr>
                    <w:t>1</w:t>
                  </w:r>
                </w:p>
              </w:tc>
              <w:tc>
                <w:tcPr>
                  <w:tcW w:w="2108" w:type="pct"/>
                  <w:tcBorders>
                    <w:top w:val="single" w:color="auto" w:sz="4" w:space="0"/>
                    <w:left w:val="single" w:color="auto" w:sz="4" w:space="0"/>
                    <w:bottom w:val="single" w:color="auto" w:sz="4" w:space="0"/>
                    <w:right w:val="single" w:color="auto" w:sz="4" w:space="0"/>
                  </w:tcBorders>
                  <w:noWrap w:val="0"/>
                  <w:vAlign w:val="center"/>
                </w:tcPr>
                <w:p>
                  <w:pPr>
                    <w:pStyle w:val="67"/>
                    <w:rPr>
                      <w:rFonts w:hint="default" w:ascii="Times New Roman" w:hAnsi="Times New Roman" w:eastAsia="宋体" w:cs="Times New Roman"/>
                      <w:color w:val="000000"/>
                    </w:rPr>
                  </w:pPr>
                  <w:r>
                    <w:rPr>
                      <w:rFonts w:hint="default" w:ascii="Times New Roman" w:hAnsi="Times New Roman" w:eastAsia="宋体" w:cs="Times New Roman"/>
                      <w:color w:val="000000"/>
                    </w:rPr>
                    <w:t>建设项目开发、使用功能发生变化的</w:t>
                  </w:r>
                </w:p>
              </w:tc>
              <w:tc>
                <w:tcPr>
                  <w:tcW w:w="1578" w:type="pct"/>
                  <w:tcBorders>
                    <w:top w:val="single" w:color="auto" w:sz="4" w:space="0"/>
                    <w:left w:val="single" w:color="auto" w:sz="4" w:space="0"/>
                    <w:bottom w:val="single" w:color="auto" w:sz="4" w:space="0"/>
                    <w:right w:val="single" w:color="auto" w:sz="4" w:space="0"/>
                  </w:tcBorders>
                  <w:noWrap w:val="0"/>
                  <w:vAlign w:val="center"/>
                </w:tcPr>
                <w:p>
                  <w:pPr>
                    <w:pStyle w:val="67"/>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本项目新建项目</w:t>
                  </w:r>
                </w:p>
              </w:tc>
              <w:tc>
                <w:tcPr>
                  <w:tcW w:w="913" w:type="pct"/>
                  <w:tcBorders>
                    <w:top w:val="single" w:color="auto" w:sz="4" w:space="0"/>
                    <w:left w:val="single" w:color="auto" w:sz="4" w:space="0"/>
                    <w:bottom w:val="single" w:color="auto" w:sz="4" w:space="0"/>
                    <w:right w:val="nil"/>
                  </w:tcBorders>
                  <w:noWrap w:val="0"/>
                  <w:vAlign w:val="center"/>
                </w:tcPr>
                <w:p>
                  <w:pPr>
                    <w:pStyle w:val="67"/>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建设项目性质未变化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4"/>
                  <w:tcBorders>
                    <w:top w:val="single" w:color="auto" w:sz="4" w:space="0"/>
                    <w:left w:val="nil"/>
                    <w:bottom w:val="single" w:color="auto" w:sz="4" w:space="0"/>
                    <w:right w:val="nil"/>
                  </w:tcBorders>
                  <w:noWrap w:val="0"/>
                  <w:vAlign w:val="center"/>
                </w:tcPr>
                <w:p>
                  <w:pPr>
                    <w:pStyle w:val="67"/>
                    <w:jc w:val="left"/>
                    <w:rPr>
                      <w:rFonts w:hint="default" w:ascii="Times New Roman" w:hAnsi="Times New Roman" w:eastAsia="宋体" w:cs="Times New Roman"/>
                      <w:color w:val="000000"/>
                    </w:rPr>
                  </w:pPr>
                  <w:r>
                    <w:rPr>
                      <w:rFonts w:hint="default" w:ascii="Times New Roman" w:hAnsi="Times New Roman" w:eastAsia="宋体" w:cs="Times New Roman"/>
                      <w:color w:val="000000"/>
                    </w:rPr>
                    <w:t>规模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9" w:type="pct"/>
                  <w:tcBorders>
                    <w:top w:val="single" w:color="auto" w:sz="4" w:space="0"/>
                    <w:left w:val="nil"/>
                    <w:bottom w:val="single" w:color="auto" w:sz="4" w:space="0"/>
                    <w:right w:val="single" w:color="auto" w:sz="4" w:space="0"/>
                  </w:tcBorders>
                  <w:noWrap w:val="0"/>
                  <w:vAlign w:val="center"/>
                </w:tcPr>
                <w:p>
                  <w:pPr>
                    <w:pStyle w:val="67"/>
                    <w:rPr>
                      <w:rFonts w:hint="default" w:ascii="Times New Roman" w:hAnsi="Times New Roman" w:eastAsia="宋体" w:cs="Times New Roman"/>
                      <w:color w:val="000000"/>
                    </w:rPr>
                  </w:pPr>
                  <w:r>
                    <w:rPr>
                      <w:rFonts w:hint="default" w:ascii="Times New Roman" w:hAnsi="Times New Roman" w:eastAsia="宋体" w:cs="Times New Roman"/>
                      <w:color w:val="000000"/>
                    </w:rPr>
                    <w:t>2</w:t>
                  </w:r>
                </w:p>
              </w:tc>
              <w:tc>
                <w:tcPr>
                  <w:tcW w:w="2108" w:type="pct"/>
                  <w:tcBorders>
                    <w:top w:val="single" w:color="auto" w:sz="4" w:space="0"/>
                    <w:left w:val="single" w:color="auto" w:sz="4" w:space="0"/>
                    <w:bottom w:val="single" w:color="auto" w:sz="4" w:space="0"/>
                    <w:right w:val="single" w:color="auto" w:sz="4" w:space="0"/>
                  </w:tcBorders>
                  <w:noWrap w:val="0"/>
                  <w:vAlign w:val="center"/>
                </w:tcPr>
                <w:p>
                  <w:pPr>
                    <w:pStyle w:val="67"/>
                    <w:rPr>
                      <w:rFonts w:hint="default" w:ascii="Times New Roman" w:hAnsi="Times New Roman" w:eastAsia="宋体" w:cs="Times New Roman"/>
                      <w:color w:val="000000"/>
                    </w:rPr>
                  </w:pPr>
                  <w:r>
                    <w:rPr>
                      <w:rFonts w:hint="default" w:ascii="Times New Roman" w:hAnsi="Times New Roman" w:eastAsia="宋体" w:cs="Times New Roman"/>
                      <w:color w:val="000000"/>
                    </w:rPr>
                    <w:t>生产、处置或储存能力增大30%及以上的</w:t>
                  </w:r>
                </w:p>
              </w:tc>
              <w:tc>
                <w:tcPr>
                  <w:tcW w:w="1578" w:type="pct"/>
                  <w:tcBorders>
                    <w:top w:val="single" w:color="auto" w:sz="4" w:space="0"/>
                    <w:left w:val="single" w:color="auto" w:sz="4" w:space="0"/>
                    <w:bottom w:val="single" w:color="auto" w:sz="4" w:space="0"/>
                    <w:right w:val="single" w:color="auto" w:sz="4" w:space="0"/>
                  </w:tcBorders>
                  <w:noWrap w:val="0"/>
                  <w:vAlign w:val="center"/>
                </w:tcPr>
                <w:p>
                  <w:pPr>
                    <w:pStyle w:val="67"/>
                    <w:rPr>
                      <w:rFonts w:hint="default" w:ascii="Times New Roman" w:hAnsi="Times New Roman" w:eastAsia="宋体" w:cs="Times New Roman"/>
                      <w:color w:val="000000"/>
                      <w:lang w:val="en-US" w:eastAsia="zh-CN"/>
                    </w:rPr>
                  </w:pPr>
                  <w:r>
                    <w:rPr>
                      <w:rFonts w:hint="default" w:ascii="Times New Roman" w:hAnsi="Times New Roman" w:eastAsia="宋体" w:cs="Times New Roman"/>
                      <w:b w:val="0"/>
                      <w:bCs w:val="0"/>
                      <w:color w:val="auto"/>
                      <w:sz w:val="21"/>
                      <w:szCs w:val="21"/>
                      <w:vertAlign w:val="baseline"/>
                      <w:lang w:val="en-US" w:eastAsia="zh-CN"/>
                    </w:rPr>
                    <w:t>年产各类电器塑料零部件3000t</w:t>
                  </w:r>
                </w:p>
              </w:tc>
              <w:tc>
                <w:tcPr>
                  <w:tcW w:w="913" w:type="pct"/>
                  <w:tcBorders>
                    <w:top w:val="single" w:color="auto" w:sz="4" w:space="0"/>
                    <w:left w:val="single" w:color="auto" w:sz="4" w:space="0"/>
                    <w:bottom w:val="single" w:color="auto" w:sz="4" w:space="0"/>
                    <w:right w:val="nil"/>
                  </w:tcBorders>
                  <w:noWrap w:val="0"/>
                  <w:vAlign w:val="center"/>
                </w:tcPr>
                <w:p>
                  <w:pPr>
                    <w:pStyle w:val="67"/>
                    <w:rPr>
                      <w:rFonts w:hint="default" w:ascii="Times New Roman" w:hAnsi="Times New Roman" w:eastAsia="宋体" w:cs="Times New Roman"/>
                      <w:color w:val="000000"/>
                      <w:lang w:val="en-US" w:eastAsia="zh-CN"/>
                    </w:rPr>
                  </w:pPr>
                  <w:r>
                    <w:rPr>
                      <w:rFonts w:hint="default" w:ascii="Times New Roman" w:hAnsi="Times New Roman" w:eastAsia="宋体" w:cs="Times New Roman"/>
                      <w:color w:val="000000"/>
                      <w:lang w:val="en-US" w:eastAsia="zh-CN"/>
                    </w:rPr>
                    <w:t>产量未增加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9" w:type="pct"/>
                  <w:tcBorders>
                    <w:top w:val="single" w:color="auto" w:sz="4" w:space="0"/>
                    <w:left w:val="nil"/>
                    <w:bottom w:val="single" w:color="auto" w:sz="4" w:space="0"/>
                    <w:right w:val="single" w:color="auto" w:sz="4" w:space="0"/>
                  </w:tcBorders>
                  <w:noWrap w:val="0"/>
                  <w:vAlign w:val="center"/>
                </w:tcPr>
                <w:p>
                  <w:pPr>
                    <w:pStyle w:val="67"/>
                    <w:rPr>
                      <w:rFonts w:hint="default" w:ascii="Times New Roman" w:hAnsi="Times New Roman" w:eastAsia="宋体" w:cs="Times New Roman"/>
                      <w:color w:val="000000"/>
                    </w:rPr>
                  </w:pPr>
                  <w:r>
                    <w:rPr>
                      <w:rFonts w:hint="default" w:ascii="Times New Roman" w:hAnsi="Times New Roman" w:eastAsia="宋体" w:cs="Times New Roman"/>
                      <w:color w:val="000000"/>
                    </w:rPr>
                    <w:t>3</w:t>
                  </w:r>
                </w:p>
              </w:tc>
              <w:tc>
                <w:tcPr>
                  <w:tcW w:w="2108" w:type="pct"/>
                  <w:tcBorders>
                    <w:top w:val="single" w:color="auto" w:sz="4" w:space="0"/>
                    <w:left w:val="single" w:color="auto" w:sz="4" w:space="0"/>
                    <w:bottom w:val="single" w:color="auto" w:sz="4" w:space="0"/>
                    <w:right w:val="single" w:color="auto" w:sz="4" w:space="0"/>
                  </w:tcBorders>
                  <w:noWrap w:val="0"/>
                  <w:vAlign w:val="center"/>
                </w:tcPr>
                <w:p>
                  <w:pPr>
                    <w:pStyle w:val="67"/>
                    <w:rPr>
                      <w:rFonts w:hint="default" w:ascii="Times New Roman" w:hAnsi="Times New Roman" w:eastAsia="宋体" w:cs="Times New Roman"/>
                      <w:color w:val="000000"/>
                    </w:rPr>
                  </w:pPr>
                  <w:r>
                    <w:rPr>
                      <w:rFonts w:hint="default" w:ascii="Times New Roman" w:hAnsi="Times New Roman" w:eastAsia="宋体" w:cs="Times New Roman"/>
                      <w:color w:val="000000"/>
                    </w:rPr>
                    <w:t>生产、处置或储存能力增大，导致废水第一类污染物排放量增加的</w:t>
                  </w:r>
                </w:p>
              </w:tc>
              <w:tc>
                <w:tcPr>
                  <w:tcW w:w="1578" w:type="pct"/>
                  <w:tcBorders>
                    <w:top w:val="single" w:color="auto" w:sz="4" w:space="0"/>
                    <w:left w:val="single" w:color="auto" w:sz="4" w:space="0"/>
                    <w:bottom w:val="single" w:color="auto" w:sz="4" w:space="0"/>
                    <w:right w:val="single" w:color="auto" w:sz="4" w:space="0"/>
                  </w:tcBorders>
                  <w:noWrap w:val="0"/>
                  <w:vAlign w:val="center"/>
                </w:tcPr>
                <w:p>
                  <w:pPr>
                    <w:pStyle w:val="67"/>
                    <w:rPr>
                      <w:rFonts w:hint="default" w:ascii="Times New Roman" w:hAnsi="Times New Roman" w:eastAsia="宋体" w:cs="Times New Roman"/>
                      <w:color w:val="000000"/>
                      <w:lang w:eastAsia="zh-CN"/>
                    </w:rPr>
                  </w:pPr>
                  <w:r>
                    <w:rPr>
                      <w:rFonts w:hint="default" w:ascii="Times New Roman" w:hAnsi="Times New Roman" w:eastAsia="宋体" w:cs="Times New Roman"/>
                      <w:color w:val="000000"/>
                      <w:lang w:eastAsia="zh-CN"/>
                    </w:rPr>
                    <w:t>无第一类污染物排放</w:t>
                  </w:r>
                </w:p>
              </w:tc>
              <w:tc>
                <w:tcPr>
                  <w:tcW w:w="913" w:type="pct"/>
                  <w:tcBorders>
                    <w:top w:val="single" w:color="auto" w:sz="4" w:space="0"/>
                    <w:left w:val="single" w:color="auto" w:sz="4" w:space="0"/>
                    <w:bottom w:val="single" w:color="auto" w:sz="4" w:space="0"/>
                    <w:right w:val="nil"/>
                  </w:tcBorders>
                  <w:noWrap w:val="0"/>
                  <w:vAlign w:val="center"/>
                </w:tcPr>
                <w:p>
                  <w:pPr>
                    <w:pStyle w:val="67"/>
                    <w:rPr>
                      <w:rFonts w:hint="default" w:ascii="Times New Roman" w:hAnsi="Times New Roman" w:eastAsia="宋体" w:cs="Times New Roman"/>
                      <w:color w:val="000000"/>
                    </w:rPr>
                  </w:pPr>
                  <w:r>
                    <w:rPr>
                      <w:rFonts w:hint="default" w:ascii="Times New Roman" w:hAnsi="Times New Roman" w:eastAsia="宋体" w:cs="Times New Roman"/>
                      <w:color w:val="000000"/>
                      <w:lang w:val="en-US" w:eastAsia="zh-CN"/>
                    </w:rPr>
                    <w:t>未发生变化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9" w:type="pct"/>
                  <w:tcBorders>
                    <w:top w:val="single" w:color="auto" w:sz="4" w:space="0"/>
                    <w:left w:val="nil"/>
                    <w:bottom w:val="single" w:color="auto" w:sz="4" w:space="0"/>
                    <w:right w:val="single" w:color="auto" w:sz="4" w:space="0"/>
                  </w:tcBorders>
                  <w:noWrap w:val="0"/>
                  <w:vAlign w:val="center"/>
                </w:tcPr>
                <w:p>
                  <w:pPr>
                    <w:pStyle w:val="67"/>
                    <w:rPr>
                      <w:rFonts w:hint="default" w:ascii="Times New Roman" w:hAnsi="Times New Roman" w:eastAsia="宋体" w:cs="Times New Roman"/>
                      <w:color w:val="000000"/>
                    </w:rPr>
                  </w:pPr>
                  <w:r>
                    <w:rPr>
                      <w:rFonts w:hint="default" w:ascii="Times New Roman" w:hAnsi="Times New Roman" w:eastAsia="宋体" w:cs="Times New Roman"/>
                      <w:color w:val="000000"/>
                    </w:rPr>
                    <w:t>4</w:t>
                  </w:r>
                </w:p>
              </w:tc>
              <w:tc>
                <w:tcPr>
                  <w:tcW w:w="2108" w:type="pct"/>
                  <w:tcBorders>
                    <w:top w:val="single" w:color="auto" w:sz="4" w:space="0"/>
                    <w:left w:val="single" w:color="auto" w:sz="4" w:space="0"/>
                    <w:bottom w:val="single" w:color="auto" w:sz="4" w:space="0"/>
                    <w:right w:val="single" w:color="auto" w:sz="4" w:space="0"/>
                  </w:tcBorders>
                  <w:noWrap w:val="0"/>
                  <w:vAlign w:val="center"/>
                </w:tcPr>
                <w:p>
                  <w:pPr>
                    <w:pStyle w:val="67"/>
                    <w:rPr>
                      <w:rFonts w:hint="default" w:ascii="Times New Roman" w:hAnsi="Times New Roman" w:eastAsia="宋体" w:cs="Times New Roman"/>
                      <w:color w:val="000000"/>
                    </w:rPr>
                  </w:pPr>
                  <w:r>
                    <w:rPr>
                      <w:rFonts w:hint="default" w:ascii="Times New Roman" w:hAnsi="Times New Roman" w:eastAsia="宋体" w:cs="Times New Roman"/>
                      <w:color w:val="000000"/>
                    </w:rPr>
                    <w:t>位于环境质量不达标区的建设项目生产、处置或储存能力增大，导致相应污染物排放量增加的（细颗粒物不达标区，相应污染物为二氧化硫、氮氧化物、可吸入颗粒物、挥发性有机物；臭氧不达标区，相应污染物为氮氧化物、挥发性有机物；其他大气、水污染物因子不达标区，相应污染物为超标污染因子）；位于达标区的建设项目生产、处置或储存能力增大，导致污染物排放量增加10%及以上的</w:t>
                  </w:r>
                </w:p>
              </w:tc>
              <w:tc>
                <w:tcPr>
                  <w:tcW w:w="1578" w:type="pct"/>
                  <w:tcBorders>
                    <w:top w:val="single" w:color="auto" w:sz="4" w:space="0"/>
                    <w:left w:val="single" w:color="auto" w:sz="4" w:space="0"/>
                    <w:bottom w:val="single" w:color="auto" w:sz="4" w:space="0"/>
                    <w:right w:val="single" w:color="auto" w:sz="4" w:space="0"/>
                  </w:tcBorders>
                  <w:noWrap w:val="0"/>
                  <w:vAlign w:val="center"/>
                </w:tcPr>
                <w:p>
                  <w:pPr>
                    <w:pStyle w:val="67"/>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项目位于环境质量达标区，项目生产、处置或储存能力未增加</w:t>
                  </w:r>
                  <w:r>
                    <w:rPr>
                      <w:rFonts w:hint="default" w:ascii="Times New Roman" w:hAnsi="Times New Roman" w:eastAsia="宋体" w:cs="Times New Roman"/>
                      <w:color w:val="000000"/>
                      <w:lang w:val="en-US" w:eastAsia="zh-CN"/>
                    </w:rPr>
                    <w:t>。</w:t>
                  </w:r>
                </w:p>
              </w:tc>
              <w:tc>
                <w:tcPr>
                  <w:tcW w:w="913" w:type="pct"/>
                  <w:tcBorders>
                    <w:top w:val="single" w:color="auto" w:sz="4" w:space="0"/>
                    <w:left w:val="single" w:color="auto" w:sz="4" w:space="0"/>
                    <w:bottom w:val="single" w:color="auto" w:sz="4" w:space="0"/>
                    <w:right w:val="nil"/>
                  </w:tcBorders>
                  <w:noWrap w:val="0"/>
                  <w:vAlign w:val="center"/>
                </w:tcPr>
                <w:p>
                  <w:pPr>
                    <w:pStyle w:val="67"/>
                    <w:rPr>
                      <w:rFonts w:hint="default" w:ascii="Times New Roman" w:hAnsi="Times New Roman" w:eastAsia="宋体" w:cs="Times New Roman"/>
                      <w:color w:val="000000"/>
                      <w:highlight w:val="none"/>
                      <w:lang w:val="en-US"/>
                    </w:rPr>
                  </w:pPr>
                  <w:r>
                    <w:rPr>
                      <w:rFonts w:hint="default" w:ascii="Times New Roman" w:hAnsi="Times New Roman" w:eastAsia="宋体" w:cs="Times New Roman"/>
                      <w:color w:val="000000"/>
                      <w:lang w:val="en-US" w:eastAsia="zh-CN"/>
                    </w:rPr>
                    <w:t>未发生变化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4"/>
                  <w:tcBorders>
                    <w:top w:val="single" w:color="auto" w:sz="4" w:space="0"/>
                    <w:left w:val="nil"/>
                    <w:bottom w:val="single" w:color="auto" w:sz="4" w:space="0"/>
                    <w:right w:val="nil"/>
                  </w:tcBorders>
                  <w:noWrap w:val="0"/>
                  <w:vAlign w:val="center"/>
                </w:tcPr>
                <w:p>
                  <w:pPr>
                    <w:pStyle w:val="67"/>
                    <w:jc w:val="left"/>
                    <w:rPr>
                      <w:rFonts w:hint="default" w:ascii="Times New Roman" w:hAnsi="Times New Roman" w:eastAsia="宋体" w:cs="Times New Roman"/>
                      <w:color w:val="000000"/>
                    </w:rPr>
                  </w:pPr>
                  <w:r>
                    <w:rPr>
                      <w:rFonts w:hint="default" w:ascii="Times New Roman" w:hAnsi="Times New Roman" w:eastAsia="宋体" w:cs="Times New Roman"/>
                      <w:color w:val="000000"/>
                    </w:rPr>
                    <w:t>地点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9" w:type="pct"/>
                  <w:tcBorders>
                    <w:top w:val="single" w:color="auto" w:sz="4" w:space="0"/>
                    <w:left w:val="nil"/>
                    <w:bottom w:val="single" w:color="auto" w:sz="4" w:space="0"/>
                    <w:right w:val="single" w:color="auto" w:sz="4" w:space="0"/>
                  </w:tcBorders>
                  <w:noWrap w:val="0"/>
                  <w:vAlign w:val="center"/>
                </w:tcPr>
                <w:p>
                  <w:pPr>
                    <w:pStyle w:val="67"/>
                    <w:rPr>
                      <w:rFonts w:hint="default" w:ascii="Times New Roman" w:hAnsi="Times New Roman" w:eastAsia="宋体" w:cs="Times New Roman"/>
                      <w:color w:val="000000"/>
                    </w:rPr>
                  </w:pPr>
                  <w:r>
                    <w:rPr>
                      <w:rFonts w:hint="default" w:ascii="Times New Roman" w:hAnsi="Times New Roman" w:eastAsia="宋体" w:cs="Times New Roman"/>
                      <w:color w:val="000000"/>
                    </w:rPr>
                    <w:t>5</w:t>
                  </w:r>
                </w:p>
              </w:tc>
              <w:tc>
                <w:tcPr>
                  <w:tcW w:w="2108" w:type="pct"/>
                  <w:tcBorders>
                    <w:top w:val="single" w:color="auto" w:sz="4" w:space="0"/>
                    <w:left w:val="single" w:color="auto" w:sz="4" w:space="0"/>
                    <w:bottom w:val="single" w:color="auto" w:sz="4" w:space="0"/>
                    <w:right w:val="single" w:color="auto" w:sz="4" w:space="0"/>
                  </w:tcBorders>
                  <w:noWrap w:val="0"/>
                  <w:vAlign w:val="center"/>
                </w:tcPr>
                <w:p>
                  <w:pPr>
                    <w:pStyle w:val="67"/>
                    <w:rPr>
                      <w:rFonts w:hint="default" w:ascii="Times New Roman" w:hAnsi="Times New Roman" w:eastAsia="宋体" w:cs="Times New Roman"/>
                      <w:color w:val="000000"/>
                      <w:lang w:eastAsia="zh-CN"/>
                    </w:rPr>
                  </w:pPr>
                  <w:r>
                    <w:rPr>
                      <w:rFonts w:hint="default" w:ascii="Times New Roman" w:hAnsi="Times New Roman" w:eastAsia="宋体" w:cs="Times New Roman"/>
                      <w:color w:val="000000"/>
                      <w:lang w:eastAsia="zh-CN"/>
                    </w:rPr>
                    <w:t>重新选址；在原厂址附近调整（包括总平面布置变化）导致环境防护距离范围变化且新增敏感点的</w:t>
                  </w:r>
                </w:p>
              </w:tc>
              <w:tc>
                <w:tcPr>
                  <w:tcW w:w="1578" w:type="pct"/>
                  <w:tcBorders>
                    <w:top w:val="single" w:color="auto" w:sz="4" w:space="0"/>
                    <w:left w:val="single" w:color="auto" w:sz="4" w:space="0"/>
                    <w:bottom w:val="single" w:color="auto" w:sz="4" w:space="0"/>
                    <w:right w:val="single" w:color="auto" w:sz="4" w:space="0"/>
                  </w:tcBorders>
                  <w:noWrap w:val="0"/>
                  <w:vAlign w:val="center"/>
                </w:tcPr>
                <w:p>
                  <w:pPr>
                    <w:pStyle w:val="67"/>
                    <w:rPr>
                      <w:rFonts w:hint="default" w:ascii="Times New Roman" w:hAnsi="Times New Roman" w:eastAsia="宋体" w:cs="Times New Roman"/>
                      <w:color w:val="000000"/>
                      <w:lang w:eastAsia="zh-CN"/>
                    </w:rPr>
                  </w:pPr>
                  <w:r>
                    <w:rPr>
                      <w:rFonts w:hint="default" w:ascii="Times New Roman" w:hAnsi="Times New Roman" w:eastAsia="宋体" w:cs="Times New Roman"/>
                      <w:color w:val="000000"/>
                      <w:lang w:eastAsia="zh-CN"/>
                    </w:rPr>
                    <w:t>项目位</w:t>
                  </w:r>
                  <w:r>
                    <w:rPr>
                      <w:rFonts w:hint="default" w:ascii="Times New Roman" w:hAnsi="Times New Roman" w:eastAsia="宋体" w:cs="Times New Roman"/>
                      <w:color w:val="000000"/>
                      <w:szCs w:val="22"/>
                      <w:lang w:eastAsia="zh-CN"/>
                    </w:rPr>
                    <w:t>于</w:t>
                  </w:r>
                  <w:r>
                    <w:rPr>
                      <w:rFonts w:hint="default" w:ascii="Times New Roman" w:hAnsi="Times New Roman" w:eastAsia="宋体" w:cs="Times New Roman"/>
                      <w:color w:val="000000"/>
                      <w:szCs w:val="22"/>
                      <w:lang w:val="en-US" w:eastAsia="zh-CN"/>
                    </w:rPr>
                    <w:t>长泰区陈巷镇</w:t>
                  </w:r>
                  <w:r>
                    <w:rPr>
                      <w:rFonts w:hint="default" w:ascii="Times New Roman" w:hAnsi="Times New Roman" w:eastAsia="宋体" w:cs="Times New Roman"/>
                      <w:color w:val="000000"/>
                      <w:szCs w:val="22"/>
                      <w:lang w:eastAsia="zh-CN"/>
                    </w:rPr>
                    <w:t>，附近敏感点未发生变化</w:t>
                  </w:r>
                </w:p>
              </w:tc>
              <w:tc>
                <w:tcPr>
                  <w:tcW w:w="913" w:type="pct"/>
                  <w:tcBorders>
                    <w:top w:val="single" w:color="auto" w:sz="4" w:space="0"/>
                    <w:left w:val="single" w:color="auto" w:sz="4" w:space="0"/>
                    <w:bottom w:val="single" w:color="auto" w:sz="4" w:space="0"/>
                    <w:right w:val="nil"/>
                  </w:tcBorders>
                  <w:noWrap w:val="0"/>
                  <w:vAlign w:val="center"/>
                </w:tcPr>
                <w:p>
                  <w:pPr>
                    <w:pStyle w:val="67"/>
                    <w:rPr>
                      <w:rFonts w:hint="default" w:ascii="Times New Roman" w:hAnsi="Times New Roman" w:eastAsia="宋体" w:cs="Times New Roman"/>
                      <w:color w:val="000000"/>
                      <w:lang w:eastAsia="zh-CN"/>
                    </w:rPr>
                  </w:pPr>
                  <w:r>
                    <w:rPr>
                      <w:rFonts w:hint="default" w:ascii="Times New Roman" w:hAnsi="Times New Roman" w:eastAsia="宋体" w:cs="Times New Roman"/>
                      <w:color w:val="000000"/>
                      <w:lang w:val="en-US" w:eastAsia="zh-CN"/>
                    </w:rPr>
                    <w:t>未发生变化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4"/>
                  <w:tcBorders>
                    <w:top w:val="single" w:color="auto" w:sz="4" w:space="0"/>
                    <w:left w:val="nil"/>
                    <w:bottom w:val="single" w:color="auto" w:sz="4" w:space="0"/>
                    <w:right w:val="nil"/>
                  </w:tcBorders>
                  <w:noWrap w:val="0"/>
                  <w:vAlign w:val="center"/>
                </w:tcPr>
                <w:p>
                  <w:pPr>
                    <w:pStyle w:val="67"/>
                    <w:jc w:val="left"/>
                    <w:rPr>
                      <w:rFonts w:hint="default" w:ascii="Times New Roman" w:hAnsi="Times New Roman" w:eastAsia="宋体" w:cs="Times New Roman"/>
                      <w:color w:val="000000"/>
                    </w:rPr>
                  </w:pPr>
                  <w:r>
                    <w:rPr>
                      <w:rFonts w:hint="default" w:ascii="Times New Roman" w:hAnsi="Times New Roman" w:eastAsia="宋体" w:cs="Times New Roman"/>
                      <w:color w:val="000000"/>
                    </w:rPr>
                    <w:t>生产工艺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9" w:type="pct"/>
                  <w:tcBorders>
                    <w:top w:val="single" w:color="auto" w:sz="4" w:space="0"/>
                    <w:left w:val="nil"/>
                    <w:bottom w:val="single" w:color="auto" w:sz="4" w:space="0"/>
                    <w:right w:val="single" w:color="auto" w:sz="4" w:space="0"/>
                  </w:tcBorders>
                  <w:noWrap w:val="0"/>
                  <w:vAlign w:val="center"/>
                </w:tcPr>
                <w:p>
                  <w:pPr>
                    <w:pStyle w:val="67"/>
                    <w:rPr>
                      <w:rFonts w:hint="default" w:ascii="Times New Roman" w:hAnsi="Times New Roman" w:eastAsia="宋体" w:cs="Times New Roman"/>
                      <w:color w:val="000000"/>
                    </w:rPr>
                  </w:pPr>
                  <w:r>
                    <w:rPr>
                      <w:rFonts w:hint="default" w:ascii="Times New Roman" w:hAnsi="Times New Roman" w:eastAsia="宋体" w:cs="Times New Roman"/>
                      <w:color w:val="000000"/>
                    </w:rPr>
                    <w:t>6</w:t>
                  </w:r>
                </w:p>
              </w:tc>
              <w:tc>
                <w:tcPr>
                  <w:tcW w:w="2108" w:type="pct"/>
                  <w:tcBorders>
                    <w:top w:val="single" w:color="auto" w:sz="4" w:space="0"/>
                    <w:left w:val="single" w:color="auto" w:sz="4" w:space="0"/>
                    <w:bottom w:val="single" w:color="auto" w:sz="4" w:space="0"/>
                    <w:right w:val="single" w:color="auto" w:sz="4" w:space="0"/>
                  </w:tcBorders>
                  <w:noWrap w:val="0"/>
                  <w:vAlign w:val="center"/>
                </w:tcPr>
                <w:p>
                  <w:pPr>
                    <w:pStyle w:val="67"/>
                    <w:rPr>
                      <w:rFonts w:hint="default" w:ascii="Times New Roman" w:hAnsi="Times New Roman" w:eastAsia="宋体" w:cs="Times New Roman"/>
                      <w:color w:val="000000"/>
                    </w:rPr>
                  </w:pPr>
                  <w:r>
                    <w:rPr>
                      <w:rFonts w:hint="default" w:ascii="Times New Roman" w:hAnsi="Times New Roman" w:eastAsia="宋体" w:cs="Times New Roman"/>
                      <w:color w:val="000000"/>
                    </w:rPr>
                    <w:t>新增产品品种或生产工艺（含主要生产装置、设备及配套设施）、主要原辅材料、燃料变化，导致以下情形之一：</w:t>
                  </w:r>
                </w:p>
                <w:p>
                  <w:pPr>
                    <w:pStyle w:val="67"/>
                    <w:rPr>
                      <w:rFonts w:hint="default" w:ascii="Times New Roman" w:hAnsi="Times New Roman" w:eastAsia="宋体" w:cs="Times New Roman"/>
                      <w:color w:val="000000"/>
                    </w:rPr>
                  </w:pPr>
                  <w:r>
                    <w:rPr>
                      <w:rFonts w:hint="default" w:ascii="Times New Roman" w:hAnsi="Times New Roman" w:eastAsia="宋体" w:cs="Times New Roman"/>
                      <w:color w:val="000000"/>
                    </w:rPr>
                    <w:t>（1）新增排放污染物种类的（毒性、挥发性降低的除外）；</w:t>
                  </w:r>
                </w:p>
                <w:p>
                  <w:pPr>
                    <w:pStyle w:val="67"/>
                    <w:rPr>
                      <w:rFonts w:hint="default" w:ascii="Times New Roman" w:hAnsi="Times New Roman" w:eastAsia="宋体" w:cs="Times New Roman"/>
                      <w:color w:val="000000"/>
                    </w:rPr>
                  </w:pPr>
                  <w:r>
                    <w:rPr>
                      <w:rFonts w:hint="default" w:ascii="Times New Roman" w:hAnsi="Times New Roman" w:eastAsia="宋体" w:cs="Times New Roman"/>
                      <w:color w:val="000000"/>
                    </w:rPr>
                    <w:t>（2）位于环境质量不达标区的建设项目相应污染物排放量增加的；</w:t>
                  </w:r>
                </w:p>
                <w:p>
                  <w:pPr>
                    <w:pStyle w:val="67"/>
                    <w:rPr>
                      <w:rFonts w:hint="default" w:ascii="Times New Roman" w:hAnsi="Times New Roman" w:eastAsia="宋体" w:cs="Times New Roman"/>
                      <w:color w:val="000000"/>
                    </w:rPr>
                  </w:pPr>
                  <w:r>
                    <w:rPr>
                      <w:rFonts w:hint="default" w:ascii="Times New Roman" w:hAnsi="Times New Roman" w:eastAsia="宋体" w:cs="Times New Roman"/>
                      <w:color w:val="000000"/>
                    </w:rPr>
                    <w:t>（3）废水第一类污染物排放量增加的；</w:t>
                  </w:r>
                </w:p>
                <w:p>
                  <w:pPr>
                    <w:pStyle w:val="67"/>
                    <w:rPr>
                      <w:rFonts w:hint="default" w:ascii="Times New Roman" w:hAnsi="Times New Roman" w:eastAsia="宋体" w:cs="Times New Roman"/>
                      <w:color w:val="000000"/>
                    </w:rPr>
                  </w:pPr>
                  <w:r>
                    <w:rPr>
                      <w:rFonts w:hint="default" w:ascii="Times New Roman" w:hAnsi="Times New Roman" w:eastAsia="宋体" w:cs="Times New Roman"/>
                      <w:color w:val="000000"/>
                    </w:rPr>
                    <w:t>（4）其他污染物排放量增加10%及以上的</w:t>
                  </w:r>
                </w:p>
              </w:tc>
              <w:tc>
                <w:tcPr>
                  <w:tcW w:w="1578" w:type="pct"/>
                  <w:tcBorders>
                    <w:top w:val="single" w:color="auto" w:sz="4" w:space="0"/>
                    <w:left w:val="single" w:color="auto" w:sz="4" w:space="0"/>
                    <w:bottom w:val="single" w:color="auto" w:sz="4" w:space="0"/>
                    <w:right w:val="single" w:color="auto" w:sz="4" w:space="0"/>
                  </w:tcBorders>
                  <w:noWrap w:val="0"/>
                  <w:vAlign w:val="center"/>
                </w:tcPr>
                <w:p>
                  <w:pPr>
                    <w:pStyle w:val="67"/>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产品品种或生产工艺未发生变化，不新增污染物排放</w:t>
                  </w:r>
                </w:p>
              </w:tc>
              <w:tc>
                <w:tcPr>
                  <w:tcW w:w="913" w:type="pct"/>
                  <w:tcBorders>
                    <w:top w:val="single" w:color="auto" w:sz="4" w:space="0"/>
                    <w:left w:val="single" w:color="auto" w:sz="4" w:space="0"/>
                    <w:bottom w:val="single" w:color="auto" w:sz="4" w:space="0"/>
                    <w:right w:val="nil"/>
                  </w:tcBorders>
                  <w:noWrap w:val="0"/>
                  <w:vAlign w:val="center"/>
                </w:tcPr>
                <w:p>
                  <w:pPr>
                    <w:pStyle w:val="67"/>
                    <w:rPr>
                      <w:rFonts w:hint="default" w:ascii="Times New Roman" w:hAnsi="Times New Roman" w:eastAsia="宋体" w:cs="Times New Roman"/>
                      <w:color w:val="auto"/>
                    </w:rPr>
                  </w:pPr>
                  <w:r>
                    <w:rPr>
                      <w:rFonts w:hint="default" w:ascii="Times New Roman" w:hAnsi="Times New Roman" w:eastAsia="宋体" w:cs="Times New Roman"/>
                      <w:color w:val="000000"/>
                      <w:lang w:val="en-US" w:eastAsia="zh-CN"/>
                    </w:rPr>
                    <w:t>未发生变化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9" w:type="pct"/>
                  <w:tcBorders>
                    <w:top w:val="single" w:color="auto" w:sz="4" w:space="0"/>
                    <w:left w:val="nil"/>
                    <w:bottom w:val="single" w:color="auto" w:sz="4" w:space="0"/>
                    <w:right w:val="single" w:color="auto" w:sz="4" w:space="0"/>
                  </w:tcBorders>
                  <w:noWrap w:val="0"/>
                  <w:vAlign w:val="center"/>
                </w:tcPr>
                <w:p>
                  <w:pPr>
                    <w:pStyle w:val="67"/>
                    <w:rPr>
                      <w:rFonts w:hint="default" w:ascii="Times New Roman" w:hAnsi="Times New Roman" w:eastAsia="宋体" w:cs="Times New Roman"/>
                      <w:color w:val="000000"/>
                    </w:rPr>
                  </w:pPr>
                  <w:r>
                    <w:rPr>
                      <w:rFonts w:hint="default" w:ascii="Times New Roman" w:hAnsi="Times New Roman" w:eastAsia="宋体" w:cs="Times New Roman"/>
                      <w:color w:val="000000"/>
                    </w:rPr>
                    <w:t>7</w:t>
                  </w:r>
                </w:p>
              </w:tc>
              <w:tc>
                <w:tcPr>
                  <w:tcW w:w="2108" w:type="pct"/>
                  <w:tcBorders>
                    <w:top w:val="single" w:color="auto" w:sz="4" w:space="0"/>
                    <w:left w:val="single" w:color="auto" w:sz="4" w:space="0"/>
                    <w:bottom w:val="single" w:color="auto" w:sz="4" w:space="0"/>
                    <w:right w:val="single" w:color="auto" w:sz="4" w:space="0"/>
                  </w:tcBorders>
                  <w:noWrap w:val="0"/>
                  <w:vAlign w:val="center"/>
                </w:tcPr>
                <w:p>
                  <w:pPr>
                    <w:pStyle w:val="67"/>
                    <w:rPr>
                      <w:rFonts w:hint="default" w:ascii="Times New Roman" w:hAnsi="Times New Roman" w:eastAsia="宋体" w:cs="Times New Roman"/>
                      <w:color w:val="auto"/>
                    </w:rPr>
                  </w:pPr>
                  <w:r>
                    <w:rPr>
                      <w:rFonts w:hint="default" w:ascii="Times New Roman" w:hAnsi="Times New Roman" w:eastAsia="宋体" w:cs="Times New Roman"/>
                      <w:color w:val="auto"/>
                    </w:rPr>
                    <w:t>物料运输、装卸、贮存方式变化，导致大气污染物无组织排放量增加10%及以上的</w:t>
                  </w:r>
                </w:p>
              </w:tc>
              <w:tc>
                <w:tcPr>
                  <w:tcW w:w="1578" w:type="pct"/>
                  <w:tcBorders>
                    <w:top w:val="single" w:color="auto" w:sz="4" w:space="0"/>
                    <w:left w:val="single" w:color="auto" w:sz="4" w:space="0"/>
                    <w:bottom w:val="single" w:color="auto" w:sz="4" w:space="0"/>
                    <w:right w:val="single" w:color="auto" w:sz="4" w:space="0"/>
                  </w:tcBorders>
                  <w:noWrap w:val="0"/>
                  <w:vAlign w:val="center"/>
                </w:tcPr>
                <w:p>
                  <w:pPr>
                    <w:pStyle w:val="67"/>
                    <w:rPr>
                      <w:rFonts w:hint="default" w:ascii="Times New Roman" w:hAnsi="Times New Roman" w:eastAsia="宋体" w:cs="Times New Roman"/>
                      <w:color w:val="auto"/>
                    </w:rPr>
                  </w:pPr>
                  <w:r>
                    <w:rPr>
                      <w:rFonts w:hint="default" w:ascii="Times New Roman" w:hAnsi="Times New Roman" w:eastAsia="宋体" w:cs="Times New Roman"/>
                      <w:color w:val="auto"/>
                    </w:rPr>
                    <w:t>物料运输、装卸、贮存方式</w:t>
                  </w:r>
                  <w:r>
                    <w:rPr>
                      <w:rFonts w:hint="default" w:ascii="Times New Roman" w:hAnsi="Times New Roman" w:eastAsia="宋体" w:cs="Times New Roman"/>
                      <w:color w:val="auto"/>
                      <w:lang w:eastAsia="zh-CN"/>
                    </w:rPr>
                    <w:t>未发生</w:t>
                  </w:r>
                  <w:r>
                    <w:rPr>
                      <w:rFonts w:hint="default" w:ascii="Times New Roman" w:hAnsi="Times New Roman" w:eastAsia="宋体" w:cs="Times New Roman"/>
                      <w:color w:val="auto"/>
                    </w:rPr>
                    <w:t>变化</w:t>
                  </w:r>
                </w:p>
              </w:tc>
              <w:tc>
                <w:tcPr>
                  <w:tcW w:w="913" w:type="pct"/>
                  <w:tcBorders>
                    <w:top w:val="single" w:color="auto" w:sz="4" w:space="0"/>
                    <w:left w:val="single" w:color="auto" w:sz="4" w:space="0"/>
                    <w:bottom w:val="single" w:color="auto" w:sz="4" w:space="0"/>
                    <w:right w:val="nil"/>
                  </w:tcBorders>
                  <w:noWrap w:val="0"/>
                  <w:vAlign w:val="center"/>
                </w:tcPr>
                <w:p>
                  <w:pPr>
                    <w:pStyle w:val="67"/>
                    <w:rPr>
                      <w:rFonts w:hint="default" w:ascii="Times New Roman" w:hAnsi="Times New Roman" w:eastAsia="宋体" w:cs="Times New Roman"/>
                      <w:color w:val="auto"/>
                    </w:rPr>
                  </w:pPr>
                  <w:r>
                    <w:rPr>
                      <w:rFonts w:hint="default" w:ascii="Times New Roman" w:hAnsi="Times New Roman" w:eastAsia="宋体" w:cs="Times New Roman"/>
                      <w:color w:val="000000"/>
                      <w:lang w:val="en-US" w:eastAsia="zh-CN"/>
                    </w:rPr>
                    <w:t>未发生变化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4"/>
                  <w:tcBorders>
                    <w:top w:val="single" w:color="auto" w:sz="4" w:space="0"/>
                    <w:left w:val="nil"/>
                    <w:bottom w:val="single" w:color="auto" w:sz="4" w:space="0"/>
                    <w:right w:val="nil"/>
                  </w:tcBorders>
                  <w:noWrap w:val="0"/>
                  <w:vAlign w:val="center"/>
                </w:tcPr>
                <w:p>
                  <w:pPr>
                    <w:pStyle w:val="67"/>
                    <w:jc w:val="left"/>
                    <w:rPr>
                      <w:rFonts w:hint="default" w:ascii="Times New Roman" w:hAnsi="Times New Roman" w:eastAsia="宋体" w:cs="Times New Roman"/>
                      <w:color w:val="000000"/>
                    </w:rPr>
                  </w:pPr>
                  <w:r>
                    <w:rPr>
                      <w:rFonts w:hint="default" w:ascii="Times New Roman" w:hAnsi="Times New Roman" w:eastAsia="宋体" w:cs="Times New Roman"/>
                      <w:color w:val="000000"/>
                    </w:rPr>
                    <w:t>环境保护措施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9" w:type="pct"/>
                  <w:tcBorders>
                    <w:top w:val="single" w:color="auto" w:sz="4" w:space="0"/>
                    <w:left w:val="nil"/>
                    <w:bottom w:val="single" w:color="auto" w:sz="4" w:space="0"/>
                    <w:right w:val="single" w:color="auto" w:sz="4" w:space="0"/>
                  </w:tcBorders>
                  <w:noWrap w:val="0"/>
                  <w:vAlign w:val="center"/>
                </w:tcPr>
                <w:p>
                  <w:pPr>
                    <w:pStyle w:val="67"/>
                    <w:rPr>
                      <w:rFonts w:hint="default" w:ascii="Times New Roman" w:hAnsi="Times New Roman" w:eastAsia="宋体" w:cs="Times New Roman"/>
                      <w:color w:val="000000"/>
                    </w:rPr>
                  </w:pPr>
                  <w:r>
                    <w:rPr>
                      <w:rFonts w:hint="default" w:ascii="Times New Roman" w:hAnsi="Times New Roman" w:eastAsia="宋体" w:cs="Times New Roman"/>
                      <w:color w:val="000000"/>
                    </w:rPr>
                    <w:t>8</w:t>
                  </w:r>
                </w:p>
              </w:tc>
              <w:tc>
                <w:tcPr>
                  <w:tcW w:w="2108" w:type="pct"/>
                  <w:tcBorders>
                    <w:top w:val="single" w:color="auto" w:sz="4" w:space="0"/>
                    <w:left w:val="single" w:color="auto" w:sz="4" w:space="0"/>
                    <w:bottom w:val="single" w:color="auto" w:sz="4" w:space="0"/>
                    <w:right w:val="single" w:color="auto" w:sz="4" w:space="0"/>
                  </w:tcBorders>
                  <w:noWrap w:val="0"/>
                  <w:vAlign w:val="center"/>
                </w:tcPr>
                <w:p>
                  <w:pPr>
                    <w:pStyle w:val="67"/>
                    <w:rPr>
                      <w:rFonts w:hint="default" w:ascii="Times New Roman" w:hAnsi="Times New Roman" w:eastAsia="宋体" w:cs="Times New Roman"/>
                      <w:color w:val="000000"/>
                    </w:rPr>
                  </w:pPr>
                  <w:r>
                    <w:rPr>
                      <w:rFonts w:hint="default" w:ascii="Times New Roman" w:hAnsi="Times New Roman" w:eastAsia="宋体" w:cs="Times New Roman"/>
                      <w:color w:val="000000"/>
                    </w:rPr>
                    <w:t>废气、废水污染防治措施变化，导致第6条中所列情形之一（废气无组织排放改为有组织排放、污染防治措施强化或改进的除外）或大气污染物无组织排放量增加10%及以上的</w:t>
                  </w:r>
                </w:p>
              </w:tc>
              <w:tc>
                <w:tcPr>
                  <w:tcW w:w="1578" w:type="pct"/>
                  <w:tcBorders>
                    <w:top w:val="single" w:color="auto" w:sz="4" w:space="0"/>
                    <w:left w:val="single" w:color="auto" w:sz="4" w:space="0"/>
                    <w:bottom w:val="single" w:color="auto" w:sz="4" w:space="0"/>
                    <w:right w:val="single" w:color="auto" w:sz="4" w:space="0"/>
                  </w:tcBorders>
                  <w:noWrap w:val="0"/>
                  <w:vAlign w:val="center"/>
                </w:tcPr>
                <w:p>
                  <w:pPr>
                    <w:pStyle w:val="67"/>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废水处理设施未发生变化，废气处理设施工艺未发生变化，新增1套活性炭废气处理设施</w:t>
                  </w:r>
                </w:p>
              </w:tc>
              <w:tc>
                <w:tcPr>
                  <w:tcW w:w="913" w:type="pct"/>
                  <w:tcBorders>
                    <w:top w:val="single" w:color="auto" w:sz="4" w:space="0"/>
                    <w:left w:val="single" w:color="auto" w:sz="4" w:space="0"/>
                    <w:bottom w:val="single" w:color="auto" w:sz="4" w:space="0"/>
                    <w:right w:val="nil"/>
                  </w:tcBorders>
                  <w:noWrap w:val="0"/>
                  <w:vAlign w:val="center"/>
                </w:tcPr>
                <w:p>
                  <w:pPr>
                    <w:pStyle w:val="67"/>
                    <w:rPr>
                      <w:rFonts w:hint="default" w:ascii="Times New Roman" w:hAnsi="Times New Roman" w:eastAsia="宋体" w:cs="Times New Roman"/>
                      <w:color w:val="auto"/>
                      <w:lang w:val="en-US"/>
                    </w:rPr>
                  </w:pPr>
                  <w:r>
                    <w:rPr>
                      <w:rFonts w:hint="default" w:ascii="Times New Roman" w:hAnsi="Times New Roman" w:eastAsia="宋体" w:cs="Times New Roman"/>
                      <w:color w:val="000000"/>
                      <w:lang w:val="en-US" w:eastAsia="zh-CN"/>
                    </w:rPr>
                    <w:t>未导致无组织排放量增加10%以上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9" w:type="pct"/>
                  <w:tcBorders>
                    <w:top w:val="single" w:color="auto" w:sz="4" w:space="0"/>
                    <w:left w:val="nil"/>
                    <w:bottom w:val="single" w:color="auto" w:sz="4" w:space="0"/>
                    <w:right w:val="single" w:color="auto" w:sz="4" w:space="0"/>
                  </w:tcBorders>
                  <w:noWrap w:val="0"/>
                  <w:vAlign w:val="center"/>
                </w:tcPr>
                <w:p>
                  <w:pPr>
                    <w:pStyle w:val="67"/>
                    <w:rPr>
                      <w:rFonts w:hint="default" w:ascii="Times New Roman" w:hAnsi="Times New Roman" w:eastAsia="宋体" w:cs="Times New Roman"/>
                      <w:color w:val="000000"/>
                    </w:rPr>
                  </w:pPr>
                  <w:r>
                    <w:rPr>
                      <w:rFonts w:hint="default" w:ascii="Times New Roman" w:hAnsi="Times New Roman" w:eastAsia="宋体" w:cs="Times New Roman"/>
                      <w:color w:val="000000"/>
                    </w:rPr>
                    <w:t>9</w:t>
                  </w:r>
                </w:p>
              </w:tc>
              <w:tc>
                <w:tcPr>
                  <w:tcW w:w="2108" w:type="pct"/>
                  <w:tcBorders>
                    <w:top w:val="single" w:color="auto" w:sz="4" w:space="0"/>
                    <w:left w:val="single" w:color="auto" w:sz="4" w:space="0"/>
                    <w:bottom w:val="single" w:color="auto" w:sz="4" w:space="0"/>
                    <w:right w:val="single" w:color="auto" w:sz="4" w:space="0"/>
                  </w:tcBorders>
                  <w:noWrap w:val="0"/>
                  <w:vAlign w:val="center"/>
                </w:tcPr>
                <w:p>
                  <w:pPr>
                    <w:pStyle w:val="67"/>
                    <w:rPr>
                      <w:rFonts w:hint="default" w:ascii="Times New Roman" w:hAnsi="Times New Roman" w:eastAsia="宋体" w:cs="Times New Roman"/>
                      <w:color w:val="000000"/>
                    </w:rPr>
                  </w:pPr>
                  <w:r>
                    <w:rPr>
                      <w:rFonts w:hint="default" w:ascii="Times New Roman" w:hAnsi="Times New Roman" w:eastAsia="宋体" w:cs="Times New Roman"/>
                      <w:color w:val="000000"/>
                    </w:rPr>
                    <w:t>新增废水直接排放口；废水由间接排放改为直接排放；废水直接排放口位置变化，导致不利环境影响加重的</w:t>
                  </w:r>
                </w:p>
              </w:tc>
              <w:tc>
                <w:tcPr>
                  <w:tcW w:w="1578" w:type="pct"/>
                  <w:tcBorders>
                    <w:top w:val="single" w:color="auto" w:sz="4" w:space="0"/>
                    <w:left w:val="single" w:color="auto" w:sz="4" w:space="0"/>
                    <w:bottom w:val="single" w:color="auto" w:sz="4" w:space="0"/>
                    <w:right w:val="single" w:color="auto" w:sz="4" w:space="0"/>
                  </w:tcBorders>
                  <w:noWrap w:val="0"/>
                  <w:vAlign w:val="center"/>
                </w:tcPr>
                <w:p>
                  <w:pPr>
                    <w:pStyle w:val="67"/>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未新增废水排放口；</w:t>
                  </w:r>
                  <w:r>
                    <w:rPr>
                      <w:rFonts w:hint="default" w:ascii="Times New Roman" w:hAnsi="Times New Roman" w:eastAsia="宋体" w:cs="Times New Roman"/>
                      <w:color w:val="000000"/>
                    </w:rPr>
                    <w:t>废水</w:t>
                  </w:r>
                  <w:r>
                    <w:rPr>
                      <w:rFonts w:hint="default" w:ascii="Times New Roman" w:hAnsi="Times New Roman" w:eastAsia="宋体" w:cs="Times New Roman"/>
                      <w:color w:val="000000"/>
                      <w:lang w:eastAsia="zh-CN"/>
                    </w:rPr>
                    <w:t>排放方式未修改</w:t>
                  </w:r>
                  <w:r>
                    <w:rPr>
                      <w:rFonts w:hint="default" w:ascii="Times New Roman" w:hAnsi="Times New Roman" w:eastAsia="宋体" w:cs="Times New Roman"/>
                      <w:color w:val="000000"/>
                    </w:rPr>
                    <w:t>；</w:t>
                  </w:r>
                  <w:r>
                    <w:rPr>
                      <w:rFonts w:hint="default" w:ascii="Times New Roman" w:hAnsi="Times New Roman" w:eastAsia="宋体" w:cs="Times New Roman"/>
                      <w:color w:val="000000"/>
                      <w:lang w:eastAsia="zh-CN"/>
                    </w:rPr>
                    <w:t>废水无直接排放口</w:t>
                  </w:r>
                </w:p>
              </w:tc>
              <w:tc>
                <w:tcPr>
                  <w:tcW w:w="913" w:type="pct"/>
                  <w:tcBorders>
                    <w:top w:val="single" w:color="auto" w:sz="4" w:space="0"/>
                    <w:left w:val="single" w:color="auto" w:sz="4" w:space="0"/>
                    <w:bottom w:val="single" w:color="auto" w:sz="4" w:space="0"/>
                    <w:right w:val="nil"/>
                  </w:tcBorders>
                  <w:noWrap w:val="0"/>
                  <w:vAlign w:val="center"/>
                </w:tcPr>
                <w:p>
                  <w:pPr>
                    <w:pStyle w:val="67"/>
                    <w:rPr>
                      <w:rFonts w:hint="default" w:ascii="Times New Roman" w:hAnsi="Times New Roman" w:eastAsia="宋体" w:cs="Times New Roman"/>
                      <w:color w:val="auto"/>
                      <w:lang w:eastAsia="zh-CN"/>
                    </w:rPr>
                  </w:pPr>
                  <w:r>
                    <w:rPr>
                      <w:rFonts w:hint="default" w:ascii="Times New Roman" w:hAnsi="Times New Roman" w:eastAsia="宋体" w:cs="Times New Roman"/>
                      <w:color w:val="000000"/>
                      <w:lang w:val="en-US" w:eastAsia="zh-CN"/>
                    </w:rPr>
                    <w:t>未发生变化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9" w:type="pct"/>
                  <w:tcBorders>
                    <w:top w:val="single" w:color="auto" w:sz="4" w:space="0"/>
                    <w:left w:val="nil"/>
                    <w:bottom w:val="single" w:color="auto" w:sz="4" w:space="0"/>
                    <w:right w:val="single" w:color="auto" w:sz="4" w:space="0"/>
                  </w:tcBorders>
                  <w:noWrap w:val="0"/>
                  <w:vAlign w:val="center"/>
                </w:tcPr>
                <w:p>
                  <w:pPr>
                    <w:pStyle w:val="67"/>
                    <w:rPr>
                      <w:rFonts w:hint="default" w:ascii="Times New Roman" w:hAnsi="Times New Roman" w:eastAsia="宋体" w:cs="Times New Roman"/>
                      <w:color w:val="000000"/>
                    </w:rPr>
                  </w:pPr>
                  <w:r>
                    <w:rPr>
                      <w:rFonts w:hint="default" w:ascii="Times New Roman" w:hAnsi="Times New Roman" w:eastAsia="宋体" w:cs="Times New Roman"/>
                      <w:color w:val="000000"/>
                    </w:rPr>
                    <w:t>10</w:t>
                  </w:r>
                </w:p>
              </w:tc>
              <w:tc>
                <w:tcPr>
                  <w:tcW w:w="2108" w:type="pct"/>
                  <w:tcBorders>
                    <w:top w:val="single" w:color="auto" w:sz="4" w:space="0"/>
                    <w:left w:val="single" w:color="auto" w:sz="4" w:space="0"/>
                    <w:bottom w:val="single" w:color="auto" w:sz="4" w:space="0"/>
                    <w:right w:val="single" w:color="auto" w:sz="4" w:space="0"/>
                  </w:tcBorders>
                  <w:noWrap w:val="0"/>
                  <w:vAlign w:val="center"/>
                </w:tcPr>
                <w:p>
                  <w:pPr>
                    <w:pStyle w:val="67"/>
                    <w:rPr>
                      <w:rFonts w:hint="default" w:ascii="Times New Roman" w:hAnsi="Times New Roman" w:eastAsia="宋体" w:cs="Times New Roman"/>
                      <w:color w:val="000000"/>
                    </w:rPr>
                  </w:pPr>
                  <w:r>
                    <w:rPr>
                      <w:rFonts w:hint="default" w:ascii="Times New Roman" w:hAnsi="Times New Roman" w:eastAsia="宋体" w:cs="Times New Roman"/>
                      <w:color w:val="000000"/>
                    </w:rPr>
                    <w:t>新增废气主要排放口（废气无组织排放改为有组织排放的除外）；主要排放口排气筒高度降低10%及以上的</w:t>
                  </w:r>
                </w:p>
              </w:tc>
              <w:tc>
                <w:tcPr>
                  <w:tcW w:w="1578" w:type="pct"/>
                  <w:tcBorders>
                    <w:top w:val="single" w:color="auto" w:sz="4" w:space="0"/>
                    <w:left w:val="single" w:color="auto" w:sz="4" w:space="0"/>
                    <w:bottom w:val="single" w:color="auto" w:sz="4" w:space="0"/>
                    <w:right w:val="single" w:color="auto" w:sz="4" w:space="0"/>
                  </w:tcBorders>
                  <w:noWrap w:val="0"/>
                  <w:vAlign w:val="center"/>
                </w:tcPr>
                <w:p>
                  <w:pPr>
                    <w:pStyle w:val="67"/>
                    <w:rPr>
                      <w:rFonts w:hint="default" w:ascii="Times New Roman" w:hAnsi="Times New Roman" w:eastAsia="宋体" w:cs="Times New Roman"/>
                      <w:color w:val="000000"/>
                      <w:lang w:val="en-US" w:eastAsia="zh-CN"/>
                    </w:rPr>
                  </w:pPr>
                  <w:r>
                    <w:rPr>
                      <w:rFonts w:hint="default" w:ascii="Times New Roman" w:hAnsi="Times New Roman" w:eastAsia="宋体" w:cs="Times New Roman"/>
                      <w:color w:val="000000"/>
                      <w:lang w:val="en-US" w:eastAsia="zh-CN"/>
                    </w:rPr>
                    <w:t>无新增主要排放口</w:t>
                  </w:r>
                </w:p>
              </w:tc>
              <w:tc>
                <w:tcPr>
                  <w:tcW w:w="913" w:type="pct"/>
                  <w:tcBorders>
                    <w:top w:val="single" w:color="auto" w:sz="4" w:space="0"/>
                    <w:left w:val="single" w:color="auto" w:sz="4" w:space="0"/>
                    <w:bottom w:val="single" w:color="auto" w:sz="4" w:space="0"/>
                    <w:right w:val="nil"/>
                  </w:tcBorders>
                  <w:noWrap w:val="0"/>
                  <w:vAlign w:val="center"/>
                </w:tcPr>
                <w:p>
                  <w:pPr>
                    <w:pStyle w:val="67"/>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000000"/>
                      <w:lang w:val="en-US" w:eastAsia="zh-CN"/>
                    </w:rPr>
                    <w:t>未发生变化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9" w:type="pct"/>
                  <w:tcBorders>
                    <w:top w:val="single" w:color="auto" w:sz="4" w:space="0"/>
                    <w:left w:val="nil"/>
                    <w:bottom w:val="single" w:color="auto" w:sz="4" w:space="0"/>
                    <w:right w:val="single" w:color="auto" w:sz="4" w:space="0"/>
                  </w:tcBorders>
                  <w:noWrap w:val="0"/>
                  <w:vAlign w:val="center"/>
                </w:tcPr>
                <w:p>
                  <w:pPr>
                    <w:pStyle w:val="67"/>
                    <w:rPr>
                      <w:rFonts w:hint="default" w:ascii="Times New Roman" w:hAnsi="Times New Roman" w:eastAsia="宋体" w:cs="Times New Roman"/>
                      <w:color w:val="000000"/>
                    </w:rPr>
                  </w:pPr>
                  <w:r>
                    <w:rPr>
                      <w:rFonts w:hint="default" w:ascii="Times New Roman" w:hAnsi="Times New Roman" w:eastAsia="宋体" w:cs="Times New Roman"/>
                      <w:color w:val="000000"/>
                    </w:rPr>
                    <w:t>11</w:t>
                  </w:r>
                </w:p>
              </w:tc>
              <w:tc>
                <w:tcPr>
                  <w:tcW w:w="2108" w:type="pct"/>
                  <w:tcBorders>
                    <w:top w:val="single" w:color="auto" w:sz="4" w:space="0"/>
                    <w:left w:val="single" w:color="auto" w:sz="4" w:space="0"/>
                    <w:bottom w:val="single" w:color="auto" w:sz="4" w:space="0"/>
                    <w:right w:val="single" w:color="auto" w:sz="4" w:space="0"/>
                  </w:tcBorders>
                  <w:noWrap w:val="0"/>
                  <w:vAlign w:val="center"/>
                </w:tcPr>
                <w:p>
                  <w:pPr>
                    <w:pStyle w:val="67"/>
                    <w:rPr>
                      <w:rFonts w:hint="default" w:ascii="Times New Roman" w:hAnsi="Times New Roman" w:eastAsia="宋体" w:cs="Times New Roman"/>
                      <w:color w:val="000000"/>
                    </w:rPr>
                  </w:pPr>
                  <w:r>
                    <w:rPr>
                      <w:rFonts w:hint="default" w:ascii="Times New Roman" w:hAnsi="Times New Roman" w:eastAsia="宋体" w:cs="Times New Roman"/>
                      <w:color w:val="000000"/>
                    </w:rPr>
                    <w:t>噪声、土壤或地下水污染防治措施变化，导致不利环境影响加重的</w:t>
                  </w:r>
                </w:p>
              </w:tc>
              <w:tc>
                <w:tcPr>
                  <w:tcW w:w="1578" w:type="pct"/>
                  <w:tcBorders>
                    <w:top w:val="single" w:color="auto" w:sz="4" w:space="0"/>
                    <w:left w:val="single" w:color="auto" w:sz="4" w:space="0"/>
                    <w:bottom w:val="single" w:color="auto" w:sz="4" w:space="0"/>
                    <w:right w:val="single" w:color="auto" w:sz="4" w:space="0"/>
                  </w:tcBorders>
                  <w:noWrap w:val="0"/>
                  <w:vAlign w:val="center"/>
                </w:tcPr>
                <w:p>
                  <w:pPr>
                    <w:pStyle w:val="67"/>
                    <w:rPr>
                      <w:rFonts w:hint="default" w:ascii="Times New Roman" w:hAnsi="Times New Roman" w:eastAsia="宋体" w:cs="Times New Roman"/>
                      <w:color w:val="auto"/>
                    </w:rPr>
                  </w:pPr>
                  <w:r>
                    <w:rPr>
                      <w:rFonts w:hint="default" w:ascii="Times New Roman" w:hAnsi="Times New Roman" w:eastAsia="宋体" w:cs="Times New Roman"/>
                      <w:color w:val="000000"/>
                    </w:rPr>
                    <w:t>噪声、土壤或地下水污染防治措施</w:t>
                  </w:r>
                  <w:r>
                    <w:rPr>
                      <w:rFonts w:hint="default" w:ascii="Times New Roman" w:hAnsi="Times New Roman" w:eastAsia="宋体" w:cs="Times New Roman"/>
                      <w:color w:val="000000"/>
                      <w:lang w:eastAsia="zh-CN"/>
                    </w:rPr>
                    <w:t>未发生</w:t>
                  </w:r>
                  <w:r>
                    <w:rPr>
                      <w:rFonts w:hint="default" w:ascii="Times New Roman" w:hAnsi="Times New Roman" w:eastAsia="宋体" w:cs="Times New Roman"/>
                      <w:color w:val="000000"/>
                    </w:rPr>
                    <w:t>变化</w:t>
                  </w:r>
                </w:p>
              </w:tc>
              <w:tc>
                <w:tcPr>
                  <w:tcW w:w="913" w:type="pct"/>
                  <w:tcBorders>
                    <w:top w:val="single" w:color="auto" w:sz="4" w:space="0"/>
                    <w:left w:val="single" w:color="auto" w:sz="4" w:space="0"/>
                    <w:bottom w:val="single" w:color="auto" w:sz="4" w:space="0"/>
                    <w:right w:val="nil"/>
                  </w:tcBorders>
                  <w:noWrap w:val="0"/>
                  <w:vAlign w:val="center"/>
                </w:tcPr>
                <w:p>
                  <w:pPr>
                    <w:pStyle w:val="67"/>
                    <w:rPr>
                      <w:rFonts w:hint="default" w:ascii="Times New Roman" w:hAnsi="Times New Roman" w:eastAsia="宋体" w:cs="Times New Roman"/>
                      <w:color w:val="auto"/>
                      <w:lang w:eastAsia="zh-CN"/>
                    </w:rPr>
                  </w:pPr>
                  <w:r>
                    <w:rPr>
                      <w:rFonts w:hint="default" w:ascii="Times New Roman" w:hAnsi="Times New Roman" w:eastAsia="宋体" w:cs="Times New Roman"/>
                      <w:color w:val="000000"/>
                      <w:lang w:val="en-US" w:eastAsia="zh-CN"/>
                    </w:rPr>
                    <w:t>未发生变化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9" w:type="pct"/>
                  <w:tcBorders>
                    <w:top w:val="single" w:color="auto" w:sz="4" w:space="0"/>
                    <w:left w:val="nil"/>
                    <w:bottom w:val="single" w:color="auto" w:sz="4" w:space="0"/>
                    <w:right w:val="single" w:color="auto" w:sz="4" w:space="0"/>
                  </w:tcBorders>
                  <w:noWrap w:val="0"/>
                  <w:vAlign w:val="center"/>
                </w:tcPr>
                <w:p>
                  <w:pPr>
                    <w:pStyle w:val="67"/>
                    <w:rPr>
                      <w:rFonts w:hint="default" w:ascii="Times New Roman" w:hAnsi="Times New Roman" w:eastAsia="宋体" w:cs="Times New Roman"/>
                      <w:color w:val="000000"/>
                    </w:rPr>
                  </w:pPr>
                  <w:r>
                    <w:rPr>
                      <w:rFonts w:hint="default" w:ascii="Times New Roman" w:hAnsi="Times New Roman" w:eastAsia="宋体" w:cs="Times New Roman"/>
                      <w:color w:val="000000"/>
                    </w:rPr>
                    <w:t>12</w:t>
                  </w:r>
                </w:p>
              </w:tc>
              <w:tc>
                <w:tcPr>
                  <w:tcW w:w="2108" w:type="pct"/>
                  <w:tcBorders>
                    <w:top w:val="single" w:color="auto" w:sz="4" w:space="0"/>
                    <w:left w:val="single" w:color="auto" w:sz="4" w:space="0"/>
                    <w:bottom w:val="single" w:color="auto" w:sz="4" w:space="0"/>
                    <w:right w:val="single" w:color="auto" w:sz="4" w:space="0"/>
                  </w:tcBorders>
                  <w:noWrap w:val="0"/>
                  <w:vAlign w:val="center"/>
                </w:tcPr>
                <w:p>
                  <w:pPr>
                    <w:pStyle w:val="67"/>
                    <w:rPr>
                      <w:rFonts w:hint="default" w:ascii="Times New Roman" w:hAnsi="Times New Roman" w:eastAsia="宋体" w:cs="Times New Roman"/>
                      <w:color w:val="000000"/>
                    </w:rPr>
                  </w:pPr>
                  <w:r>
                    <w:rPr>
                      <w:rFonts w:hint="default" w:ascii="Times New Roman" w:hAnsi="Times New Roman" w:eastAsia="宋体" w:cs="Times New Roman"/>
                      <w:color w:val="000000"/>
                    </w:rPr>
                    <w:t>固体废物利用处置方式由委托外单位利用处置改为自行利用处置的（自行利用处置设施单独开展环境影响评价的除外）；固体废物自行处置方式变化，导致不利环境影响加重的</w:t>
                  </w:r>
                </w:p>
              </w:tc>
              <w:tc>
                <w:tcPr>
                  <w:tcW w:w="1578" w:type="pct"/>
                  <w:tcBorders>
                    <w:top w:val="single" w:color="auto" w:sz="4" w:space="0"/>
                    <w:left w:val="single" w:color="auto" w:sz="4" w:space="0"/>
                    <w:bottom w:val="single" w:color="auto" w:sz="4" w:space="0"/>
                    <w:right w:val="single" w:color="auto" w:sz="4" w:space="0"/>
                  </w:tcBorders>
                  <w:noWrap w:val="0"/>
                  <w:vAlign w:val="center"/>
                </w:tcPr>
                <w:p>
                  <w:pPr>
                    <w:pStyle w:val="67"/>
                    <w:rPr>
                      <w:rFonts w:hint="default" w:ascii="Times New Roman" w:hAnsi="Times New Roman" w:eastAsia="宋体" w:cs="Times New Roman"/>
                      <w:color w:val="auto"/>
                      <w:lang w:eastAsia="zh-CN"/>
                    </w:rPr>
                  </w:pPr>
                  <w:r>
                    <w:rPr>
                      <w:rFonts w:hint="default" w:ascii="Times New Roman" w:hAnsi="Times New Roman" w:eastAsia="宋体" w:cs="Times New Roman"/>
                      <w:color w:val="000000"/>
                    </w:rPr>
                    <w:t>固体废物利用处置方式</w:t>
                  </w:r>
                  <w:r>
                    <w:rPr>
                      <w:rFonts w:hint="default" w:ascii="Times New Roman" w:hAnsi="Times New Roman" w:eastAsia="宋体" w:cs="Times New Roman"/>
                      <w:color w:val="000000"/>
                      <w:lang w:eastAsia="zh-CN"/>
                    </w:rPr>
                    <w:t>未发生变化</w:t>
                  </w:r>
                </w:p>
              </w:tc>
              <w:tc>
                <w:tcPr>
                  <w:tcW w:w="913" w:type="pct"/>
                  <w:tcBorders>
                    <w:top w:val="single" w:color="auto" w:sz="4" w:space="0"/>
                    <w:left w:val="single" w:color="auto" w:sz="4" w:space="0"/>
                    <w:bottom w:val="single" w:color="auto" w:sz="4" w:space="0"/>
                    <w:right w:val="nil"/>
                  </w:tcBorders>
                  <w:noWrap w:val="0"/>
                  <w:vAlign w:val="center"/>
                </w:tcPr>
                <w:p>
                  <w:pPr>
                    <w:pStyle w:val="67"/>
                    <w:rPr>
                      <w:rFonts w:hint="default" w:ascii="Times New Roman" w:hAnsi="Times New Roman" w:eastAsia="宋体" w:cs="Times New Roman"/>
                      <w:color w:val="auto"/>
                      <w:lang w:eastAsia="zh-CN"/>
                    </w:rPr>
                  </w:pPr>
                  <w:r>
                    <w:rPr>
                      <w:rFonts w:hint="default" w:ascii="Times New Roman" w:hAnsi="Times New Roman" w:eastAsia="宋体" w:cs="Times New Roman"/>
                      <w:color w:val="000000"/>
                      <w:lang w:val="en-US" w:eastAsia="zh-CN"/>
                    </w:rPr>
                    <w:t>未发生变化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9" w:type="pct"/>
                  <w:tcBorders>
                    <w:top w:val="single" w:color="auto" w:sz="4" w:space="0"/>
                    <w:left w:val="nil"/>
                    <w:bottom w:val="single" w:color="auto" w:sz="12" w:space="0"/>
                    <w:right w:val="single" w:color="auto" w:sz="4" w:space="0"/>
                  </w:tcBorders>
                  <w:noWrap w:val="0"/>
                  <w:vAlign w:val="center"/>
                </w:tcPr>
                <w:p>
                  <w:pPr>
                    <w:pStyle w:val="67"/>
                    <w:rPr>
                      <w:rFonts w:hint="default" w:ascii="Times New Roman" w:hAnsi="Times New Roman" w:eastAsia="宋体" w:cs="Times New Roman"/>
                      <w:color w:val="000000"/>
                    </w:rPr>
                  </w:pPr>
                  <w:r>
                    <w:rPr>
                      <w:rFonts w:hint="default" w:ascii="Times New Roman" w:hAnsi="Times New Roman" w:eastAsia="宋体" w:cs="Times New Roman"/>
                      <w:color w:val="000000"/>
                    </w:rPr>
                    <w:t>13</w:t>
                  </w:r>
                </w:p>
              </w:tc>
              <w:tc>
                <w:tcPr>
                  <w:tcW w:w="2108" w:type="pct"/>
                  <w:tcBorders>
                    <w:top w:val="single" w:color="auto" w:sz="4" w:space="0"/>
                    <w:left w:val="single" w:color="auto" w:sz="4" w:space="0"/>
                    <w:bottom w:val="single" w:color="auto" w:sz="12" w:space="0"/>
                    <w:right w:val="single" w:color="auto" w:sz="4" w:space="0"/>
                  </w:tcBorders>
                  <w:noWrap w:val="0"/>
                  <w:vAlign w:val="center"/>
                </w:tcPr>
                <w:p>
                  <w:pPr>
                    <w:pStyle w:val="67"/>
                    <w:rPr>
                      <w:rFonts w:hint="default" w:ascii="Times New Roman" w:hAnsi="Times New Roman" w:eastAsia="宋体" w:cs="Times New Roman"/>
                      <w:color w:val="000000"/>
                    </w:rPr>
                  </w:pPr>
                  <w:r>
                    <w:rPr>
                      <w:rFonts w:hint="default" w:ascii="Times New Roman" w:hAnsi="Times New Roman" w:eastAsia="宋体" w:cs="Times New Roman"/>
                      <w:color w:val="000000"/>
                    </w:rPr>
                    <w:t>事故废水暂存能力或拦截设施变化，导致环境风险防范能力弱化或降低的</w:t>
                  </w:r>
                </w:p>
              </w:tc>
              <w:tc>
                <w:tcPr>
                  <w:tcW w:w="1578" w:type="pct"/>
                  <w:tcBorders>
                    <w:top w:val="single" w:color="auto" w:sz="4" w:space="0"/>
                    <w:left w:val="single" w:color="auto" w:sz="4" w:space="0"/>
                    <w:bottom w:val="single" w:color="auto" w:sz="12" w:space="0"/>
                    <w:right w:val="single" w:color="auto" w:sz="4" w:space="0"/>
                  </w:tcBorders>
                  <w:noWrap w:val="0"/>
                  <w:vAlign w:val="center"/>
                </w:tcPr>
                <w:p>
                  <w:pPr>
                    <w:pStyle w:val="67"/>
                    <w:rPr>
                      <w:rFonts w:hint="default" w:ascii="Times New Roman" w:hAnsi="Times New Roman" w:eastAsia="宋体" w:cs="Times New Roman"/>
                      <w:color w:val="auto"/>
                      <w:lang w:eastAsia="zh-CN"/>
                    </w:rPr>
                  </w:pPr>
                  <w:r>
                    <w:rPr>
                      <w:rFonts w:hint="default" w:ascii="Times New Roman" w:hAnsi="Times New Roman" w:eastAsia="宋体" w:cs="Times New Roman"/>
                      <w:color w:val="000000"/>
                    </w:rPr>
                    <w:t>环境风险防范能力</w:t>
                  </w:r>
                  <w:r>
                    <w:rPr>
                      <w:rFonts w:hint="default" w:ascii="Times New Roman" w:hAnsi="Times New Roman" w:eastAsia="宋体" w:cs="Times New Roman"/>
                      <w:color w:val="000000"/>
                      <w:lang w:eastAsia="zh-CN"/>
                    </w:rPr>
                    <w:t>未见</w:t>
                  </w:r>
                  <w:r>
                    <w:rPr>
                      <w:rFonts w:hint="default" w:ascii="Times New Roman" w:hAnsi="Times New Roman" w:eastAsia="宋体" w:cs="Times New Roman"/>
                      <w:color w:val="000000"/>
                    </w:rPr>
                    <w:t>弱化或降低</w:t>
                  </w:r>
                  <w:r>
                    <w:rPr>
                      <w:rFonts w:hint="default" w:ascii="Times New Roman" w:hAnsi="Times New Roman" w:eastAsia="宋体" w:cs="Times New Roman"/>
                      <w:color w:val="000000"/>
                      <w:lang w:eastAsia="zh-CN"/>
                    </w:rPr>
                    <w:t>的</w:t>
                  </w:r>
                </w:p>
              </w:tc>
              <w:tc>
                <w:tcPr>
                  <w:tcW w:w="913" w:type="pct"/>
                  <w:tcBorders>
                    <w:top w:val="single" w:color="auto" w:sz="4" w:space="0"/>
                    <w:left w:val="single" w:color="auto" w:sz="4" w:space="0"/>
                    <w:bottom w:val="single" w:color="auto" w:sz="12" w:space="0"/>
                    <w:right w:val="nil"/>
                  </w:tcBorders>
                  <w:noWrap w:val="0"/>
                  <w:vAlign w:val="center"/>
                </w:tcPr>
                <w:p>
                  <w:pPr>
                    <w:pStyle w:val="67"/>
                    <w:rPr>
                      <w:rFonts w:hint="default" w:ascii="Times New Roman" w:hAnsi="Times New Roman" w:eastAsia="宋体" w:cs="Times New Roman"/>
                      <w:color w:val="auto"/>
                      <w:lang w:eastAsia="zh-CN"/>
                    </w:rPr>
                  </w:pPr>
                  <w:r>
                    <w:rPr>
                      <w:rFonts w:hint="default" w:ascii="Times New Roman" w:hAnsi="Times New Roman" w:eastAsia="宋体" w:cs="Times New Roman"/>
                      <w:color w:val="000000"/>
                      <w:lang w:val="en-US" w:eastAsia="zh-CN"/>
                    </w:rPr>
                    <w:t>未发生变化</w:t>
                  </w:r>
                </w:p>
              </w:tc>
            </w:tr>
          </w:tbl>
          <w:p>
            <w:pPr>
              <w:pStyle w:val="21"/>
              <w:widowControl w:val="0"/>
              <w:jc w:val="both"/>
              <w:rPr>
                <w:rFonts w:hint="default" w:ascii="Times New Roman" w:hAnsi="Times New Roman" w:eastAsia="宋体" w:cs="Times New Roman"/>
                <w:lang w:eastAsia="zh-CN"/>
              </w:rPr>
            </w:pPr>
          </w:p>
          <w:p>
            <w:pPr>
              <w:pStyle w:val="29"/>
              <w:spacing w:line="360" w:lineRule="auto"/>
              <w:ind w:firstLine="480" w:firstLineChars="200"/>
              <w:jc w:val="both"/>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b w:val="0"/>
                <w:bCs w:val="0"/>
                <w:color w:val="auto"/>
                <w:sz w:val="24"/>
                <w:szCs w:val="24"/>
                <w:lang w:eastAsia="zh-CN"/>
              </w:rPr>
              <w:t>根据以上重大变更清单，</w:t>
            </w:r>
            <w:r>
              <w:rPr>
                <w:rFonts w:hint="default" w:ascii="Times New Roman" w:hAnsi="Times New Roman" w:eastAsia="宋体" w:cs="Times New Roman"/>
                <w:color w:val="000000" w:themeColor="text1"/>
                <w14:textFill>
                  <w14:solidFill>
                    <w14:schemeClr w14:val="tx1"/>
                  </w14:solidFill>
                </w14:textFill>
              </w:rPr>
              <w:t>本项目</w:t>
            </w:r>
            <w:r>
              <w:rPr>
                <w:rFonts w:hint="default" w:ascii="Times New Roman" w:hAnsi="Times New Roman" w:eastAsia="宋体" w:cs="Times New Roman"/>
                <w:color w:val="000000" w:themeColor="text1"/>
                <w:lang w:eastAsia="zh-CN"/>
                <w14:textFill>
                  <w14:solidFill>
                    <w14:schemeClr w14:val="tx1"/>
                  </w14:solidFill>
                </w14:textFill>
              </w:rPr>
              <w:t>的</w:t>
            </w:r>
            <w:r>
              <w:rPr>
                <w:rFonts w:hint="default" w:ascii="Times New Roman" w:hAnsi="Times New Roman" w:eastAsia="宋体" w:cs="Times New Roman"/>
                <w:color w:val="000000" w:themeColor="text1"/>
                <w14:textFill>
                  <w14:solidFill>
                    <w14:schemeClr w14:val="tx1"/>
                  </w14:solidFill>
                </w14:textFill>
              </w:rPr>
              <w:t>实际性质、生产规模、建设地点、</w:t>
            </w:r>
            <w:r>
              <w:rPr>
                <w:rFonts w:hint="default" w:ascii="Times New Roman" w:hAnsi="Times New Roman" w:eastAsia="宋体" w:cs="Times New Roman"/>
                <w:color w:val="000000" w:themeColor="text1"/>
                <w:lang w:eastAsia="zh-CN"/>
                <w14:textFill>
                  <w14:solidFill>
                    <w14:schemeClr w14:val="tx1"/>
                  </w14:solidFill>
                </w14:textFill>
              </w:rPr>
              <w:t>废水环保措施与环评设计保持一致，不存在重大变更的情况发生</w:t>
            </w:r>
            <w:r>
              <w:rPr>
                <w:rFonts w:hint="default" w:ascii="Times New Roman" w:hAnsi="Times New Roman" w:eastAsia="宋体" w:cs="Times New Roman"/>
                <w:color w:val="000000" w:themeColor="text1"/>
                <w14:textFill>
                  <w14:solidFill>
                    <w14:schemeClr w14:val="tx1"/>
                  </w14:solidFill>
                </w14:textFill>
              </w:rPr>
              <w:t>。</w:t>
            </w:r>
          </w:p>
          <w:p>
            <w:pPr>
              <w:pStyle w:val="29"/>
              <w:spacing w:line="360" w:lineRule="auto"/>
              <w:ind w:firstLine="482" w:firstLineChars="200"/>
              <w:jc w:val="both"/>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5、水平衡：</w:t>
            </w:r>
          </w:p>
          <w:p>
            <w:pPr>
              <w:widowControl/>
              <w:spacing w:line="360" w:lineRule="auto"/>
              <w:ind w:firstLine="480" w:firstLineChars="200"/>
              <w:jc w:val="both"/>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项目主要用水为生产冷却用水以及职工生活污水</w:t>
            </w:r>
            <w:r>
              <w:rPr>
                <w:rFonts w:hint="default" w:ascii="Times New Roman" w:hAnsi="Times New Roman" w:eastAsia="宋体" w:cs="Times New Roman"/>
                <w:color w:val="000000" w:themeColor="text1"/>
                <w:sz w:val="24"/>
                <w:szCs w:val="24"/>
                <w14:textFill>
                  <w14:solidFill>
                    <w14:schemeClr w14:val="tx1"/>
                  </w14:solidFill>
                </w14:textFill>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lang w:eastAsia="zh-CN"/>
                <w14:textFill>
                  <w14:solidFill>
                    <w14:schemeClr w14:val="tx1"/>
                  </w14:solidFill>
                </w14:textFill>
              </w:rPr>
              <w:t>）冷却废水</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themeColor="text1"/>
                <w:sz w:val="24"/>
                <w:szCs w:val="24"/>
                <w:lang w:eastAsia="zh-CN"/>
                <w14:textFill>
                  <w14:solidFill>
                    <w14:schemeClr w14:val="tx1"/>
                  </w14:solidFill>
                </w14:textFill>
              </w:rPr>
              <w:t>项目生产冷却用水经过设备自带的沉淀设施冷却后，循环使用不外排</w:t>
            </w:r>
            <w:r>
              <w:rPr>
                <w:rFonts w:hint="default" w:ascii="Times New Roman" w:hAnsi="Times New Roman" w:eastAsia="宋体" w:cs="Times New Roman"/>
                <w:color w:val="000000"/>
                <w:kern w:val="0"/>
                <w:sz w:val="24"/>
                <w:szCs w:val="24"/>
                <w:lang w:val="en-US" w:eastAsia="zh-CN" w:bidi="ar"/>
              </w:rPr>
              <w:t>。</w:t>
            </w:r>
          </w:p>
          <w:p>
            <w:pPr>
              <w:pStyle w:val="21"/>
              <w:keepNext w:val="0"/>
              <w:keepLines w:val="0"/>
              <w:pageBreakBefore w:val="0"/>
              <w:widowControl/>
              <w:numPr>
                <w:ilvl w:val="0"/>
                <w:numId w:val="0"/>
              </w:numPr>
              <w:tabs>
                <w:tab w:val="left" w:pos="375"/>
              </w:tabs>
              <w:kinsoku/>
              <w:wordWrap/>
              <w:overflowPunct/>
              <w:topLinePunct w:val="0"/>
              <w:autoSpaceDE/>
              <w:autoSpaceDN/>
              <w:bidi w:val="0"/>
              <w:adjustRightInd w:val="0"/>
              <w:snapToGrid w:val="0"/>
              <w:spacing w:line="360" w:lineRule="auto"/>
              <w:ind w:left="440" w:leftChars="0"/>
              <w:jc w:val="both"/>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（2）生活用水</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leftChars="0" w:firstLine="480" w:firstLineChars="200"/>
              <w:jc w:val="left"/>
              <w:textAlignment w:val="auto"/>
              <w:rPr>
                <w:rFonts w:hint="default" w:ascii="Times New Roman" w:hAnsi="Times New Roman" w:eastAsia="宋体" w:cs="Times New Roman"/>
              </w:rPr>
            </w:pPr>
            <w:r>
              <w:rPr>
                <w:rFonts w:hint="default" w:ascii="Times New Roman" w:hAnsi="Times New Roman" w:eastAsia="宋体" w:cs="Times New Roman"/>
                <w:color w:val="000000"/>
                <w:kern w:val="0"/>
                <w:sz w:val="24"/>
                <w:szCs w:val="24"/>
                <w:lang w:val="en-US" w:eastAsia="zh-CN" w:bidi="ar"/>
              </w:rPr>
              <w:t>项目职工人数为60人，均不住厂，根据《建筑给水排水设计规范》（GB50015-2010）</w:t>
            </w:r>
          </w:p>
          <w:p>
            <w:pPr>
              <w:pStyle w:val="21"/>
              <w:keepNext w:val="0"/>
              <w:keepLines w:val="0"/>
              <w:pageBreakBefore w:val="0"/>
              <w:widowControl/>
              <w:numPr>
                <w:ilvl w:val="0"/>
                <w:numId w:val="0"/>
              </w:numPr>
              <w:tabs>
                <w:tab w:val="left" w:pos="375"/>
              </w:tabs>
              <w:kinsoku/>
              <w:wordWrap/>
              <w:overflowPunct/>
              <w:topLinePunct w:val="0"/>
              <w:autoSpaceDE/>
              <w:autoSpaceDN/>
              <w:bidi w:val="0"/>
              <w:adjustRightInd w:val="0"/>
              <w:snapToGrid w:val="0"/>
              <w:spacing w:line="360" w:lineRule="auto"/>
              <w:ind w:leftChars="0" w:firstLine="448" w:firstLineChars="200"/>
              <w:jc w:val="both"/>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不住厂职工生活污水量取50L/d·人，则生活用水量为900t/a。生活污水产污系数取0.8，则生活污水产生量为720t/a。</w:t>
            </w:r>
          </w:p>
          <w:p>
            <w:pPr>
              <w:widowControl/>
              <w:spacing w:line="360" w:lineRule="auto"/>
              <w:ind w:firstLine="480" w:firstLineChars="200"/>
              <w:jc w:val="both"/>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工程水平衡图见图2-1。</w:t>
            </w:r>
          </w:p>
          <w:p>
            <w:pPr>
              <w:pStyle w:val="21"/>
              <w:widowControl w:val="0"/>
              <w:jc w:val="both"/>
              <w:rPr>
                <w:rFonts w:hint="default" w:ascii="Times New Roman" w:hAnsi="Times New Roman" w:eastAsia="宋体" w:cs="Times New Roman"/>
              </w:rPr>
            </w:pPr>
            <w:r>
              <w:rPr>
                <w:rFonts w:hint="default" w:ascii="Times New Roman" w:hAnsi="Times New Roman" w:eastAsia="宋体" w:cs="Times New Roman"/>
                <w:color w:val="000000"/>
                <w:kern w:val="0"/>
              </w:rPr>
              <mc:AlternateContent>
                <mc:Choice Requires="wpc">
                  <w:drawing>
                    <wp:inline distT="0" distB="0" distL="114300" distR="114300">
                      <wp:extent cx="5105400" cy="2085975"/>
                      <wp:effectExtent l="0" t="0" r="0" b="0"/>
                      <wp:docPr id="105" name="画布 10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9" name="文本框 9"/>
                              <wps:cNvSpPr txBox="1"/>
                              <wps:spPr>
                                <a:xfrm>
                                  <a:off x="1878330" y="85725"/>
                                  <a:ext cx="857250" cy="287655"/>
                                </a:xfrm>
                                <a:prstGeom prst="rect">
                                  <a:avLst/>
                                </a:prstGeom>
                                <a:noFill/>
                                <a:ln>
                                  <a:noFill/>
                                </a:ln>
                              </wps:spPr>
                              <wps:txbx>
                                <w:txbxContent>
                                  <w:p>
                                    <w:pPr>
                                      <w:jc w:val="center"/>
                                      <w:rPr>
                                        <w:szCs w:val="21"/>
                                      </w:rPr>
                                    </w:pPr>
                                    <w:r>
                                      <w:rPr>
                                        <w:rFonts w:hint="eastAsia" w:ascii="宋体" w:hAnsi="宋体" w:eastAsia="宋体" w:cs="宋体"/>
                                        <w:szCs w:val="21"/>
                                      </w:rPr>
                                      <w:t>损耗</w:t>
                                    </w:r>
                                    <w:r>
                                      <w:rPr>
                                        <w:rFonts w:hint="default" w:ascii="Times New Roman" w:hAnsi="Times New Roman" w:cs="Times New Roman"/>
                                        <w:szCs w:val="21"/>
                                      </w:rPr>
                                      <w:t>180</w:t>
                                    </w:r>
                                  </w:p>
                                </w:txbxContent>
                              </wps:txbx>
                              <wps:bodyPr upright="1"/>
                            </wps:wsp>
                            <wps:wsp>
                              <wps:cNvPr id="16" name="文本框 16"/>
                              <wps:cNvSpPr txBox="1"/>
                              <wps:spPr>
                                <a:xfrm>
                                  <a:off x="1341755" y="499745"/>
                                  <a:ext cx="899795" cy="323850"/>
                                </a:xfrm>
                                <a:prstGeom prst="rect">
                                  <a:avLst/>
                                </a:prstGeom>
                                <a:noFill/>
                                <a:ln w="9525" cap="flat" cmpd="sng">
                                  <a:solidFill>
                                    <a:srgbClr val="000000"/>
                                  </a:solidFill>
                                  <a:prstDash val="solid"/>
                                  <a:miter/>
                                  <a:headEnd type="none" w="med" len="med"/>
                                  <a:tailEnd type="none" w="med" len="med"/>
                                </a:ln>
                              </wps:spPr>
                              <wps:txbx>
                                <w:txbxContent>
                                  <w:p>
                                    <w:pPr>
                                      <w:adjustRightInd w:val="0"/>
                                      <w:snapToGrid w:val="0"/>
                                      <w:contextualSpacing/>
                                      <w:jc w:val="center"/>
                                      <w:rPr>
                                        <w:rFonts w:hint="eastAsia" w:ascii="宋体" w:hAnsi="宋体" w:eastAsia="宋体" w:cs="宋体"/>
                                        <w:szCs w:val="21"/>
                                      </w:rPr>
                                    </w:pPr>
                                    <w:r>
                                      <w:rPr>
                                        <w:rFonts w:hint="eastAsia" w:ascii="宋体" w:hAnsi="宋体" w:eastAsia="宋体" w:cs="宋体"/>
                                        <w:szCs w:val="21"/>
                                      </w:rPr>
                                      <w:t>生活用水</w:t>
                                    </w:r>
                                  </w:p>
                                </w:txbxContent>
                              </wps:txbx>
                              <wps:bodyPr upright="1"/>
                            </wps:wsp>
                            <wps:wsp>
                              <wps:cNvPr id="18" name="直接连接符 18"/>
                              <wps:cNvCnPr/>
                              <wps:spPr>
                                <a:xfrm flipV="1">
                                  <a:off x="1657350" y="255270"/>
                                  <a:ext cx="289560" cy="223520"/>
                                </a:xfrm>
                                <a:prstGeom prst="line">
                                  <a:avLst/>
                                </a:prstGeom>
                                <a:ln w="9525" cap="flat" cmpd="sng">
                                  <a:solidFill>
                                    <a:srgbClr val="000000"/>
                                  </a:solidFill>
                                  <a:prstDash val="dash"/>
                                  <a:headEnd type="none" w="med" len="med"/>
                                  <a:tailEnd type="triangle" w="med" len="med"/>
                                </a:ln>
                              </wps:spPr>
                              <wps:bodyPr upright="1"/>
                            </wps:wsp>
                            <wps:wsp>
                              <wps:cNvPr id="19" name="文本框 19"/>
                              <wps:cNvSpPr txBox="1"/>
                              <wps:spPr>
                                <a:xfrm>
                                  <a:off x="3468370" y="522605"/>
                                  <a:ext cx="1637030" cy="322580"/>
                                </a:xfrm>
                                <a:prstGeom prst="rect">
                                  <a:avLst/>
                                </a:prstGeom>
                                <a:noFill/>
                                <a:ln>
                                  <a:noFill/>
                                </a:ln>
                              </wps:spPr>
                              <wps:txbx>
                                <w:txbxContent>
                                  <w:p>
                                    <w:pPr>
                                      <w:jc w:val="center"/>
                                      <w:rPr>
                                        <w:color w:val="000000"/>
                                        <w:szCs w:val="21"/>
                                      </w:rPr>
                                    </w:pPr>
                                    <w:r>
                                      <w:rPr>
                                        <w:color w:val="000000"/>
                                        <w:szCs w:val="21"/>
                                      </w:rPr>
                                      <w:fldChar w:fldCharType="begin"/>
                                    </w:r>
                                    <w:r>
                                      <w:rPr>
                                        <w:color w:val="000000"/>
                                        <w:szCs w:val="21"/>
                                      </w:rPr>
                                      <w:instrText xml:space="preserve"> REF 污水处理厂 \h  \* MERGEFORMAT </w:instrText>
                                    </w:r>
                                    <w:r>
                                      <w:rPr>
                                        <w:color w:val="000000"/>
                                        <w:szCs w:val="21"/>
                                      </w:rPr>
                                      <w:fldChar w:fldCharType="separate"/>
                                    </w:r>
                                    <w:r>
                                      <w:rPr>
                                        <w:rFonts w:hint="eastAsia"/>
                                        <w:color w:val="000000"/>
                                        <w:szCs w:val="21"/>
                                      </w:rPr>
                                      <w:t>长泰区</w:t>
                                    </w:r>
                                    <w:r>
                                      <w:rPr>
                                        <w:color w:val="000000"/>
                                        <w:szCs w:val="21"/>
                                      </w:rPr>
                                      <w:t>东区污水处理厂</w:t>
                                    </w:r>
                                    <w:r>
                                      <w:rPr>
                                        <w:color w:val="000000"/>
                                        <w:szCs w:val="21"/>
                                      </w:rPr>
                                      <w:fldChar w:fldCharType="end"/>
                                    </w:r>
                                  </w:p>
                                </w:txbxContent>
                              </wps:txbx>
                              <wps:bodyPr upright="1"/>
                            </wps:wsp>
                            <wps:wsp>
                              <wps:cNvPr id="20" name="文本框 20"/>
                              <wps:cNvSpPr txBox="1"/>
                              <wps:spPr>
                                <a:xfrm>
                                  <a:off x="846455" y="441960"/>
                                  <a:ext cx="525145" cy="297180"/>
                                </a:xfrm>
                                <a:prstGeom prst="rect">
                                  <a:avLst/>
                                </a:prstGeom>
                                <a:noFill/>
                                <a:ln>
                                  <a:noFill/>
                                </a:ln>
                              </wps:spPr>
                              <wps:txbx>
                                <w:txbxContent>
                                  <w:p>
                                    <w:pPr>
                                      <w:rPr>
                                        <w:rFonts w:hint="default" w:ascii="Times New Roman" w:hAnsi="Times New Roman" w:cs="Times New Roman"/>
                                        <w:szCs w:val="21"/>
                                      </w:rPr>
                                    </w:pPr>
                                    <w:r>
                                      <w:rPr>
                                        <w:rFonts w:hint="default" w:ascii="Times New Roman" w:hAnsi="Times New Roman" w:cs="Times New Roman"/>
                                        <w:szCs w:val="21"/>
                                      </w:rPr>
                                      <w:t>900</w:t>
                                    </w:r>
                                  </w:p>
                                </w:txbxContent>
                              </wps:txbx>
                              <wps:bodyPr upright="1"/>
                            </wps:wsp>
                            <wps:wsp>
                              <wps:cNvPr id="21" name="文本框 21"/>
                              <wps:cNvSpPr txBox="1"/>
                              <wps:spPr>
                                <a:xfrm>
                                  <a:off x="2583180" y="415925"/>
                                  <a:ext cx="601980" cy="479425"/>
                                </a:xfrm>
                                <a:prstGeom prst="rect">
                                  <a:avLst/>
                                </a:prstGeom>
                                <a:noFill/>
                                <a:ln w="9525" cap="flat" cmpd="sng">
                                  <a:solidFill>
                                    <a:srgbClr val="000000"/>
                                  </a:solidFill>
                                  <a:prstDash val="solid"/>
                                  <a:miter/>
                                  <a:headEnd type="none" w="med" len="med"/>
                                  <a:tailEnd type="none" w="med" len="med"/>
                                </a:ln>
                              </wps:spPr>
                              <wps:txbx>
                                <w:txbxContent>
                                  <w:p>
                                    <w:pPr>
                                      <w:adjustRightInd w:val="0"/>
                                      <w:snapToGrid w:val="0"/>
                                      <w:contextualSpacing/>
                                      <w:jc w:val="center"/>
                                      <w:rPr>
                                        <w:rFonts w:hint="eastAsia" w:ascii="宋体" w:hAnsi="宋体" w:eastAsia="宋体" w:cs="宋体"/>
                                        <w:szCs w:val="21"/>
                                      </w:rPr>
                                    </w:pPr>
                                    <w:r>
                                      <w:rPr>
                                        <w:rFonts w:hint="eastAsia" w:ascii="宋体" w:hAnsi="宋体" w:eastAsia="宋体" w:cs="宋体"/>
                                        <w:color w:val="000000"/>
                                        <w:szCs w:val="21"/>
                                      </w:rPr>
                                      <w:t>三级</w:t>
                                    </w:r>
                                    <w:r>
                                      <w:rPr>
                                        <w:rFonts w:hint="eastAsia" w:ascii="宋体" w:hAnsi="宋体" w:eastAsia="宋体" w:cs="宋体"/>
                                        <w:szCs w:val="21"/>
                                      </w:rPr>
                                      <w:t>化粪池</w:t>
                                    </w:r>
                                  </w:p>
                                </w:txbxContent>
                              </wps:txbx>
                              <wps:bodyPr upright="1"/>
                            </wps:wsp>
                            <wps:wsp>
                              <wps:cNvPr id="26" name="文本框 26"/>
                              <wps:cNvSpPr txBox="1"/>
                              <wps:spPr>
                                <a:xfrm>
                                  <a:off x="3141345" y="415925"/>
                                  <a:ext cx="532765" cy="287655"/>
                                </a:xfrm>
                                <a:prstGeom prst="rect">
                                  <a:avLst/>
                                </a:prstGeom>
                                <a:noFill/>
                                <a:ln>
                                  <a:noFill/>
                                </a:ln>
                              </wps:spPr>
                              <wps:txbx>
                                <w:txbxContent>
                                  <w:p>
                                    <w:pPr>
                                      <w:rPr>
                                        <w:rFonts w:hint="default" w:ascii="Times New Roman" w:hAnsi="Times New Roman" w:cs="Times New Roman"/>
                                        <w:szCs w:val="21"/>
                                      </w:rPr>
                                    </w:pPr>
                                    <w:r>
                                      <w:rPr>
                                        <w:rFonts w:hint="default" w:ascii="Times New Roman" w:hAnsi="Times New Roman" w:cs="Times New Roman"/>
                                        <w:szCs w:val="21"/>
                                      </w:rPr>
                                      <w:t>720</w:t>
                                    </w:r>
                                  </w:p>
                                </w:txbxContent>
                              </wps:txbx>
                              <wps:bodyPr upright="1"/>
                            </wps:wsp>
                            <wps:wsp>
                              <wps:cNvPr id="27" name="直接箭头连接符 27"/>
                              <wps:cNvCnPr/>
                              <wps:spPr>
                                <a:xfrm flipV="1">
                                  <a:off x="779145" y="678815"/>
                                  <a:ext cx="539750" cy="1270"/>
                                </a:xfrm>
                                <a:prstGeom prst="straightConnector1">
                                  <a:avLst/>
                                </a:prstGeom>
                                <a:ln w="9525" cap="flat" cmpd="sng">
                                  <a:solidFill>
                                    <a:srgbClr val="000000"/>
                                  </a:solidFill>
                                  <a:prstDash val="solid"/>
                                  <a:headEnd type="none" w="med" len="med"/>
                                  <a:tailEnd type="triangle" w="med" len="med"/>
                                </a:ln>
                              </wps:spPr>
                              <wps:bodyPr/>
                            </wps:wsp>
                            <wps:wsp>
                              <wps:cNvPr id="28" name="直接箭头连接符 28"/>
                              <wps:cNvCnPr/>
                              <wps:spPr>
                                <a:xfrm>
                                  <a:off x="2241550" y="678815"/>
                                  <a:ext cx="341630" cy="0"/>
                                </a:xfrm>
                                <a:prstGeom prst="straightConnector1">
                                  <a:avLst/>
                                </a:prstGeom>
                                <a:ln w="9525" cap="flat" cmpd="sng">
                                  <a:solidFill>
                                    <a:srgbClr val="000000"/>
                                  </a:solidFill>
                                  <a:prstDash val="solid"/>
                                  <a:headEnd type="none" w="med" len="med"/>
                                  <a:tailEnd type="triangle" w="med" len="med"/>
                                </a:ln>
                              </wps:spPr>
                              <wps:bodyPr/>
                            </wps:wsp>
                            <wps:wsp>
                              <wps:cNvPr id="29" name="文本框 29"/>
                              <wps:cNvSpPr txBox="1"/>
                              <wps:spPr>
                                <a:xfrm>
                                  <a:off x="2175510" y="423545"/>
                                  <a:ext cx="532765" cy="287655"/>
                                </a:xfrm>
                                <a:prstGeom prst="rect">
                                  <a:avLst/>
                                </a:prstGeom>
                                <a:noFill/>
                                <a:ln>
                                  <a:noFill/>
                                </a:ln>
                              </wps:spPr>
                              <wps:txbx>
                                <w:txbxContent>
                                  <w:p>
                                    <w:pPr>
                                      <w:rPr>
                                        <w:rFonts w:hint="default" w:ascii="Times New Roman" w:hAnsi="Times New Roman" w:cs="Times New Roman"/>
                                        <w:szCs w:val="21"/>
                                      </w:rPr>
                                    </w:pPr>
                                    <w:r>
                                      <w:rPr>
                                        <w:rFonts w:hint="default" w:ascii="Times New Roman" w:hAnsi="Times New Roman" w:cs="Times New Roman"/>
                                        <w:szCs w:val="21"/>
                                      </w:rPr>
                                      <w:t>720</w:t>
                                    </w:r>
                                  </w:p>
                                </w:txbxContent>
                              </wps:txbx>
                              <wps:bodyPr upright="1"/>
                            </wps:wsp>
                            <wps:wsp>
                              <wps:cNvPr id="30" name="直接箭头连接符 30"/>
                              <wps:cNvCnPr/>
                              <wps:spPr>
                                <a:xfrm>
                                  <a:off x="3185160" y="678815"/>
                                  <a:ext cx="350520" cy="1270"/>
                                </a:xfrm>
                                <a:prstGeom prst="straightConnector1">
                                  <a:avLst/>
                                </a:prstGeom>
                                <a:ln w="9525" cap="flat" cmpd="sng">
                                  <a:solidFill>
                                    <a:srgbClr val="000000"/>
                                  </a:solidFill>
                                  <a:prstDash val="solid"/>
                                  <a:headEnd type="none" w="med" len="med"/>
                                  <a:tailEnd type="triangle" w="med" len="med"/>
                                </a:ln>
                              </wps:spPr>
                              <wps:bodyPr/>
                            </wps:wsp>
                            <wpg:wgp>
                              <wpg:cNvPr id="88" name="组合 88"/>
                              <wpg:cNvGrpSpPr/>
                              <wpg:grpSpPr>
                                <a:xfrm>
                                  <a:off x="107315" y="781685"/>
                                  <a:ext cx="739140" cy="558165"/>
                                  <a:chOff x="1969" y="3657"/>
                                  <a:chExt cx="1164" cy="879"/>
                                </a:xfrm>
                              </wpg:grpSpPr>
                              <wps:wsp>
                                <wps:cNvPr id="35" name="文本框 35"/>
                                <wps:cNvSpPr txBox="1"/>
                                <wps:spPr>
                                  <a:xfrm>
                                    <a:off x="1969" y="3657"/>
                                    <a:ext cx="1164" cy="879"/>
                                  </a:xfrm>
                                  <a:prstGeom prst="rect">
                                    <a:avLst/>
                                  </a:prstGeom>
                                  <a:noFill/>
                                  <a:ln>
                                    <a:noFill/>
                                  </a:ln>
                                </wps:spPr>
                                <wps:txbx>
                                  <w:txbxContent>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新鲜水</w:t>
                                      </w:r>
                                    </w:p>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913.5</w:t>
                                      </w:r>
                                    </w:p>
                                  </w:txbxContent>
                                </wps:txbx>
                                <wps:bodyPr upright="1"/>
                              </wps:wsp>
                              <wps:wsp>
                                <wps:cNvPr id="87" name="直接箭头连接符 87"/>
                                <wps:cNvCnPr/>
                                <wps:spPr>
                                  <a:xfrm flipV="1">
                                    <a:off x="2211" y="4368"/>
                                    <a:ext cx="794" cy="2"/>
                                  </a:xfrm>
                                  <a:prstGeom prst="straightConnector1">
                                    <a:avLst/>
                                  </a:prstGeom>
                                  <a:ln w="9525" cap="flat" cmpd="sng">
                                    <a:solidFill>
                                      <a:srgbClr val="000000"/>
                                    </a:solidFill>
                                    <a:prstDash val="solid"/>
                                    <a:headEnd type="none" w="med" len="med"/>
                                    <a:tailEnd type="triangle" w="med" len="med"/>
                                  </a:ln>
                                </wps:spPr>
                                <wps:bodyPr/>
                              </wps:wsp>
                            </wpg:wgp>
                            <wps:wsp>
                              <wps:cNvPr id="91" name="直接连接符 91"/>
                              <wps:cNvCnPr/>
                              <wps:spPr>
                                <a:xfrm flipH="1">
                                  <a:off x="776605" y="678815"/>
                                  <a:ext cx="1270" cy="1115695"/>
                                </a:xfrm>
                                <a:prstGeom prst="line">
                                  <a:avLst/>
                                </a:prstGeom>
                                <a:ln w="9525" cap="flat" cmpd="sng">
                                  <a:solidFill>
                                    <a:srgbClr val="000000"/>
                                  </a:solidFill>
                                  <a:prstDash val="solid"/>
                                  <a:headEnd type="none" w="med" len="med"/>
                                  <a:tailEnd type="none" w="med" len="med"/>
                                </a:ln>
                              </wps:spPr>
                              <wps:bodyPr upright="1"/>
                            </wps:wsp>
                            <wps:wsp>
                              <wps:cNvPr id="92" name="文本框 92"/>
                              <wps:cNvSpPr txBox="1"/>
                              <wps:spPr>
                                <a:xfrm>
                                  <a:off x="1326515" y="1637030"/>
                                  <a:ext cx="899795" cy="323850"/>
                                </a:xfrm>
                                <a:prstGeom prst="rect">
                                  <a:avLst/>
                                </a:prstGeom>
                                <a:noFill/>
                                <a:ln w="9525" cap="flat" cmpd="sng">
                                  <a:solidFill>
                                    <a:srgbClr val="000000"/>
                                  </a:solidFill>
                                  <a:prstDash val="solid"/>
                                  <a:miter/>
                                  <a:headEnd type="none" w="med" len="med"/>
                                  <a:tailEnd type="none" w="med" len="med"/>
                                </a:ln>
                              </wps:spPr>
                              <wps:txbx>
                                <w:txbxContent>
                                  <w:p>
                                    <w:pPr>
                                      <w:adjustRightInd w:val="0"/>
                                      <w:snapToGrid w:val="0"/>
                                      <w:contextualSpacing/>
                                      <w:jc w:val="center"/>
                                      <w:rPr>
                                        <w:rFonts w:hint="eastAsia" w:ascii="宋体" w:hAnsi="宋体" w:eastAsia="宋体" w:cs="宋体"/>
                                        <w:szCs w:val="21"/>
                                      </w:rPr>
                                    </w:pPr>
                                    <w:r>
                                      <w:rPr>
                                        <w:rFonts w:hint="eastAsia" w:ascii="宋体" w:hAnsi="宋体" w:eastAsia="宋体" w:cs="宋体"/>
                                        <w:szCs w:val="21"/>
                                      </w:rPr>
                                      <w:t>冷却用水</w:t>
                                    </w:r>
                                  </w:p>
                                </w:txbxContent>
                              </wps:txbx>
                              <wps:bodyPr upright="1"/>
                            </wps:wsp>
                            <wps:wsp>
                              <wps:cNvPr id="93" name="文本框 93"/>
                              <wps:cNvSpPr txBox="1"/>
                              <wps:spPr>
                                <a:xfrm>
                                  <a:off x="895985" y="1589405"/>
                                  <a:ext cx="525145" cy="297180"/>
                                </a:xfrm>
                                <a:prstGeom prst="rect">
                                  <a:avLst/>
                                </a:prstGeom>
                                <a:noFill/>
                                <a:ln>
                                  <a:noFill/>
                                </a:ln>
                              </wps:spPr>
                              <wps:txbx>
                                <w:txbxContent>
                                  <w:p>
                                    <w:pPr>
                                      <w:rPr>
                                        <w:rFonts w:hint="default" w:ascii="Times New Roman" w:hAnsi="Times New Roman" w:cs="Times New Roman"/>
                                        <w:szCs w:val="21"/>
                                      </w:rPr>
                                    </w:pPr>
                                    <w:r>
                                      <w:rPr>
                                        <w:rFonts w:hint="default" w:ascii="Times New Roman" w:hAnsi="Times New Roman" w:cs="Times New Roman"/>
                                        <w:szCs w:val="21"/>
                                      </w:rPr>
                                      <w:t>13.5</w:t>
                                    </w:r>
                                  </w:p>
                                </w:txbxContent>
                              </wps:txbx>
                              <wps:bodyPr upright="1"/>
                            </wps:wsp>
                            <wps:wsp>
                              <wps:cNvPr id="94" name="文本框 94"/>
                              <wps:cNvSpPr txBox="1"/>
                              <wps:spPr>
                                <a:xfrm>
                                  <a:off x="2910205" y="1143635"/>
                                  <a:ext cx="1268730" cy="287655"/>
                                </a:xfrm>
                                <a:prstGeom prst="rect">
                                  <a:avLst/>
                                </a:prstGeom>
                                <a:noFill/>
                                <a:ln>
                                  <a:noFill/>
                                </a:ln>
                              </wps:spPr>
                              <wps:txbx>
                                <w:txbxContent>
                                  <w:p>
                                    <w:pPr>
                                      <w:rPr>
                                        <w:szCs w:val="21"/>
                                      </w:rPr>
                                    </w:pPr>
                                    <w:r>
                                      <w:rPr>
                                        <w:rFonts w:hint="eastAsia" w:ascii="宋体" w:hAnsi="宋体" w:eastAsia="宋体" w:cs="宋体"/>
                                        <w:szCs w:val="21"/>
                                      </w:rPr>
                                      <w:t>循环</w:t>
                                    </w:r>
                                    <w:r>
                                      <w:rPr>
                                        <w:rFonts w:hint="default" w:ascii="Times New Roman" w:hAnsi="Times New Roman" w:eastAsia="宋体" w:cs="Times New Roman"/>
                                        <w:szCs w:val="21"/>
                                      </w:rPr>
                                      <w:t>水量</w:t>
                                    </w:r>
                                    <w:r>
                                      <w:rPr>
                                        <w:rFonts w:hint="default" w:ascii="Times New Roman" w:hAnsi="Times New Roman" w:cs="Times New Roman"/>
                                        <w:szCs w:val="21"/>
                                      </w:rPr>
                                      <w:t>121.5</w:t>
                                    </w:r>
                                  </w:p>
                                </w:txbxContent>
                              </wps:txbx>
                              <wps:bodyPr upright="1"/>
                            </wps:wsp>
                            <wps:wsp>
                              <wps:cNvPr id="95" name="直接连接符 95"/>
                              <wps:cNvCnPr/>
                              <wps:spPr>
                                <a:xfrm flipV="1">
                                  <a:off x="1452880" y="1404620"/>
                                  <a:ext cx="289560" cy="223520"/>
                                </a:xfrm>
                                <a:prstGeom prst="line">
                                  <a:avLst/>
                                </a:prstGeom>
                                <a:ln w="9525" cap="flat" cmpd="sng">
                                  <a:solidFill>
                                    <a:srgbClr val="000000"/>
                                  </a:solidFill>
                                  <a:prstDash val="dash"/>
                                  <a:headEnd type="none" w="med" len="med"/>
                                  <a:tailEnd type="triangle" w="med" len="med"/>
                                </a:ln>
                              </wps:spPr>
                              <wps:bodyPr upright="1"/>
                            </wps:wsp>
                            <wps:wsp>
                              <wps:cNvPr id="96" name="文本框 96"/>
                              <wps:cNvSpPr txBox="1"/>
                              <wps:spPr>
                                <a:xfrm>
                                  <a:off x="1564640" y="1174115"/>
                                  <a:ext cx="933450" cy="287655"/>
                                </a:xfrm>
                                <a:prstGeom prst="rect">
                                  <a:avLst/>
                                </a:prstGeom>
                                <a:noFill/>
                                <a:ln>
                                  <a:noFill/>
                                </a:ln>
                              </wps:spPr>
                              <wps:txbx>
                                <w:txbxContent>
                                  <w:p>
                                    <w:pPr>
                                      <w:jc w:val="center"/>
                                      <w:rPr>
                                        <w:szCs w:val="21"/>
                                      </w:rPr>
                                    </w:pPr>
                                    <w:r>
                                      <w:rPr>
                                        <w:rFonts w:hint="eastAsia" w:ascii="宋体" w:hAnsi="宋体" w:eastAsia="宋体" w:cs="宋体"/>
                                        <w:szCs w:val="21"/>
                                      </w:rPr>
                                      <w:t>损耗</w:t>
                                    </w:r>
                                    <w:r>
                                      <w:rPr>
                                        <w:rFonts w:hint="default" w:ascii="Times New Roman" w:hAnsi="Times New Roman" w:cs="Times New Roman"/>
                                        <w:szCs w:val="21"/>
                                      </w:rPr>
                                      <w:t>13.5</w:t>
                                    </w:r>
                                  </w:p>
                                </w:txbxContent>
                              </wps:txbx>
                              <wps:bodyPr upright="1"/>
                            </wps:wsp>
                            <wps:wsp>
                              <wps:cNvPr id="97" name="直接箭头连接符 97"/>
                              <wps:cNvCnPr/>
                              <wps:spPr>
                                <a:xfrm flipV="1">
                                  <a:off x="784225" y="1799590"/>
                                  <a:ext cx="539750" cy="1270"/>
                                </a:xfrm>
                                <a:prstGeom prst="straightConnector1">
                                  <a:avLst/>
                                </a:prstGeom>
                                <a:ln w="9525" cap="flat" cmpd="sng">
                                  <a:solidFill>
                                    <a:srgbClr val="000000"/>
                                  </a:solidFill>
                                  <a:prstDash val="solid"/>
                                  <a:headEnd type="none" w="med" len="med"/>
                                  <a:tailEnd type="triangle" w="med" len="med"/>
                                </a:ln>
                              </wps:spPr>
                              <wps:bodyPr/>
                            </wps:wsp>
                            <wps:wsp>
                              <wps:cNvPr id="98" name="文本框 98"/>
                              <wps:cNvSpPr txBox="1"/>
                              <wps:spPr>
                                <a:xfrm>
                                  <a:off x="3892550" y="1628140"/>
                                  <a:ext cx="633730" cy="323850"/>
                                </a:xfrm>
                                <a:prstGeom prst="rect">
                                  <a:avLst/>
                                </a:prstGeom>
                                <a:noFill/>
                                <a:ln w="9525" cap="flat" cmpd="sng">
                                  <a:solidFill>
                                    <a:srgbClr val="000000"/>
                                  </a:solidFill>
                                  <a:prstDash val="solid"/>
                                  <a:miter/>
                                  <a:headEnd type="none" w="med" len="med"/>
                                  <a:tailEnd type="none" w="med" len="med"/>
                                </a:ln>
                              </wps:spPr>
                              <wps:txbx>
                                <w:txbxContent>
                                  <w:p>
                                    <w:pPr>
                                      <w:adjustRightInd w:val="0"/>
                                      <w:snapToGrid w:val="0"/>
                                      <w:contextualSpacing/>
                                      <w:jc w:val="center"/>
                                      <w:rPr>
                                        <w:rFonts w:hint="eastAsia" w:ascii="宋体" w:hAnsi="宋体" w:eastAsia="宋体" w:cs="宋体"/>
                                        <w:szCs w:val="21"/>
                                      </w:rPr>
                                    </w:pPr>
                                    <w:r>
                                      <w:rPr>
                                        <w:rFonts w:hint="eastAsia" w:ascii="宋体" w:hAnsi="宋体" w:eastAsia="宋体" w:cs="宋体"/>
                                        <w:szCs w:val="21"/>
                                      </w:rPr>
                                      <w:t>沉淀池</w:t>
                                    </w:r>
                                  </w:p>
                                </w:txbxContent>
                              </wps:txbx>
                              <wps:bodyPr upright="1"/>
                            </wps:wsp>
                            <wps:wsp>
                              <wps:cNvPr id="99" name="肘形连接符 99"/>
                              <wps:cNvCnPr/>
                              <wps:spPr>
                                <a:xfrm rot="16200000" flipH="1" flipV="1">
                                  <a:off x="3165475" y="588010"/>
                                  <a:ext cx="8890" cy="2051685"/>
                                </a:xfrm>
                                <a:prstGeom prst="bentConnector3">
                                  <a:avLst>
                                    <a:gd name="adj1" fmla="val -2571431"/>
                                  </a:avLst>
                                </a:prstGeom>
                                <a:ln w="9525" cap="flat" cmpd="sng">
                                  <a:solidFill>
                                    <a:srgbClr val="000000"/>
                                  </a:solidFill>
                                  <a:prstDash val="solid"/>
                                  <a:miter/>
                                  <a:headEnd type="none" w="med" len="med"/>
                                  <a:tailEnd type="triangle" w="med" len="med"/>
                                </a:ln>
                              </wps:spPr>
                              <wps:bodyPr/>
                            </wps:wsp>
                            <wps:wsp>
                              <wps:cNvPr id="100" name="直接箭头连接符 100"/>
                              <wps:cNvCnPr/>
                              <wps:spPr>
                                <a:xfrm flipV="1">
                                  <a:off x="2226310" y="1798320"/>
                                  <a:ext cx="396240" cy="1270"/>
                                </a:xfrm>
                                <a:prstGeom prst="straightConnector1">
                                  <a:avLst/>
                                </a:prstGeom>
                                <a:ln w="9525" cap="flat" cmpd="sng">
                                  <a:solidFill>
                                    <a:srgbClr val="000000"/>
                                  </a:solidFill>
                                  <a:prstDash val="solid"/>
                                  <a:headEnd type="none" w="med" len="med"/>
                                  <a:tailEnd type="triangle" w="med" len="med"/>
                                </a:ln>
                              </wps:spPr>
                              <wps:bodyPr/>
                            </wps:wsp>
                            <wps:wsp>
                              <wps:cNvPr id="101" name="文本框 101"/>
                              <wps:cNvSpPr txBox="1"/>
                              <wps:spPr>
                                <a:xfrm>
                                  <a:off x="2637155" y="1628140"/>
                                  <a:ext cx="831215" cy="323850"/>
                                </a:xfrm>
                                <a:prstGeom prst="rect">
                                  <a:avLst/>
                                </a:prstGeom>
                                <a:noFill/>
                                <a:ln w="9525" cap="flat" cmpd="sng">
                                  <a:solidFill>
                                    <a:srgbClr val="000000"/>
                                  </a:solidFill>
                                  <a:prstDash val="solid"/>
                                  <a:miter/>
                                  <a:headEnd type="none" w="med" len="med"/>
                                  <a:tailEnd type="none" w="med" len="med"/>
                                </a:ln>
                              </wps:spPr>
                              <wps:txbx>
                                <w:txbxContent>
                                  <w:p>
                                    <w:pPr>
                                      <w:adjustRightInd w:val="0"/>
                                      <w:snapToGrid w:val="0"/>
                                      <w:contextualSpacing/>
                                      <w:jc w:val="center"/>
                                      <w:rPr>
                                        <w:rFonts w:hint="eastAsia" w:ascii="宋体" w:hAnsi="宋体" w:eastAsia="宋体" w:cs="宋体"/>
                                        <w:szCs w:val="21"/>
                                      </w:rPr>
                                    </w:pPr>
                                    <w:r>
                                      <w:rPr>
                                        <w:rFonts w:hint="eastAsia" w:ascii="宋体" w:hAnsi="宋体" w:eastAsia="宋体" w:cs="宋体"/>
                                        <w:szCs w:val="21"/>
                                      </w:rPr>
                                      <w:t>冷却废水</w:t>
                                    </w:r>
                                  </w:p>
                                </w:txbxContent>
                              </wps:txbx>
                              <wps:bodyPr upright="1"/>
                            </wps:wsp>
                            <wps:wsp>
                              <wps:cNvPr id="102" name="直接箭头连接符 102"/>
                              <wps:cNvCnPr/>
                              <wps:spPr>
                                <a:xfrm flipV="1">
                                  <a:off x="3482340" y="1771015"/>
                                  <a:ext cx="396240" cy="1270"/>
                                </a:xfrm>
                                <a:prstGeom prst="straightConnector1">
                                  <a:avLst/>
                                </a:prstGeom>
                                <a:ln w="9525" cap="flat" cmpd="sng">
                                  <a:solidFill>
                                    <a:srgbClr val="000000"/>
                                  </a:solidFill>
                                  <a:prstDash val="solid"/>
                                  <a:headEnd type="none" w="med" len="med"/>
                                  <a:tailEnd type="triangle" w="med" len="med"/>
                                </a:ln>
                              </wps:spPr>
                              <wps:bodyPr/>
                            </wps:wsp>
                            <wps:wsp>
                              <wps:cNvPr id="103" name="文本框 103"/>
                              <wps:cNvSpPr txBox="1"/>
                              <wps:spPr>
                                <a:xfrm>
                                  <a:off x="2143125" y="1550035"/>
                                  <a:ext cx="612140" cy="287655"/>
                                </a:xfrm>
                                <a:prstGeom prst="rect">
                                  <a:avLst/>
                                </a:prstGeom>
                                <a:noFill/>
                                <a:ln>
                                  <a:noFill/>
                                </a:ln>
                              </wps:spPr>
                              <wps:txbx>
                                <w:txbxContent>
                                  <w:p>
                                    <w:pPr>
                                      <w:rPr>
                                        <w:rFonts w:hint="default" w:ascii="Times New Roman" w:hAnsi="Times New Roman" w:cs="Times New Roman"/>
                                        <w:szCs w:val="21"/>
                                      </w:rPr>
                                    </w:pPr>
                                    <w:r>
                                      <w:rPr>
                                        <w:rFonts w:hint="default" w:ascii="Times New Roman" w:hAnsi="Times New Roman" w:cs="Times New Roman"/>
                                        <w:szCs w:val="21"/>
                                      </w:rPr>
                                      <w:t>121.5</w:t>
                                    </w:r>
                                  </w:p>
                                </w:txbxContent>
                              </wps:txbx>
                              <wps:bodyPr upright="1"/>
                            </wps:wsp>
                            <wps:wsp>
                              <wps:cNvPr id="104" name="文本框 104"/>
                              <wps:cNvSpPr txBox="1"/>
                              <wps:spPr>
                                <a:xfrm>
                                  <a:off x="3434715" y="1541145"/>
                                  <a:ext cx="523240" cy="287655"/>
                                </a:xfrm>
                                <a:prstGeom prst="rect">
                                  <a:avLst/>
                                </a:prstGeom>
                                <a:noFill/>
                                <a:ln>
                                  <a:noFill/>
                                </a:ln>
                              </wps:spPr>
                              <wps:txbx>
                                <w:txbxContent>
                                  <w:p>
                                    <w:pPr>
                                      <w:rPr>
                                        <w:szCs w:val="21"/>
                                      </w:rPr>
                                    </w:pPr>
                                    <w:r>
                                      <w:rPr>
                                        <w:rFonts w:hint="default" w:ascii="Times New Roman" w:hAnsi="Times New Roman" w:cs="Times New Roman"/>
                                        <w:szCs w:val="21"/>
                                      </w:rPr>
                                      <w:t>121.5</w:t>
                                    </w:r>
                                  </w:p>
                                </w:txbxContent>
                              </wps:txbx>
                              <wps:bodyPr upright="1"/>
                            </wps:wsp>
                          </wpc:wpc>
                        </a:graphicData>
                      </a:graphic>
                    </wp:inline>
                  </w:drawing>
                </mc:Choice>
                <mc:Fallback>
                  <w:pict>
                    <v:group id="_x0000_s1026" o:spid="_x0000_s1026" o:spt="203" style="height:164.25pt;width:402pt;" coordsize="5105400,2085975" editas="canvas" o:gfxdata="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">
                      <o:lock v:ext="edit" aspectratio="f"/>
                      <v:shape id="_x0000_s1026" o:spid="_x0000_s1026" style="position:absolute;left:0;top:0;height:2085975;width:5105400;" filled="f" stroked="f" coordsize="21600,21600" o:gfxdata="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">
                        <v:fill on="f" focussize="0,0"/>
                        <v:stroke on="f"/>
                        <v:imagedata o:title=""/>
                        <o:lock v:ext="edit" aspectratio="t"/>
                      </v:shape>
                      <v:shape id="_x0000_s1026" o:spid="_x0000_s1026" o:spt="202" type="#_x0000_t202" style="position:absolute;left:1878330;top:85725;height:287655;width:857250;" filled="f" stroked="f" coordsize="21600,21600" o:gfxdata="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d1haF&#10;0wAAAAUBAAAPAAAAAAAAAAEAIAAAACIAAABkcnMvZG93bnJldi54bWxQSwECFAAUAAAACACHTuJA&#10;D6dW2rQBAABXAwAADgAAAAAAAAABACAAAAAiAQAAZHJzL2Uyb0RvYy54bWxQSwUGAAAAAAYABgBZ&#10;AQAASAUAAAAA&#10;">
                        <v:fill on="f" focussize="0,0"/>
                        <v:stroke on="f"/>
                        <v:imagedata o:title=""/>
                        <o:lock v:ext="edit" aspectratio="f"/>
                        <v:textbox>
                          <w:txbxContent>
                            <w:p>
                              <w:pPr>
                                <w:jc w:val="center"/>
                                <w:rPr>
                                  <w:szCs w:val="21"/>
                                </w:rPr>
                              </w:pPr>
                              <w:r>
                                <w:rPr>
                                  <w:rFonts w:hint="eastAsia" w:ascii="宋体" w:hAnsi="宋体" w:eastAsia="宋体" w:cs="宋体"/>
                                  <w:szCs w:val="21"/>
                                </w:rPr>
                                <w:t>损耗</w:t>
                              </w:r>
                              <w:r>
                                <w:rPr>
                                  <w:rFonts w:hint="default" w:ascii="Times New Roman" w:hAnsi="Times New Roman" w:cs="Times New Roman"/>
                                  <w:szCs w:val="21"/>
                                </w:rPr>
                                <w:t>180</w:t>
                              </w:r>
                            </w:p>
                          </w:txbxContent>
                        </v:textbox>
                      </v:shape>
                      <v:shape id="_x0000_s1026" o:spid="_x0000_s1026" o:spt="202" type="#_x0000_t202" style="position:absolute;left:1341755;top:499745;height:323850;width:899795;" filled="f" stroked="t" coordsize="21600,21600" o:gfxdata="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2LSC9tMAAAAFAQAADwAAAAAAAAABACAAAAAi&#10;AAAAZHJzL2Rvd25yZXYueG1sUEsBAhQAFAAAAAgAh07iQLW5ZmUPAgAAGQQAAA4AAAAAAAAAAQAg&#10;AAAAIgEAAGRycy9lMm9Eb2MueG1sUEsFBgAAAAAGAAYAWQEAAKMFAAAAAA==&#10;">
                        <v:fill on="f" focussize="0,0"/>
                        <v:stroke color="#000000" joinstyle="miter"/>
                        <v:imagedata o:title=""/>
                        <o:lock v:ext="edit" aspectratio="f"/>
                        <v:textbox>
                          <w:txbxContent>
                            <w:p>
                              <w:pPr>
                                <w:adjustRightInd w:val="0"/>
                                <w:snapToGrid w:val="0"/>
                                <w:contextualSpacing/>
                                <w:jc w:val="center"/>
                                <w:rPr>
                                  <w:rFonts w:hint="eastAsia" w:ascii="宋体" w:hAnsi="宋体" w:eastAsia="宋体" w:cs="宋体"/>
                                  <w:szCs w:val="21"/>
                                </w:rPr>
                              </w:pPr>
                              <w:r>
                                <w:rPr>
                                  <w:rFonts w:hint="eastAsia" w:ascii="宋体" w:hAnsi="宋体" w:eastAsia="宋体" w:cs="宋体"/>
                                  <w:szCs w:val="21"/>
                                </w:rPr>
                                <w:t>生活用水</w:t>
                              </w:r>
                            </w:p>
                          </w:txbxContent>
                        </v:textbox>
                      </v:shape>
                      <v:line id="_x0000_s1026" o:spid="_x0000_s1026" o:spt="20" style="position:absolute;left:1657350;top:255270;flip:y;height:223520;width:289560;" filled="f" stroked="t" coordsize="21600,21600" o:gfxdata="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ZcPGjtQAAAAFAQAADwAAAAAAAAAB&#10;ACAAAAAiAAAAZHJzL2Rvd25yZXYueG1sUEsBAhQAFAAAAAgAh07iQMVJkiAUAgAAAgQAAA4AAAAA&#10;AAAAAQAgAAAAIwEAAGRycy9lMm9Eb2MueG1sUEsFBgAAAAAGAAYAWQEAAKkFAAAAAA==&#10;">
                        <v:fill on="f" focussize="0,0"/>
                        <v:stroke color="#000000" joinstyle="round" dashstyle="dash" endarrow="block"/>
                        <v:imagedata o:title=""/>
                        <o:lock v:ext="edit" aspectratio="f"/>
                      </v:line>
                      <v:shape id="_x0000_s1026" o:spid="_x0000_s1026" o:spt="202" type="#_x0000_t202" style="position:absolute;left:3468370;top:522605;height:322580;width:1637030;" filled="f" stroked="f" coordsize="21600,21600" o:gfxdata="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HdYWhdMAAAAFAQAADwAAAAAAAAABACAAAAAiAAAAZHJzL2Rvd25yZXYueG1sUEsBAhQAFAAAAAgA&#10;h07iQBP7Ye24AQAAWwMAAA4AAAAAAAAAAQAgAAAAIgEAAGRycy9lMm9Eb2MueG1sUEsFBgAAAAAG&#10;AAYAWQEAAEwFAAAAAA==&#10;">
                        <v:fill on="f" focussize="0,0"/>
                        <v:stroke on="f"/>
                        <v:imagedata o:title=""/>
                        <o:lock v:ext="edit" aspectratio="f"/>
                        <v:textbox>
                          <w:txbxContent>
                            <w:p>
                              <w:pPr>
                                <w:jc w:val="center"/>
                                <w:rPr>
                                  <w:color w:val="000000"/>
                                  <w:szCs w:val="21"/>
                                </w:rPr>
                              </w:pPr>
                              <w:r>
                                <w:rPr>
                                  <w:color w:val="000000"/>
                                  <w:szCs w:val="21"/>
                                </w:rPr>
                                <w:fldChar w:fldCharType="begin"/>
                              </w:r>
                              <w:r>
                                <w:rPr>
                                  <w:color w:val="000000"/>
                                  <w:szCs w:val="21"/>
                                </w:rPr>
                                <w:instrText xml:space="preserve"> REF 污水处理厂 \h  \* MERGEFORMAT </w:instrText>
                              </w:r>
                              <w:r>
                                <w:rPr>
                                  <w:color w:val="000000"/>
                                  <w:szCs w:val="21"/>
                                </w:rPr>
                                <w:fldChar w:fldCharType="separate"/>
                              </w:r>
                              <w:r>
                                <w:rPr>
                                  <w:rFonts w:hint="eastAsia"/>
                                  <w:color w:val="000000"/>
                                  <w:szCs w:val="21"/>
                                </w:rPr>
                                <w:t>长泰区</w:t>
                              </w:r>
                              <w:r>
                                <w:rPr>
                                  <w:color w:val="000000"/>
                                  <w:szCs w:val="21"/>
                                </w:rPr>
                                <w:t>东区污水处理厂</w:t>
                              </w:r>
                              <w:r>
                                <w:rPr>
                                  <w:color w:val="000000"/>
                                  <w:szCs w:val="21"/>
                                </w:rPr>
                                <w:fldChar w:fldCharType="end"/>
                              </w:r>
                            </w:p>
                          </w:txbxContent>
                        </v:textbox>
                      </v:shape>
                      <v:shape id="_x0000_s1026" o:spid="_x0000_s1026" o:spt="202" type="#_x0000_t202" style="position:absolute;left:846455;top:441960;height:297180;width:525145;" filled="f" stroked="f" coordsize="21600,21600" o:gfxdata="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HdYWhdMAAAAFAQAADwAAAAAAAAABACAAAAAiAAAAZHJzL2Rvd25yZXYueG1sUEsBAhQAFAAAAAgA&#10;h07iQEDjy6a4AQAAWQMAAA4AAAAAAAAAAQAgAAAAIgEAAGRycy9lMm9Eb2MueG1sUEsFBgAAAAAG&#10;AAYAWQEAAEwFAAAAAA==&#10;">
                        <v:fill on="f" focussize="0,0"/>
                        <v:stroke on="f"/>
                        <v:imagedata o:title=""/>
                        <o:lock v:ext="edit" aspectratio="f"/>
                        <v:textbox>
                          <w:txbxContent>
                            <w:p>
                              <w:pPr>
                                <w:rPr>
                                  <w:rFonts w:hint="default" w:ascii="Times New Roman" w:hAnsi="Times New Roman" w:cs="Times New Roman"/>
                                  <w:szCs w:val="21"/>
                                </w:rPr>
                              </w:pPr>
                              <w:r>
                                <w:rPr>
                                  <w:rFonts w:hint="default" w:ascii="Times New Roman" w:hAnsi="Times New Roman" w:cs="Times New Roman"/>
                                  <w:szCs w:val="21"/>
                                </w:rPr>
                                <w:t>900</w:t>
                              </w:r>
                            </w:p>
                          </w:txbxContent>
                        </v:textbox>
                      </v:shape>
                      <v:shape id="_x0000_s1026" o:spid="_x0000_s1026" o:spt="202" type="#_x0000_t202" style="position:absolute;left:2583180;top:415925;height:479425;width:601980;" filled="f" stroked="t" coordsize="21600,21600" o:gfxdata="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Ni0gvbTAAAABQEAAA8AAAAAAAAAAQAgAAAA&#10;IgAAAGRycy9kb3ducmV2LnhtbFBLAQIUABQAAAAIAIdO4kCUPs72EAIAABkEAAAOAAAAAAAAAAEA&#10;IAAAACIBAABkcnMvZTJvRG9jLnhtbFBLBQYAAAAABgAGAFkBAACkBQAAAAA=&#10;">
                        <v:fill on="f" focussize="0,0"/>
                        <v:stroke color="#000000" joinstyle="miter"/>
                        <v:imagedata o:title=""/>
                        <o:lock v:ext="edit" aspectratio="f"/>
                        <v:textbox>
                          <w:txbxContent>
                            <w:p>
                              <w:pPr>
                                <w:adjustRightInd w:val="0"/>
                                <w:snapToGrid w:val="0"/>
                                <w:contextualSpacing/>
                                <w:jc w:val="center"/>
                                <w:rPr>
                                  <w:rFonts w:hint="eastAsia" w:ascii="宋体" w:hAnsi="宋体" w:eastAsia="宋体" w:cs="宋体"/>
                                  <w:szCs w:val="21"/>
                                </w:rPr>
                              </w:pPr>
                              <w:r>
                                <w:rPr>
                                  <w:rFonts w:hint="eastAsia" w:ascii="宋体" w:hAnsi="宋体" w:eastAsia="宋体" w:cs="宋体"/>
                                  <w:color w:val="000000"/>
                                  <w:szCs w:val="21"/>
                                </w:rPr>
                                <w:t>三级</w:t>
                              </w:r>
                              <w:r>
                                <w:rPr>
                                  <w:rFonts w:hint="eastAsia" w:ascii="宋体" w:hAnsi="宋体" w:eastAsia="宋体" w:cs="宋体"/>
                                  <w:szCs w:val="21"/>
                                </w:rPr>
                                <w:t>化粪池</w:t>
                              </w:r>
                            </w:p>
                          </w:txbxContent>
                        </v:textbox>
                      </v:shape>
                      <v:shape id="_x0000_s1026" o:spid="_x0000_s1026" o:spt="202" type="#_x0000_t202" style="position:absolute;left:3141345;top:415925;height:287655;width:532765;" filled="f" stroked="f" coordsize="21600,21600" o:gfxdata="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B3WFoXTAAAABQEAAA8AAAAAAAAAAQAgAAAAIgAAAGRycy9kb3ducmV2LnhtbFBLAQIUABQAAAAI&#10;AIdO4kCeHl+DuQEAAFoDAAAOAAAAAAAAAAEAIAAAACIBAABkcnMvZTJvRG9jLnhtbFBLBQYAAAAA&#10;BgAGAFkBAABNBQAAAAA=&#10;">
                        <v:fill on="f" focussize="0,0"/>
                        <v:stroke on="f"/>
                        <v:imagedata o:title=""/>
                        <o:lock v:ext="edit" aspectratio="f"/>
                        <v:textbox>
                          <w:txbxContent>
                            <w:p>
                              <w:pPr>
                                <w:rPr>
                                  <w:rFonts w:hint="default" w:ascii="Times New Roman" w:hAnsi="Times New Roman" w:cs="Times New Roman"/>
                                  <w:szCs w:val="21"/>
                                </w:rPr>
                              </w:pPr>
                              <w:r>
                                <w:rPr>
                                  <w:rFonts w:hint="default" w:ascii="Times New Roman" w:hAnsi="Times New Roman" w:cs="Times New Roman"/>
                                  <w:szCs w:val="21"/>
                                </w:rPr>
                                <w:t>720</w:t>
                              </w:r>
                            </w:p>
                          </w:txbxContent>
                        </v:textbox>
                      </v:shape>
                      <v:shape id="_x0000_s1026" o:spid="_x0000_s1026" o:spt="32" type="#_x0000_t32" style="position:absolute;left:779145;top:678815;flip:y;height:1270;width:539750;" filled="f" stroked="t" coordsize="21600,21600" o:gfxdata="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2iaBc1QAAAAUB&#10;AAAPAAAAAAAAAAEAIAAAACIAAABkcnMvZG93bnJldi54bWxQSwECFAAUAAAACACHTuJA0fKTZB4C&#10;AAAIBAAADgAAAAAAAAABACAAAAAkAQAAZHJzL2Uyb0RvYy54bWxQSwUGAAAAAAYABgBZAQAAtAUA&#10;AAAA&#10;">
                        <v:fill on="f" focussize="0,0"/>
                        <v:stroke color="#000000" joinstyle="round" endarrow="block"/>
                        <v:imagedata o:title=""/>
                        <o:lock v:ext="edit" aspectratio="f"/>
                      </v:shape>
                      <v:shape id="_x0000_s1026" o:spid="_x0000_s1026" o:spt="32" type="#_x0000_t32" style="position:absolute;left:2241550;top:678815;height:0;width:341630;" filled="f" stroked="t" coordsize="21600,21600" o:gfxdata="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YViCLWAAAABQEAAA8AAAAAAAAA&#10;AQAgAAAAIgAAAGRycy9kb3ducmV2LnhtbFBLAQIUABQAAAAIAIdO4kB2scJAEwIAAPwDAAAOAAAA&#10;AAAAAAEAIAAAACUBAABkcnMvZTJvRG9jLnhtbFBLBQYAAAAABgAGAFkBAACqBQAAAAA=&#10;">
                        <v:fill on="f" focussize="0,0"/>
                        <v:stroke color="#000000" joinstyle="round" endarrow="block"/>
                        <v:imagedata o:title=""/>
                        <o:lock v:ext="edit" aspectratio="f"/>
                      </v:shape>
                      <v:shape id="_x0000_s1026" o:spid="_x0000_s1026" o:spt="202" type="#_x0000_t202" style="position:absolute;left:2175510;top:423545;height:287655;width:532765;" filled="f" stroked="f" coordsize="21600,21600" o:gfxdata="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B3WFoXTAAAABQEAAA8AAAAAAAAAAQAgAAAAIgAAAGRycy9kb3ducmV2LnhtbFBLAQIUABQAAAAI&#10;AIdO4kCXUyq7uQEAAFoDAAAOAAAAAAAAAAEAIAAAACIBAABkcnMvZTJvRG9jLnhtbFBLBQYAAAAA&#10;BgAGAFkBAABNBQAAAAA=&#10;">
                        <v:fill on="f" focussize="0,0"/>
                        <v:stroke on="f"/>
                        <v:imagedata o:title=""/>
                        <o:lock v:ext="edit" aspectratio="f"/>
                        <v:textbox>
                          <w:txbxContent>
                            <w:p>
                              <w:pPr>
                                <w:rPr>
                                  <w:rFonts w:hint="default" w:ascii="Times New Roman" w:hAnsi="Times New Roman" w:cs="Times New Roman"/>
                                  <w:szCs w:val="21"/>
                                </w:rPr>
                              </w:pPr>
                              <w:r>
                                <w:rPr>
                                  <w:rFonts w:hint="default" w:ascii="Times New Roman" w:hAnsi="Times New Roman" w:cs="Times New Roman"/>
                                  <w:szCs w:val="21"/>
                                </w:rPr>
                                <w:t>720</w:t>
                              </w:r>
                            </w:p>
                          </w:txbxContent>
                        </v:textbox>
                      </v:shape>
                      <v:shape id="_x0000_s1026" o:spid="_x0000_s1026" o:spt="32" type="#_x0000_t32" style="position:absolute;left:3185160;top:678815;height:1270;width:350520;" filled="f" stroked="t" coordsize="21600,21600" o:gfxdata="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YViCLWAAAABQEAAA8AAAAAAAAA&#10;AQAgAAAAIgAAAGRycy9kb3ducmV2LnhtbFBLAQIUABQAAAAIAIdO4kAKq8C2EwIAAP8DAAAOAAAA&#10;AAAAAAEAIAAAACUBAABkcnMvZTJvRG9jLnhtbFBLBQYAAAAABgAGAFkBAACqBQAAAAA=&#10;">
                        <v:fill on="f" focussize="0,0"/>
                        <v:stroke color="#000000" joinstyle="round" endarrow="block"/>
                        <v:imagedata o:title=""/>
                        <o:lock v:ext="edit" aspectratio="f"/>
                      </v:shape>
                      <v:group id="_x0000_s1026" o:spid="_x0000_s1026" o:spt="203" style="position:absolute;left:107315;top:781685;height:558165;width:739140;" coordorigin="1969,3657" coordsize="1164,879" o:gfxdata="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">
                        <o:lock v:ext="edit" aspectratio="f"/>
                        <v:shape id="_x0000_s1026" o:spid="_x0000_s1026" o:spt="202" type="#_x0000_t202" style="position:absolute;left:1969;top:3657;height:879;width:1164;" filled="f" stroked="f" coordsize="21600,21600" o:gfxdata="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cXkO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新鲜水</w:t>
                                </w:r>
                              </w:p>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913.5</w:t>
                                </w:r>
                              </w:p>
                            </w:txbxContent>
                          </v:textbox>
                        </v:shape>
                        <v:shape id="_x0000_s1026" o:spid="_x0000_s1026" o:spt="32" type="#_x0000_t32" style="position:absolute;left:2211;top:4368;flip:y;height:2;width:794;" filled="f" stroked="t" coordsize="21600,21600" o:gfxdata="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wesae/&#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group>
                      <v:line id="_x0000_s1026" o:spid="_x0000_s1026" o:spt="20" style="position:absolute;left:776605;top:678815;flip:x;height:1115695;width:1270;" filled="f" stroked="t" coordsize="21600,21600" o:gfxdata="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DO16W1AAAAAUBAAAPAAAAAAAAAAEAIAAAACIA&#10;AABkcnMvZG93bnJldi54bWxQSwECFAAUAAAACACHTuJA+T4Vcg0CAAD9AwAADgAAAAAAAAABACAA&#10;AAAjAQAAZHJzL2Uyb0RvYy54bWxQSwUGAAAAAAYABgBZAQAAogUAAAAA&#10;">
                        <v:fill on="f" focussize="0,0"/>
                        <v:stroke color="#000000" joinstyle="round"/>
                        <v:imagedata o:title=""/>
                        <o:lock v:ext="edit" aspectratio="f"/>
                      </v:line>
                      <v:shape id="_x0000_s1026" o:spid="_x0000_s1026" o:spt="202" type="#_x0000_t202" style="position:absolute;left:1326515;top:1637030;height:323850;width:899795;" filled="f" stroked="t" coordsize="21600,21600" o:gfxdata="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Ni0gvbTAAAABQEAAA8AAAAAAAAAAQAgAAAA&#10;IgAAAGRycy9kb3ducmV2LnhtbFBLAQIUABQAAAAIAIdO4kBQAYlWEAIAABoEAAAOAAAAAAAAAAEA&#10;IAAAACIBAABkcnMvZTJvRG9jLnhtbFBLBQYAAAAABgAGAFkBAACkBQAAAAA=&#10;">
                        <v:fill on="f" focussize="0,0"/>
                        <v:stroke color="#000000" joinstyle="miter"/>
                        <v:imagedata o:title=""/>
                        <o:lock v:ext="edit" aspectratio="f"/>
                        <v:textbox>
                          <w:txbxContent>
                            <w:p>
                              <w:pPr>
                                <w:adjustRightInd w:val="0"/>
                                <w:snapToGrid w:val="0"/>
                                <w:contextualSpacing/>
                                <w:jc w:val="center"/>
                                <w:rPr>
                                  <w:rFonts w:hint="eastAsia" w:ascii="宋体" w:hAnsi="宋体" w:eastAsia="宋体" w:cs="宋体"/>
                                  <w:szCs w:val="21"/>
                                </w:rPr>
                              </w:pPr>
                              <w:r>
                                <w:rPr>
                                  <w:rFonts w:hint="eastAsia" w:ascii="宋体" w:hAnsi="宋体" w:eastAsia="宋体" w:cs="宋体"/>
                                  <w:szCs w:val="21"/>
                                </w:rPr>
                                <w:t>冷却用水</w:t>
                              </w:r>
                            </w:p>
                          </w:txbxContent>
                        </v:textbox>
                      </v:shape>
                      <v:shape id="_x0000_s1026" o:spid="_x0000_s1026" o:spt="202" type="#_x0000_t202" style="position:absolute;left:895985;top:1589405;height:297180;width:525145;" filled="f" stroked="f" coordsize="21600,21600" o:gfxdata="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B3WFoXTAAAABQEAAA8AAAAAAAAAAQAgAAAAIgAAAGRycy9kb3ducmV2LnhtbFBLAQIUABQAAAAI&#10;AIdO4kCDjnAzuQEAAFoDAAAOAAAAAAAAAAEAIAAAACIBAABkcnMvZTJvRG9jLnhtbFBLBQYAAAAA&#10;BgAGAFkBAABNBQAAAAA=&#10;">
                        <v:fill on="f" focussize="0,0"/>
                        <v:stroke on="f"/>
                        <v:imagedata o:title=""/>
                        <o:lock v:ext="edit" aspectratio="f"/>
                        <v:textbox>
                          <w:txbxContent>
                            <w:p>
                              <w:pPr>
                                <w:rPr>
                                  <w:rFonts w:hint="default" w:ascii="Times New Roman" w:hAnsi="Times New Roman" w:cs="Times New Roman"/>
                                  <w:szCs w:val="21"/>
                                </w:rPr>
                              </w:pPr>
                              <w:r>
                                <w:rPr>
                                  <w:rFonts w:hint="default" w:ascii="Times New Roman" w:hAnsi="Times New Roman" w:cs="Times New Roman"/>
                                  <w:szCs w:val="21"/>
                                </w:rPr>
                                <w:t>13.5</w:t>
                              </w:r>
                            </w:p>
                          </w:txbxContent>
                        </v:textbox>
                      </v:shape>
                      <v:shape id="_x0000_s1026" o:spid="_x0000_s1026" o:spt="202" type="#_x0000_t202" style="position:absolute;left:2910205;top:1143635;height:287655;width:1268730;" filled="f" stroked="f" coordsize="21600,21600" o:gfxdata="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HdYWhdMAAAAFAQAADwAAAAAAAAABACAAAAAiAAAAZHJzL2Rvd25yZXYueG1sUEsBAhQAFAAA&#10;AAgAh07iQEu3tO67AQAAXAMAAA4AAAAAAAAAAQAgAAAAIgEAAGRycy9lMm9Eb2MueG1sUEsFBgAA&#10;AAAGAAYAWQEAAE8FAAAAAA==&#10;">
                        <v:fill on="f" focussize="0,0"/>
                        <v:stroke on="f"/>
                        <v:imagedata o:title=""/>
                        <o:lock v:ext="edit" aspectratio="f"/>
                        <v:textbox>
                          <w:txbxContent>
                            <w:p>
                              <w:pPr>
                                <w:rPr>
                                  <w:szCs w:val="21"/>
                                </w:rPr>
                              </w:pPr>
                              <w:r>
                                <w:rPr>
                                  <w:rFonts w:hint="eastAsia" w:ascii="宋体" w:hAnsi="宋体" w:eastAsia="宋体" w:cs="宋体"/>
                                  <w:szCs w:val="21"/>
                                </w:rPr>
                                <w:t>循环</w:t>
                              </w:r>
                              <w:r>
                                <w:rPr>
                                  <w:rFonts w:hint="default" w:ascii="Times New Roman" w:hAnsi="Times New Roman" w:eastAsia="宋体" w:cs="Times New Roman"/>
                                  <w:szCs w:val="21"/>
                                </w:rPr>
                                <w:t>水量</w:t>
                              </w:r>
                              <w:r>
                                <w:rPr>
                                  <w:rFonts w:hint="default" w:ascii="Times New Roman" w:hAnsi="Times New Roman" w:cs="Times New Roman"/>
                                  <w:szCs w:val="21"/>
                                </w:rPr>
                                <w:t>121.5</w:t>
                              </w:r>
                            </w:p>
                          </w:txbxContent>
                        </v:textbox>
                      </v:shape>
                      <v:line id="_x0000_s1026" o:spid="_x0000_s1026" o:spt="20" style="position:absolute;left:1452880;top:1404620;flip:y;height:223520;width:289560;" filled="f" stroked="t" coordsize="21600,21600" o:gfxdata="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lw8aO1AAAAAUBAAAPAAAAAAAAAAEA&#10;IAAAACIAAABkcnMvZG93bnJldi54bWxQSwECFAAUAAAACACHTuJApOVZExMCAAADBAAADgAAAAAA&#10;AAABACAAAAAjAQAAZHJzL2Uyb0RvYy54bWxQSwUGAAAAAAYABgBZAQAAqAUAAAAA&#10;">
                        <v:fill on="f" focussize="0,0"/>
                        <v:stroke color="#000000" joinstyle="round" dashstyle="dash" endarrow="block"/>
                        <v:imagedata o:title=""/>
                        <o:lock v:ext="edit" aspectratio="f"/>
                      </v:line>
                      <v:shape id="_x0000_s1026" o:spid="_x0000_s1026" o:spt="202" type="#_x0000_t202" style="position:absolute;left:1564640;top:1174115;height:287655;width:933450;" filled="f" stroked="f" coordsize="21600,21600" o:gfxdata="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B3WFoXTAAAABQEAAA8AAAAAAAAAAQAgAAAAIgAAAGRycy9kb3ducmV2LnhtbFBLAQIUABQAAAAI&#10;AIdO4kCv45MLuQEAAFsDAAAOAAAAAAAAAAEAIAAAACIBAABkcnMvZTJvRG9jLnhtbFBLBQYAAAAA&#10;BgAGAFkBAABNBQAAAAA=&#10;">
                        <v:fill on="f" focussize="0,0"/>
                        <v:stroke on="f"/>
                        <v:imagedata o:title=""/>
                        <o:lock v:ext="edit" aspectratio="f"/>
                        <v:textbox>
                          <w:txbxContent>
                            <w:p>
                              <w:pPr>
                                <w:jc w:val="center"/>
                                <w:rPr>
                                  <w:szCs w:val="21"/>
                                </w:rPr>
                              </w:pPr>
                              <w:r>
                                <w:rPr>
                                  <w:rFonts w:hint="eastAsia" w:ascii="宋体" w:hAnsi="宋体" w:eastAsia="宋体" w:cs="宋体"/>
                                  <w:szCs w:val="21"/>
                                </w:rPr>
                                <w:t>损耗</w:t>
                              </w:r>
                              <w:r>
                                <w:rPr>
                                  <w:rFonts w:hint="default" w:ascii="Times New Roman" w:hAnsi="Times New Roman" w:cs="Times New Roman"/>
                                  <w:szCs w:val="21"/>
                                </w:rPr>
                                <w:t>13.5</w:t>
                              </w:r>
                            </w:p>
                          </w:txbxContent>
                        </v:textbox>
                      </v:shape>
                      <v:shape id="_x0000_s1026" o:spid="_x0000_s1026" o:spt="32" type="#_x0000_t32" style="position:absolute;left:784225;top:1799590;flip:y;height:1270;width:539750;" filled="f" stroked="t" coordsize="21600,21600" o:gfxdata="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LaJoFzVAAAABQEAAA8A&#10;AAAAAAAAAQAgAAAAIgAAAGRycy9kb3ducmV2LnhtbFBLAQIUABQAAAAIAIdO4kC53+bNGgIAAAkE&#10;AAAOAAAAAAAAAAEAIAAAACQBAABkcnMvZTJvRG9jLnhtbFBLBQYAAAAABgAGAFkBAACwBQAAAAA=&#10;">
                        <v:fill on="f" focussize="0,0"/>
                        <v:stroke color="#000000" joinstyle="round" endarrow="block"/>
                        <v:imagedata o:title=""/>
                        <o:lock v:ext="edit" aspectratio="f"/>
                      </v:shape>
                      <v:shape id="_x0000_s1026" o:spid="_x0000_s1026" o:spt="202" type="#_x0000_t202" style="position:absolute;left:3892550;top:1628140;height:323850;width:633730;" filled="f" stroked="t" coordsize="21600,21600" o:gfxdata="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Ni0gvbTAAAABQEAAA8AAAAAAAAAAQAgAAAA&#10;IgAAAGRycy9kb3ducmV2LnhtbFBLAQIUABQAAAAIAIdO4kAd2bhtEAIAABoEAAAOAAAAAAAAAAEA&#10;IAAAACIBAABkcnMvZTJvRG9jLnhtbFBLBQYAAAAABgAGAFkBAACkBQAAAAA=&#10;">
                        <v:fill on="f" focussize="0,0"/>
                        <v:stroke color="#000000" joinstyle="miter"/>
                        <v:imagedata o:title=""/>
                        <o:lock v:ext="edit" aspectratio="f"/>
                        <v:textbox>
                          <w:txbxContent>
                            <w:p>
                              <w:pPr>
                                <w:adjustRightInd w:val="0"/>
                                <w:snapToGrid w:val="0"/>
                                <w:contextualSpacing/>
                                <w:jc w:val="center"/>
                                <w:rPr>
                                  <w:rFonts w:hint="eastAsia" w:ascii="宋体" w:hAnsi="宋体" w:eastAsia="宋体" w:cs="宋体"/>
                                  <w:szCs w:val="21"/>
                                </w:rPr>
                              </w:pPr>
                              <w:r>
                                <w:rPr>
                                  <w:rFonts w:hint="eastAsia" w:ascii="宋体" w:hAnsi="宋体" w:eastAsia="宋体" w:cs="宋体"/>
                                  <w:szCs w:val="21"/>
                                </w:rPr>
                                <w:t>沉淀池</w:t>
                              </w:r>
                            </w:p>
                          </w:txbxContent>
                        </v:textbox>
                      </v:shape>
                      <v:shape id="_x0000_s1026" o:spid="_x0000_s1026" o:spt="34" type="#_x0000_t34" style="position:absolute;left:3165475;top:588010;flip:x y;height:2051685;width:8890;rotation:-5898240f;" filled="f" stroked="t" coordsize="21600,21600" o:gfxdata="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1meqE1QAAAAUBAAAPAAAAAAAAAAEAIAAAACIA&#10;AABkcnMvZG93bnJldi54bWxQSwECFAAUAAAACACHTuJApqhn+kUCAABTBAAADgAAAAAAAAABACAA&#10;AAAkAQAAZHJzL2Uyb0RvYy54bWxQSwUGAAAAAAYABgBZAQAA2wUAAAAA&#10;" adj="-555429">
                        <v:fill on="f" focussize="0,0"/>
                        <v:stroke color="#000000" joinstyle="miter" endarrow="block"/>
                        <v:imagedata o:title=""/>
                        <o:lock v:ext="edit" aspectratio="f"/>
                      </v:shape>
                      <v:shape id="_x0000_s1026" o:spid="_x0000_s1026" o:spt="32" type="#_x0000_t32" style="position:absolute;left:2226310;top:1798320;flip:y;height:1270;width:396240;" filled="f" stroked="t" coordsize="21600,21600" o:gfxdata="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tomgXNUAAAAFAQAA&#10;DwAAAAAAAAABACAAAAAiAAAAZHJzL2Rvd25yZXYueG1sUEsBAhQAFAAAAAgAh07iQE/tbUIcAgAA&#10;DAQAAA4AAAAAAAAAAQAgAAAAJAEAAGRycy9lMm9Eb2MueG1sUEsFBgAAAAAGAAYAWQEAALIFAAAA&#10;AA==&#10;">
                        <v:fill on="f" focussize="0,0"/>
                        <v:stroke color="#000000" joinstyle="round" endarrow="block"/>
                        <v:imagedata o:title=""/>
                        <o:lock v:ext="edit" aspectratio="f"/>
                      </v:shape>
                      <v:shape id="_x0000_s1026" o:spid="_x0000_s1026" o:spt="202" type="#_x0000_t202" style="position:absolute;left:2637155;top:1628140;height:323850;width:831215;" filled="f" stroked="t" coordsize="21600,21600" o:gfxdata="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Ni0gvbTAAAABQEAAA8AAAAAAAAAAQAgAAAA&#10;IgAAAGRycy9kb3ducmV2LnhtbFBLAQIUABQAAAAIAIdO4kBBvUVJEAIAABwEAAAOAAAAAAAAAAEA&#10;IAAAACIBAABkcnMvZTJvRG9jLnhtbFBLBQYAAAAABgAGAFkBAACkBQAAAAA=&#10;">
                        <v:fill on="f" focussize="0,0"/>
                        <v:stroke color="#000000" joinstyle="miter"/>
                        <v:imagedata o:title=""/>
                        <o:lock v:ext="edit" aspectratio="f"/>
                        <v:textbox>
                          <w:txbxContent>
                            <w:p>
                              <w:pPr>
                                <w:adjustRightInd w:val="0"/>
                                <w:snapToGrid w:val="0"/>
                                <w:contextualSpacing/>
                                <w:jc w:val="center"/>
                                <w:rPr>
                                  <w:rFonts w:hint="eastAsia" w:ascii="宋体" w:hAnsi="宋体" w:eastAsia="宋体" w:cs="宋体"/>
                                  <w:szCs w:val="21"/>
                                </w:rPr>
                              </w:pPr>
                              <w:r>
                                <w:rPr>
                                  <w:rFonts w:hint="eastAsia" w:ascii="宋体" w:hAnsi="宋体" w:eastAsia="宋体" w:cs="宋体"/>
                                  <w:szCs w:val="21"/>
                                </w:rPr>
                                <w:t>冷却废水</w:t>
                              </w:r>
                            </w:p>
                          </w:txbxContent>
                        </v:textbox>
                      </v:shape>
                      <v:shape id="_x0000_s1026" o:spid="_x0000_s1026" o:spt="32" type="#_x0000_t32" style="position:absolute;left:3482340;top:1771015;flip:y;height:1270;width:396240;" filled="f" stroked="t" coordsize="21600,21600" o:gfxdata="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tomgXNUAAAAFAQAA&#10;DwAAAAAAAAABACAAAAAiAAAAZHJzL2Rvd25yZXYueG1sUEsBAhQAFAAAAAgAh07iQN8grQ4cAgAA&#10;DAQAAA4AAAAAAAAAAQAgAAAAJAEAAGRycy9lMm9Eb2MueG1sUEsFBgAAAAAGAAYAWQEAALIFAAAA&#10;AA==&#10;">
                        <v:fill on="f" focussize="0,0"/>
                        <v:stroke color="#000000" joinstyle="round" endarrow="block"/>
                        <v:imagedata o:title=""/>
                        <o:lock v:ext="edit" aspectratio="f"/>
                      </v:shape>
                      <v:shape id="_x0000_s1026" o:spid="_x0000_s1026" o:spt="202" type="#_x0000_t202" style="position:absolute;left:2143125;top:1550035;height:287655;width:612140;" filled="f" stroked="f" coordsize="21600,21600" o:gfxdata="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HdYWhdMAAAAFAQAADwAAAAAAAAABACAAAAAiAAAAZHJzL2Rvd25yZXYueG1sUEsBAhQAFAAAAAgA&#10;h07iQLyrZ3m4AQAAXQMAAA4AAAAAAAAAAQAgAAAAIgEAAGRycy9lMm9Eb2MueG1sUEsFBgAAAAAG&#10;AAYAWQEAAEwFAAAAAA==&#10;">
                        <v:fill on="f" focussize="0,0"/>
                        <v:stroke on="f"/>
                        <v:imagedata o:title=""/>
                        <o:lock v:ext="edit" aspectratio="f"/>
                        <v:textbox>
                          <w:txbxContent>
                            <w:p>
                              <w:pPr>
                                <w:rPr>
                                  <w:rFonts w:hint="default" w:ascii="Times New Roman" w:hAnsi="Times New Roman" w:cs="Times New Roman"/>
                                  <w:szCs w:val="21"/>
                                </w:rPr>
                              </w:pPr>
                              <w:r>
                                <w:rPr>
                                  <w:rFonts w:hint="default" w:ascii="Times New Roman" w:hAnsi="Times New Roman" w:cs="Times New Roman"/>
                                  <w:szCs w:val="21"/>
                                </w:rPr>
                                <w:t>121.5</w:t>
                              </w:r>
                            </w:p>
                          </w:txbxContent>
                        </v:textbox>
                      </v:shape>
                      <v:shape id="_x0000_s1026" o:spid="_x0000_s1026" o:spt="202" type="#_x0000_t202" style="position:absolute;left:3434715;top:1541145;height:287655;width:523240;" filled="f" stroked="f" coordsize="21600,21600" o:gfxdata="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Ad1haF0wAAAAUBAAAPAAAAAAAAAAEAIAAAACIAAABkcnMvZG93bnJldi54bWxQSwECFAAUAAAA&#10;CACHTuJAG6V+4LoBAABdAwAADgAAAAAAAAABACAAAAAiAQAAZHJzL2Uyb0RvYy54bWxQSwUGAAAA&#10;AAYABgBZAQAATgUAAAAA&#10;">
                        <v:fill on="f" focussize="0,0"/>
                        <v:stroke on="f"/>
                        <v:imagedata o:title=""/>
                        <o:lock v:ext="edit" aspectratio="f"/>
                        <v:textbox>
                          <w:txbxContent>
                            <w:p>
                              <w:pPr>
                                <w:rPr>
                                  <w:szCs w:val="21"/>
                                </w:rPr>
                              </w:pPr>
                              <w:r>
                                <w:rPr>
                                  <w:rFonts w:hint="default" w:ascii="Times New Roman" w:hAnsi="Times New Roman" w:cs="Times New Roman"/>
                                  <w:szCs w:val="21"/>
                                </w:rPr>
                                <w:t>121.5</w:t>
                              </w:r>
                            </w:p>
                          </w:txbxContent>
                        </v:textbox>
                      </v:shape>
                      <w10:wrap type="none"/>
                      <w10:anchorlock/>
                    </v:group>
                  </w:pict>
                </mc:Fallback>
              </mc:AlternateContent>
            </w:r>
          </w:p>
          <w:p>
            <w:pPr>
              <w:pStyle w:val="21"/>
              <w:widowControl w:val="0"/>
              <w:jc w:val="cente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图1项目水平衡图（t/a）</w:t>
            </w:r>
          </w:p>
          <w:p>
            <w:pPr>
              <w:pStyle w:val="21"/>
              <w:widowControl w:val="0"/>
              <w:jc w:val="both"/>
              <w:rPr>
                <w:rFonts w:hint="default" w:ascii="Times New Roman" w:hAnsi="Times New Roman" w:eastAsia="宋体" w:cs="Times New Roman"/>
                <w:b/>
                <w:bCs/>
                <w:color w:val="000000" w:themeColor="text1"/>
                <w:sz w:val="24"/>
                <w:szCs w:val="24"/>
                <w14:textFill>
                  <w14:solidFill>
                    <w14:schemeClr w14:val="tx1"/>
                  </w14:solidFill>
                </w14:textFill>
              </w:rPr>
            </w:pPr>
          </w:p>
          <w:p>
            <w:pPr>
              <w:pStyle w:val="21"/>
              <w:keepNext w:val="0"/>
              <w:keepLines w:val="0"/>
              <w:pageBreakBefore w:val="0"/>
              <w:widowControl w:val="0"/>
              <w:numPr>
                <w:ilvl w:val="0"/>
                <w:numId w:val="3"/>
              </w:numPr>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主要工艺流程及产污环节</w:t>
            </w:r>
          </w:p>
          <w:p>
            <w:pPr>
              <w:pStyle w:val="21"/>
              <w:widowControl w:val="0"/>
              <w:ind w:firstLine="0" w:firstLineChars="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color w:val="000000"/>
                <w:kern w:val="0"/>
                <w:sz w:val="24"/>
                <w:szCs w:val="20"/>
              </w:rPr>
              <mc:AlternateContent>
                <mc:Choice Requires="wpc">
                  <w:drawing>
                    <wp:inline distT="0" distB="0" distL="114300" distR="114300">
                      <wp:extent cx="5015865" cy="1776730"/>
                      <wp:effectExtent l="4445" t="4445" r="8890" b="9525"/>
                      <wp:docPr id="148" name="画布 14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solidFill>
                                  <a:srgbClr val="000000"/>
                                </a:solidFill>
                                <a:prstDash val="solid"/>
                                <a:miter/>
                                <a:headEnd type="none" w="med" len="med"/>
                                <a:tailEnd type="none" w="med" len="med"/>
                              </a:ln>
                            </wpc:whole>
                            <wps:wsp>
                              <wps:cNvPr id="128" name="矩形 128"/>
                              <wps:cNvSpPr/>
                              <wps:spPr>
                                <a:xfrm>
                                  <a:off x="1755140" y="629285"/>
                                  <a:ext cx="487680" cy="3340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成型</w:t>
                                    </w:r>
                                  </w:p>
                                </w:txbxContent>
                              </wps:txbx>
                              <wps:bodyPr upright="1"/>
                            </wps:wsp>
                            <wps:wsp>
                              <wps:cNvPr id="129" name="直接箭头连接符 129"/>
                              <wps:cNvCnPr/>
                              <wps:spPr>
                                <a:xfrm>
                                  <a:off x="1503045" y="793750"/>
                                  <a:ext cx="252095" cy="635"/>
                                </a:xfrm>
                                <a:prstGeom prst="straightConnector1">
                                  <a:avLst/>
                                </a:prstGeom>
                                <a:ln w="9525" cap="flat" cmpd="sng">
                                  <a:solidFill>
                                    <a:srgbClr val="000000"/>
                                  </a:solidFill>
                                  <a:prstDash val="solid"/>
                                  <a:headEnd type="none" w="med" len="med"/>
                                  <a:tailEnd type="triangle" w="med" len="med"/>
                                </a:ln>
                              </wps:spPr>
                              <wps:bodyPr/>
                            </wps:wsp>
                            <wps:wsp>
                              <wps:cNvPr id="130" name="直接箭头连接符 130"/>
                              <wps:cNvCnPr/>
                              <wps:spPr>
                                <a:xfrm>
                                  <a:off x="697230" y="786765"/>
                                  <a:ext cx="288290" cy="635"/>
                                </a:xfrm>
                                <a:prstGeom prst="straightConnector1">
                                  <a:avLst/>
                                </a:prstGeom>
                                <a:ln w="9525" cap="flat" cmpd="sng">
                                  <a:solidFill>
                                    <a:srgbClr val="000000"/>
                                  </a:solidFill>
                                  <a:prstDash val="solid"/>
                                  <a:headEnd type="none" w="med" len="med"/>
                                  <a:tailEnd type="triangle" w="med" len="med"/>
                                </a:ln>
                              </wps:spPr>
                              <wps:bodyPr/>
                            </wps:wsp>
                            <wps:wsp>
                              <wps:cNvPr id="131" name="矩形 131"/>
                              <wps:cNvSpPr/>
                              <wps:spPr>
                                <a:xfrm>
                                  <a:off x="989330" y="629285"/>
                                  <a:ext cx="506095" cy="3340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挤出</w:t>
                                    </w:r>
                                  </w:p>
                                </w:txbxContent>
                              </wps:txbx>
                              <wps:bodyPr upright="1"/>
                            </wps:wsp>
                            <wps:wsp>
                              <wps:cNvPr id="132" name="矩形 132"/>
                              <wps:cNvSpPr/>
                              <wps:spPr>
                                <a:xfrm>
                                  <a:off x="218440" y="629285"/>
                                  <a:ext cx="468630" cy="3340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原料</w:t>
                                    </w:r>
                                  </w:p>
                                </w:txbxContent>
                              </wps:txbx>
                              <wps:bodyPr upright="1"/>
                            </wps:wsp>
                            <wps:wsp>
                              <wps:cNvPr id="133" name="直接箭头连接符 133"/>
                              <wps:cNvCnPr/>
                              <wps:spPr>
                                <a:xfrm>
                                  <a:off x="2249805" y="794385"/>
                                  <a:ext cx="252095" cy="635"/>
                                </a:xfrm>
                                <a:prstGeom prst="straightConnector1">
                                  <a:avLst/>
                                </a:prstGeom>
                                <a:ln w="9525" cap="flat" cmpd="sng">
                                  <a:solidFill>
                                    <a:srgbClr val="000000"/>
                                  </a:solidFill>
                                  <a:prstDash val="solid"/>
                                  <a:headEnd type="none" w="med" len="med"/>
                                  <a:tailEnd type="triangle" w="med" len="med"/>
                                </a:ln>
                              </wps:spPr>
                              <wps:bodyPr/>
                            </wps:wsp>
                            <wps:wsp>
                              <wps:cNvPr id="134" name="矩形 134"/>
                              <wps:cNvSpPr/>
                              <wps:spPr>
                                <a:xfrm>
                                  <a:off x="2501900" y="629285"/>
                                  <a:ext cx="474980" cy="3340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牵引</w:t>
                                    </w:r>
                                  </w:p>
                                </w:txbxContent>
                              </wps:txbx>
                              <wps:bodyPr upright="1"/>
                            </wps:wsp>
                            <wps:wsp>
                              <wps:cNvPr id="135" name="矩形 135"/>
                              <wps:cNvSpPr/>
                              <wps:spPr>
                                <a:xfrm>
                                  <a:off x="3245485" y="629285"/>
                                  <a:ext cx="474980" cy="3340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裁切</w:t>
                                    </w:r>
                                  </w:p>
                                </w:txbxContent>
                              </wps:txbx>
                              <wps:bodyPr upright="1"/>
                            </wps:wsp>
                            <wps:wsp>
                              <wps:cNvPr id="136" name="直接箭头连接符 136"/>
                              <wps:cNvCnPr/>
                              <wps:spPr>
                                <a:xfrm>
                                  <a:off x="2991485" y="793115"/>
                                  <a:ext cx="252095" cy="635"/>
                                </a:xfrm>
                                <a:prstGeom prst="straightConnector1">
                                  <a:avLst/>
                                </a:prstGeom>
                                <a:ln w="9525" cap="flat" cmpd="sng">
                                  <a:solidFill>
                                    <a:srgbClr val="000000"/>
                                  </a:solidFill>
                                  <a:prstDash val="solid"/>
                                  <a:headEnd type="none" w="med" len="med"/>
                                  <a:tailEnd type="triangle" w="med" len="med"/>
                                </a:ln>
                              </wps:spPr>
                              <wps:bodyPr/>
                            </wps:wsp>
                            <wpg:wgp>
                              <wpg:cNvPr id="139" name="组合 139"/>
                              <wpg:cNvGrpSpPr/>
                              <wpg:grpSpPr>
                                <a:xfrm>
                                  <a:off x="811530" y="33020"/>
                                  <a:ext cx="819785" cy="585470"/>
                                  <a:chOff x="5189" y="5099"/>
                                  <a:chExt cx="1291" cy="922"/>
                                </a:xfrm>
                              </wpg:grpSpPr>
                              <wps:wsp>
                                <wps:cNvPr id="137" name="直接箭头连接符 137"/>
                                <wps:cNvCnPr/>
                                <wps:spPr>
                                  <a:xfrm flipV="1">
                                    <a:off x="5857" y="5624"/>
                                    <a:ext cx="1" cy="397"/>
                                  </a:xfrm>
                                  <a:prstGeom prst="straightConnector1">
                                    <a:avLst/>
                                  </a:prstGeom>
                                  <a:ln w="9525" cap="rnd" cmpd="sng">
                                    <a:solidFill>
                                      <a:srgbClr val="000000"/>
                                    </a:solidFill>
                                    <a:prstDash val="sysDot"/>
                                    <a:headEnd type="none" w="med" len="med"/>
                                    <a:tailEnd type="triangle" w="med" len="med"/>
                                  </a:ln>
                                </wps:spPr>
                                <wps:bodyPr/>
                              </wps:wsp>
                              <wps:wsp>
                                <wps:cNvPr id="138" name="矩形 138"/>
                                <wps:cNvSpPr/>
                                <wps:spPr>
                                  <a:xfrm>
                                    <a:off x="5189" y="5099"/>
                                    <a:ext cx="1291" cy="526"/>
                                  </a:xfrm>
                                  <a:prstGeom prst="rect">
                                    <a:avLst/>
                                  </a:prstGeom>
                                  <a:solidFill>
                                    <a:srgbClr val="FFFFFF"/>
                                  </a:solidFill>
                                  <a:ln w="9525" cap="rnd" cmpd="sng">
                                    <a:solidFill>
                                      <a:srgbClr val="000000"/>
                                    </a:solidFill>
                                    <a:prstDash val="sysDot"/>
                                    <a:miter/>
                                    <a:headEnd type="none" w="med" len="med"/>
                                    <a:tailEnd type="none" w="med" len="med"/>
                                  </a:ln>
                                </wps:spPr>
                                <wps:txbx>
                                  <w:txbxContent>
                                    <w:p>
                                      <w:pPr>
                                        <w:jc w:val="center"/>
                                      </w:pPr>
                                      <w:r>
                                        <w:rPr>
                                          <w:rFonts w:hint="eastAsia"/>
                                        </w:rPr>
                                        <w:t>废气、固废</w:t>
                                      </w:r>
                                    </w:p>
                                    <w:p/>
                                  </w:txbxContent>
                                </wps:txbx>
                                <wps:bodyPr upright="1"/>
                              </wps:wsp>
                            </wpg:wgp>
                            <wps:wsp>
                              <wps:cNvPr id="140" name="矩形 140"/>
                              <wps:cNvSpPr/>
                              <wps:spPr>
                                <a:xfrm>
                                  <a:off x="1766570" y="1331595"/>
                                  <a:ext cx="474980" cy="3340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模具</w:t>
                                    </w:r>
                                  </w:p>
                                </w:txbxContent>
                              </wps:txbx>
                              <wps:bodyPr upright="1"/>
                            </wps:wsp>
                            <wps:wsp>
                              <wps:cNvPr id="141" name="直接箭头连接符 141"/>
                              <wps:cNvCnPr/>
                              <wps:spPr>
                                <a:xfrm flipH="1" flipV="1">
                                  <a:off x="1998980" y="963295"/>
                                  <a:ext cx="5080" cy="368300"/>
                                </a:xfrm>
                                <a:prstGeom prst="straightConnector1">
                                  <a:avLst/>
                                </a:prstGeom>
                                <a:ln w="9525" cap="flat" cmpd="sng">
                                  <a:solidFill>
                                    <a:srgbClr val="000000"/>
                                  </a:solidFill>
                                  <a:prstDash val="solid"/>
                                  <a:headEnd type="none" w="med" len="med"/>
                                  <a:tailEnd type="triangle" w="med" len="med"/>
                                </a:ln>
                              </wps:spPr>
                              <wps:bodyPr/>
                            </wps:wsp>
                            <wps:wsp>
                              <wps:cNvPr id="142" name="矩形 142"/>
                              <wps:cNvSpPr/>
                              <wps:spPr>
                                <a:xfrm>
                                  <a:off x="4057650" y="629285"/>
                                  <a:ext cx="474980" cy="3340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包装</w:t>
                                    </w:r>
                                  </w:p>
                                </w:txbxContent>
                              </wps:txbx>
                              <wps:bodyPr upright="1"/>
                            </wps:wsp>
                            <wps:wsp>
                              <wps:cNvPr id="143" name="直接箭头连接符 143"/>
                              <wps:cNvCnPr/>
                              <wps:spPr>
                                <a:xfrm>
                                  <a:off x="3720465" y="796290"/>
                                  <a:ext cx="337185" cy="635"/>
                                </a:xfrm>
                                <a:prstGeom prst="straightConnector1">
                                  <a:avLst/>
                                </a:prstGeom>
                                <a:ln w="9525" cap="flat" cmpd="sng">
                                  <a:solidFill>
                                    <a:srgbClr val="000000"/>
                                  </a:solidFill>
                                  <a:prstDash val="solid"/>
                                  <a:headEnd type="none" w="med" len="med"/>
                                  <a:tailEnd type="triangle" w="med" len="med"/>
                                </a:ln>
                              </wps:spPr>
                              <wps:bodyPr/>
                            </wps:wsp>
                            <wps:wsp>
                              <wps:cNvPr id="144" name="矩形 144"/>
                              <wps:cNvSpPr/>
                              <wps:spPr>
                                <a:xfrm>
                                  <a:off x="4057650" y="1331595"/>
                                  <a:ext cx="474980" cy="3340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成品</w:t>
                                    </w:r>
                                  </w:p>
                                </w:txbxContent>
                              </wps:txbx>
                              <wps:bodyPr upright="1"/>
                            </wps:wsp>
                            <wps:wsp>
                              <wps:cNvPr id="145" name="直接箭头连接符 145"/>
                              <wps:cNvCnPr/>
                              <wps:spPr>
                                <a:xfrm>
                                  <a:off x="4295140" y="963295"/>
                                  <a:ext cx="635" cy="368300"/>
                                </a:xfrm>
                                <a:prstGeom prst="straightConnector1">
                                  <a:avLst/>
                                </a:prstGeom>
                                <a:ln w="9525" cap="flat" cmpd="sng">
                                  <a:solidFill>
                                    <a:srgbClr val="000000"/>
                                  </a:solidFill>
                                  <a:prstDash val="solid"/>
                                  <a:headEnd type="none" w="med" len="med"/>
                                  <a:tailEnd type="triangle" w="med" len="med"/>
                                </a:ln>
                              </wps:spPr>
                              <wps:bodyPr/>
                            </wps:wsp>
                            <wps:wsp>
                              <wps:cNvPr id="146" name="直接箭头连接符 146"/>
                              <wps:cNvCnPr/>
                              <wps:spPr>
                                <a:xfrm flipV="1">
                                  <a:off x="3491230" y="366395"/>
                                  <a:ext cx="635" cy="252095"/>
                                </a:xfrm>
                                <a:prstGeom prst="straightConnector1">
                                  <a:avLst/>
                                </a:prstGeom>
                                <a:ln w="9525" cap="rnd" cmpd="sng">
                                  <a:solidFill>
                                    <a:srgbClr val="000000"/>
                                  </a:solidFill>
                                  <a:prstDash val="sysDot"/>
                                  <a:headEnd type="none" w="med" len="med"/>
                                  <a:tailEnd type="triangle" w="med" len="med"/>
                                </a:ln>
                              </wps:spPr>
                              <wps:bodyPr/>
                            </wps:wsp>
                            <wps:wsp>
                              <wps:cNvPr id="147" name="矩形 147"/>
                              <wps:cNvSpPr/>
                              <wps:spPr>
                                <a:xfrm>
                                  <a:off x="3208655" y="33020"/>
                                  <a:ext cx="554355" cy="334010"/>
                                </a:xfrm>
                                <a:prstGeom prst="rect">
                                  <a:avLst/>
                                </a:prstGeom>
                                <a:solidFill>
                                  <a:srgbClr val="FFFFFF"/>
                                </a:solidFill>
                                <a:ln w="9525" cap="rnd" cmpd="sng">
                                  <a:solidFill>
                                    <a:srgbClr val="000000"/>
                                  </a:solidFill>
                                  <a:prstDash val="sysDot"/>
                                  <a:miter/>
                                  <a:headEnd type="none" w="med" len="med"/>
                                  <a:tailEnd type="none" w="med" len="med"/>
                                </a:ln>
                              </wps:spPr>
                              <wps:txbx>
                                <w:txbxContent>
                                  <w:p>
                                    <w:pPr>
                                      <w:jc w:val="center"/>
                                    </w:pPr>
                                    <w:r>
                                      <w:rPr>
                                        <w:rFonts w:hint="eastAsia"/>
                                      </w:rPr>
                                      <w:t>固废</w:t>
                                    </w:r>
                                  </w:p>
                                  <w:p/>
                                </w:txbxContent>
                              </wps:txbx>
                              <wps:bodyPr upright="1"/>
                            </wps:wsp>
                          </wpc:wpc>
                        </a:graphicData>
                      </a:graphic>
                    </wp:inline>
                  </w:drawing>
                </mc:Choice>
                <mc:Fallback>
                  <w:pict>
                    <v:group id="_x0000_s1026" o:spid="_x0000_s1026" o:spt="203" style="height:139.9pt;width:394.95pt;" coordsize="5015865,1776730" editas="canvas" o:gfxdata="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">
                      <o:lock v:ext="edit" aspectratio="f"/>
                      <v:shape id="_x0000_s1026" o:spid="_x0000_s1026" style="position:absolute;left:0;top:0;height:1776730;width:5015865;" filled="f" stroked="t" coordsize="21600,21600" o:gfxdata="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">
                        <v:fill on="f" focussize="0,0"/>
                        <v:stroke color="#000000" joinstyle="miter"/>
                        <v:imagedata o:title=""/>
                        <o:lock v:ext="edit" aspectratio="t"/>
                      </v:shape>
                      <v:rect id="_x0000_s1026" o:spid="_x0000_s1026" o:spt="1" style="position:absolute;left:1755140;top:629285;height:334010;width:487680;" fillcolor="#FFFFFF" filled="t" stroked="t" coordsize="21600,21600" o:gfxdata="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tIhjq9UAAAAFAQAADwAAAAAAAAABACAAAAAi&#10;AAAAZHJzL2Rvd25yZXYueG1sUEsBAhQAFAAAAAgAh07iQAyc6HANAgAANwQAAA4AAAAAAAAAAQAg&#10;AAAAJAEAAGRycy9lMm9Eb2MueG1sUEsFBgAAAAAGAAYAWQEAAKMFAAAAAA==&#10;">
                        <v:fill on="t" focussize="0,0"/>
                        <v:stroke color="#000000" joinstyle="miter"/>
                        <v:imagedata o:title=""/>
                        <o:lock v:ext="edit" aspectratio="f"/>
                        <v:textbox>
                          <w:txbxContent>
                            <w:p>
                              <w:pPr>
                                <w:jc w:val="center"/>
                              </w:pPr>
                              <w:r>
                                <w:rPr>
                                  <w:rFonts w:hint="eastAsia"/>
                                </w:rPr>
                                <w:t>成型</w:t>
                              </w:r>
                            </w:p>
                          </w:txbxContent>
                        </v:textbox>
                      </v:rect>
                      <v:shape id="_x0000_s1026" o:spid="_x0000_s1026" o:spt="32" type="#_x0000_t32" style="position:absolute;left:1503045;top:793750;height:635;width:252095;" filled="f" stroked="t" coordsize="21600,21600" o:gfxdata="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Ab0nhvXAAAABQEAAA8AAAAAAAAA&#10;AQAgAAAAIgAAAGRycy9kb3ducmV2LnhtbFBLAQIUABQAAAAIAIdO4kCB3AAaEgIAAAAEAAAOAAAA&#10;AAAAAAEAIAAAACYBAABkcnMvZTJvRG9jLnhtbFBLBQYAAAAABgAGAFkBAACqBQAAAAA=&#10;">
                        <v:fill on="f" focussize="0,0"/>
                        <v:stroke color="#000000" joinstyle="round" endarrow="block"/>
                        <v:imagedata o:title=""/>
                        <o:lock v:ext="edit" aspectratio="f"/>
                      </v:shape>
                      <v:shape id="_x0000_s1026" o:spid="_x0000_s1026" o:spt="32" type="#_x0000_t32" style="position:absolute;left:697230;top:786765;height:635;width:288290;" filled="f" stroked="t" coordsize="21600,21600" o:gfxdata="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BvSeG9cAAAAFAQAADwAAAAAA&#10;AAABACAAAAAiAAAAZHJzL2Rvd25yZXYueG1sUEsBAhQAFAAAAAgAh07iQBgWEvwUAgAA/wMAAA4A&#10;AAAAAAAAAQAgAAAAJgEAAGRycy9lMm9Eb2MueG1sUEsFBgAAAAAGAAYAWQEAAKwFAAAAAA==&#10;">
                        <v:fill on="f" focussize="0,0"/>
                        <v:stroke color="#000000" joinstyle="round" endarrow="block"/>
                        <v:imagedata o:title=""/>
                        <o:lock v:ext="edit" aspectratio="f"/>
                      </v:shape>
                      <v:rect id="_x0000_s1026" o:spid="_x0000_s1026" o:spt="1" style="position:absolute;left:989330;top:629285;height:334010;width:506095;" fillcolor="#FFFFFF" filled="t" stroked="t" coordsize="21600,21600" o:gfxdata="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SIY6vVAAAABQEAAA8AAAAAAAAAAQAgAAAAIgAA&#10;AGRycy9kb3ducmV2LnhtbFBLAQIUABQAAAAIAIdO4kAt+l81CwIAADYEAAAOAAAAAAAAAAEAIAAA&#10;ACQBAABkcnMvZTJvRG9jLnhtbFBLBQYAAAAABgAGAFkBAAChBQAAAAA=&#10;">
                        <v:fill on="t" focussize="0,0"/>
                        <v:stroke color="#000000" joinstyle="miter"/>
                        <v:imagedata o:title=""/>
                        <o:lock v:ext="edit" aspectratio="f"/>
                        <v:textbox>
                          <w:txbxContent>
                            <w:p>
                              <w:pPr>
                                <w:jc w:val="center"/>
                              </w:pPr>
                              <w:r>
                                <w:rPr>
                                  <w:rFonts w:hint="eastAsia"/>
                                </w:rPr>
                                <w:t>挤出</w:t>
                              </w:r>
                            </w:p>
                          </w:txbxContent>
                        </v:textbox>
                      </v:rect>
                      <v:rect id="_x0000_s1026" o:spid="_x0000_s1026" o:spt="1" style="position:absolute;left:218440;top:629285;height:334010;width:468630;" fillcolor="#FFFFFF" filled="t" stroked="t" coordsize="21600,21600" o:gfxdata="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0iGOr1QAAAAUBAAAPAAAAAAAAAAEAIAAAACIA&#10;AABkcnMvZG93bnJldi54bWxQSwECFAAUAAAACACHTuJAVCTUXQwCAAA2BAAADgAAAAAAAAABACAA&#10;AAAkAQAAZHJzL2Uyb0RvYy54bWxQSwUGAAAAAAYABgBZAQAAogUAAAAA&#10;">
                        <v:fill on="t" focussize="0,0"/>
                        <v:stroke color="#000000" joinstyle="miter"/>
                        <v:imagedata o:title=""/>
                        <o:lock v:ext="edit" aspectratio="f"/>
                        <v:textbox>
                          <w:txbxContent>
                            <w:p>
                              <w:pPr>
                                <w:jc w:val="center"/>
                              </w:pPr>
                              <w:r>
                                <w:rPr>
                                  <w:rFonts w:hint="eastAsia"/>
                                </w:rPr>
                                <w:t>原料</w:t>
                              </w:r>
                            </w:p>
                          </w:txbxContent>
                        </v:textbox>
                      </v:rect>
                      <v:shape id="_x0000_s1026" o:spid="_x0000_s1026" o:spt="32" type="#_x0000_t32" style="position:absolute;left:2249805;top:794385;height:635;width:252095;" filled="f" stroked="t" coordsize="21600,21600" o:gfxdata="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b0nhvXAAAABQEAAA8AAAAA&#10;AAAAAQAgAAAAIgAAAGRycy9kb3ducmV2LnhtbFBLAQIUABQAAAAIAIdO4kDtl+lWFQIAAAAEAAAO&#10;AAAAAAAAAAEAIAAAACYBAABkcnMvZTJvRG9jLnhtbFBLBQYAAAAABgAGAFkBAACtBQAAAAA=&#10;">
                        <v:fill on="f" focussize="0,0"/>
                        <v:stroke color="#000000" joinstyle="round" endarrow="block"/>
                        <v:imagedata o:title=""/>
                        <o:lock v:ext="edit" aspectratio="f"/>
                      </v:shape>
                      <v:rect id="_x0000_s1026" o:spid="_x0000_s1026" o:spt="1" style="position:absolute;left:2501900;top:629285;height:334010;width:474980;" fillcolor="#FFFFFF" filled="t" stroked="t" coordsize="21600,21600" o:gfxdata="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SIY6vVAAAABQEAAA8AAAAAAAAAAQAgAAAA&#10;IgAAAGRycy9kb3ducmV2LnhtbFBLAQIUABQAAAAIAIdO4kAaH7sYDgIAADcEAAAOAAAAAAAAAAEA&#10;IAAAACQBAABkcnMvZTJvRG9jLnhtbFBLBQYAAAAABgAGAFkBAACkBQAAAAA=&#10;">
                        <v:fill on="t" focussize="0,0"/>
                        <v:stroke color="#000000" joinstyle="miter"/>
                        <v:imagedata o:title=""/>
                        <o:lock v:ext="edit" aspectratio="f"/>
                        <v:textbox>
                          <w:txbxContent>
                            <w:p>
                              <w:pPr>
                                <w:jc w:val="center"/>
                              </w:pPr>
                              <w:r>
                                <w:rPr>
                                  <w:rFonts w:hint="eastAsia"/>
                                </w:rPr>
                                <w:t>牵引</w:t>
                              </w:r>
                            </w:p>
                          </w:txbxContent>
                        </v:textbox>
                      </v:rect>
                      <v:rect id="_x0000_s1026" o:spid="_x0000_s1026" o:spt="1" style="position:absolute;left:3245485;top:629285;height:334010;width:474980;" fillcolor="#FFFFFF" filled="t" stroked="t" coordsize="21600,21600" o:gfxdata="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tIhjq9UAAAAFAQAADwAAAAAAAAABACAAAAAi&#10;AAAAZHJzL2Rvd25yZXYueG1sUEsBAhQAFAAAAAgAh07iQPP8k58NAgAANwQAAA4AAAAAAAAAAQAg&#10;AAAAJAEAAGRycy9lMm9Eb2MueG1sUEsFBgAAAAAGAAYAWQEAAKMFAAAAAA==&#10;">
                        <v:fill on="t" focussize="0,0"/>
                        <v:stroke color="#000000" joinstyle="miter"/>
                        <v:imagedata o:title=""/>
                        <o:lock v:ext="edit" aspectratio="f"/>
                        <v:textbox>
                          <w:txbxContent>
                            <w:p>
                              <w:pPr>
                                <w:jc w:val="center"/>
                              </w:pPr>
                              <w:r>
                                <w:rPr>
                                  <w:rFonts w:hint="eastAsia"/>
                                </w:rPr>
                                <w:t>裁切</w:t>
                              </w:r>
                            </w:p>
                          </w:txbxContent>
                        </v:textbox>
                      </v:rect>
                      <v:shape id="_x0000_s1026" o:spid="_x0000_s1026" o:spt="32" type="#_x0000_t32" style="position:absolute;left:2991485;top:793115;height:635;width:252095;" filled="f" stroked="t" coordsize="21600,21600" o:gfxdata="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b0nhvXAAAABQEAAA8AAAAA&#10;AAAAAQAgAAAAIgAAAGRycy9kb3ducmV2LnhtbFBLAQIUABQAAAAIAIdO4kCLgW7eFQIAAAAEAAAO&#10;AAAAAAAAAAEAIAAAACYBAABkcnMvZTJvRG9jLnhtbFBLBQYAAAAABgAGAFkBAACtBQAAAAA=&#10;">
                        <v:fill on="f" focussize="0,0"/>
                        <v:stroke color="#000000" joinstyle="round" endarrow="block"/>
                        <v:imagedata o:title=""/>
                        <o:lock v:ext="edit" aspectratio="f"/>
                      </v:shape>
                      <v:group id="_x0000_s1026" o:spid="_x0000_s1026" o:spt="203" style="position:absolute;left:811530;top:33020;height:585470;width:819785;" coordorigin="5189,5099" coordsize="1291,922" o:gfxdata="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">
                        <o:lock v:ext="edit" aspectratio="f"/>
                        <v:shape id="_x0000_s1026" o:spid="_x0000_s1026" o:spt="32" type="#_x0000_t32" style="position:absolute;left:5857;top:5624;flip:y;height:397;width:1;" filled="f" stroked="t" coordsize="21600,21600" o:gfxdata="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pNu5bsAAADc&#10;AAAADwAAAAAAAAABACAAAAAiAAAAZHJzL2Rvd25yZXYueG1sUEsBAhQAFAAAAAgAh07iQDMvBZ47&#10;AAAAOQAAABAAAAAAAAAAAQAgAAAACgEAAGRycy9zaGFwZXhtbC54bWxQSwUGAAAAAAYABgBbAQAA&#10;tAMAAAAA&#10;">
                          <v:fill on="f" focussize="0,0"/>
                          <v:stroke color="#000000" joinstyle="round" dashstyle="1 1" endcap="round" endarrow="block"/>
                          <v:imagedata o:title=""/>
                          <o:lock v:ext="edit" aspectratio="f"/>
                        </v:shape>
                        <v:rect id="_x0000_s1026" o:spid="_x0000_s1026" o:spt="1" style="position:absolute;left:5189;top:5099;height:526;width:1291;" fillcolor="#FFFFFF" filled="t" stroked="t" coordsize="21600,21600" o:gfxdata="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pNjG74A&#10;AADcAAAADwAAAAAAAAABACAAAAAiAAAAZHJzL2Rvd25yZXYueG1sUEsBAhQAFAAAAAgAh07iQDMv&#10;BZ47AAAAOQAAABAAAAAAAAAAAQAgAAAADQEAAGRycy9zaGFwZXhtbC54bWxQSwUGAAAAAAYABgBb&#10;AQAAtwMAAAAA&#10;">
                          <v:fill on="t" focussize="0,0"/>
                          <v:stroke color="#000000" joinstyle="miter" dashstyle="1 1" endcap="round"/>
                          <v:imagedata o:title=""/>
                          <o:lock v:ext="edit" aspectratio="f"/>
                          <v:textbox>
                            <w:txbxContent>
                              <w:p>
                                <w:pPr>
                                  <w:jc w:val="center"/>
                                </w:pPr>
                                <w:r>
                                  <w:rPr>
                                    <w:rFonts w:hint="eastAsia"/>
                                  </w:rPr>
                                  <w:t>废气、固废</w:t>
                                </w:r>
                              </w:p>
                              <w:p/>
                            </w:txbxContent>
                          </v:textbox>
                        </v:rect>
                      </v:group>
                      <v:rect id="_x0000_s1026" o:spid="_x0000_s1026" o:spt="1" style="position:absolute;left:1766570;top:1331595;height:334010;width:474980;" fillcolor="#FFFFFF" filled="t" stroked="t" coordsize="21600,21600" o:gfxdata="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SIY6vVAAAABQEAAA8AAAAAAAAAAQAgAAAAIgAA&#10;AGRycy9kb3ducmV2LnhtbFBLAQIUABQAAAAIAIdO4kA6UGENCwIAADgEAAAOAAAAAAAAAAEAIAAA&#10;ACQBAABkcnMvZTJvRG9jLnhtbFBLBQYAAAAABgAGAFkBAAChBQAAAAA=&#10;">
                        <v:fill on="t" focussize="0,0"/>
                        <v:stroke color="#000000" joinstyle="miter"/>
                        <v:imagedata o:title=""/>
                        <o:lock v:ext="edit" aspectratio="f"/>
                        <v:textbox>
                          <w:txbxContent>
                            <w:p>
                              <w:pPr>
                                <w:jc w:val="center"/>
                              </w:pPr>
                              <w:r>
                                <w:rPr>
                                  <w:rFonts w:hint="eastAsia"/>
                                </w:rPr>
                                <w:t>模具</w:t>
                              </w:r>
                            </w:p>
                          </w:txbxContent>
                        </v:textbox>
                      </v:rect>
                      <v:shape id="_x0000_s1026" o:spid="_x0000_s1026" o:spt="32" type="#_x0000_t32" style="position:absolute;left:1998980;top:963295;flip:x y;height:368300;width:5080;" filled="f" stroked="t" coordsize="21600,21600" o:gfxdata="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nMo4I1gAA&#10;AAUBAAAPAAAAAAAAAAEAIAAAACIAAABkcnMvZG93bnJldi54bWxQSwECFAAUAAAACACHTuJAZQ0x&#10;zCACAAAVBAAADgAAAAAAAAABACAAAAAlAQAAZHJzL2Uyb0RvYy54bWxQSwUGAAAAAAYABgBZAQAA&#10;twUAAAAA&#10;">
                        <v:fill on="f" focussize="0,0"/>
                        <v:stroke color="#000000" joinstyle="round" endarrow="block"/>
                        <v:imagedata o:title=""/>
                        <o:lock v:ext="edit" aspectratio="f"/>
                      </v:shape>
                      <v:rect id="_x0000_s1026" o:spid="_x0000_s1026" o:spt="1" style="position:absolute;left:4057650;top:629285;height:334010;width:474980;" fillcolor="#FFFFFF" filled="t" stroked="t" coordsize="21600,21600" o:gfxdata="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SIY6vVAAAABQEAAA8AAAAAAAAAAQAgAAAA&#10;IgAAAGRycy9kb3ducmV2LnhtbFBLAQIUABQAAAAIAIdO4kA9IEm6DgIAADcEAAAOAAAAAAAAAAEA&#10;IAAAACQBAABkcnMvZTJvRG9jLnhtbFBLBQYAAAAABgAGAFkBAACkBQAAAAA=&#10;">
                        <v:fill on="t" focussize="0,0"/>
                        <v:stroke color="#000000" joinstyle="miter"/>
                        <v:imagedata o:title=""/>
                        <o:lock v:ext="edit" aspectratio="f"/>
                        <v:textbox>
                          <w:txbxContent>
                            <w:p>
                              <w:pPr>
                                <w:jc w:val="center"/>
                              </w:pPr>
                              <w:r>
                                <w:rPr>
                                  <w:rFonts w:hint="eastAsia"/>
                                </w:rPr>
                                <w:t>包装</w:t>
                              </w:r>
                            </w:p>
                          </w:txbxContent>
                        </v:textbox>
                      </v:rect>
                      <v:shape id="_x0000_s1026" o:spid="_x0000_s1026" o:spt="32" type="#_x0000_t32" style="position:absolute;left:3720465;top:796290;height:635;width:337185;" filled="f" stroked="t" coordsize="21600,21600" o:gfxdata="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G9J4b1wAAAAUBAAAPAAAAAAAA&#10;AAEAIAAAACIAAABkcnMvZG93bnJldi54bWxQSwECFAAUAAAACACHTuJAjLUQNBMCAAAABAAADgAA&#10;AAAAAAABACAAAAAmAQAAZHJzL2Uyb0RvYy54bWxQSwUGAAAAAAYABgBZAQAAqwUAAAAA&#10;">
                        <v:fill on="f" focussize="0,0"/>
                        <v:stroke color="#000000" joinstyle="round" endarrow="block"/>
                        <v:imagedata o:title=""/>
                        <o:lock v:ext="edit" aspectratio="f"/>
                      </v:shape>
                      <v:rect id="_x0000_s1026" o:spid="_x0000_s1026" o:spt="1" style="position:absolute;left:4057650;top:1331595;height:334010;width:474980;" fillcolor="#FFFFFF" filled="t" stroked="t" coordsize="21600,21600" o:gfxdata="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SIY6vVAAAABQEAAA8AAAAAAAAAAQAgAAAA&#10;IgAAAGRycy9kb3ducmV2LnhtbFBLAQIUABQAAAAIAIdO4kBvLQq8DgIAADgEAAAOAAAAAAAAAAEA&#10;IAAAACQBAABkcnMvZTJvRG9jLnhtbFBLBQYAAAAABgAGAFkBAACkBQAAAAA=&#10;">
                        <v:fill on="t" focussize="0,0"/>
                        <v:stroke color="#000000" joinstyle="miter"/>
                        <v:imagedata o:title=""/>
                        <o:lock v:ext="edit" aspectratio="f"/>
                        <v:textbox>
                          <w:txbxContent>
                            <w:p>
                              <w:pPr>
                                <w:jc w:val="center"/>
                              </w:pPr>
                              <w:r>
                                <w:rPr>
                                  <w:rFonts w:hint="eastAsia"/>
                                </w:rPr>
                                <w:t>成品</w:t>
                              </w:r>
                            </w:p>
                          </w:txbxContent>
                        </v:textbox>
                      </v:rect>
                      <v:shape id="_x0000_s1026" o:spid="_x0000_s1026" o:spt="32" type="#_x0000_t32" style="position:absolute;left:4295140;top:963295;height:368300;width:635;" filled="f" stroked="t" coordsize="21600,21600" o:gfxdata="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G9J4b1wAAAAUBAAAPAAAAAAAA&#10;AAEAIAAAACIAAABkcnMvZG93bnJldi54bWxQSwECFAAUAAAACACHTuJAFAwrvRMCAAAABAAADgAA&#10;AAAAAAABACAAAAAmAQAAZHJzL2Uyb0RvYy54bWxQSwUGAAAAAAYABgBZAQAAqwUAAAAA&#10;">
                        <v:fill on="f" focussize="0,0"/>
                        <v:stroke color="#000000" joinstyle="round" endarrow="block"/>
                        <v:imagedata o:title=""/>
                        <o:lock v:ext="edit" aspectratio="f"/>
                      </v:shape>
                      <v:shape id="_x0000_s1026" o:spid="_x0000_s1026" o:spt="32" type="#_x0000_t32" style="position:absolute;left:3491230;top:366395;flip:y;height:252095;width:635;" filled="f" stroked="t" coordsize="21600,21600" o:gfxdata="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GwWLM1AAAAAUBAAAP&#10;AAAAAAAAAAEAIAAAACIAAABkcnMvZG93bnJldi54bWxQSwECFAAUAAAACACHTuJA8GfYTBwCAAAK&#10;BAAADgAAAAAAAAABACAAAAAjAQAAZHJzL2Uyb0RvYy54bWxQSwUGAAAAAAYABgBZAQAAsQUAAAAA&#10;">
                        <v:fill on="f" focussize="0,0"/>
                        <v:stroke color="#000000" joinstyle="round" dashstyle="1 1" endcap="round" endarrow="block"/>
                        <v:imagedata o:title=""/>
                        <o:lock v:ext="edit" aspectratio="f"/>
                      </v:shape>
                      <v:rect id="_x0000_s1026" o:spid="_x0000_s1026" o:spt="1" style="position:absolute;left:3208655;top:33020;height:334010;width:554355;" fillcolor="#FFFFFF" filled="t" stroked="t" coordsize="21600,21600" o:gfxdata="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3+ikutcAAAAFAQAADwAAAAAAAAABACAAAAAiAAAA&#10;ZHJzL2Rvd25yZXYueG1sUEsBAhQAFAAAAAgAh07iQHPAnbIIAgAANgQAAA4AAAAAAAAAAQAgAAAA&#10;JgEAAGRycy9lMm9Eb2MueG1sUEsFBgAAAAAGAAYAWQEAAKAFAAAAAA==&#10;">
                        <v:fill on="t" focussize="0,0"/>
                        <v:stroke color="#000000" joinstyle="miter" dashstyle="1 1" endcap="round"/>
                        <v:imagedata o:title=""/>
                        <o:lock v:ext="edit" aspectratio="f"/>
                        <v:textbox>
                          <w:txbxContent>
                            <w:p>
                              <w:pPr>
                                <w:jc w:val="center"/>
                              </w:pPr>
                              <w:r>
                                <w:rPr>
                                  <w:rFonts w:hint="eastAsia"/>
                                </w:rPr>
                                <w:t>固废</w:t>
                              </w:r>
                            </w:p>
                            <w:p/>
                          </w:txbxContent>
                        </v:textbox>
                      </v:rect>
                      <w10:wrap type="none"/>
                      <w10:anchorlock/>
                    </v:group>
                  </w:pict>
                </mc:Fallback>
              </mc:AlternateContent>
            </w:r>
          </w:p>
          <w:p>
            <w:pPr>
              <w:pStyle w:val="21"/>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图2</w:t>
            </w: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挤出</w:t>
            </w:r>
            <w:r>
              <w:rPr>
                <w:rFonts w:hint="default" w:ascii="Times New Roman" w:hAnsi="Times New Roman" w:eastAsia="宋体" w:cs="Times New Roman"/>
                <w:b/>
                <w:bCs/>
                <w:color w:val="000000" w:themeColor="text1"/>
                <w:sz w:val="21"/>
                <w:szCs w:val="21"/>
                <w14:textFill>
                  <w14:solidFill>
                    <w14:schemeClr w14:val="tx1"/>
                  </w14:solidFill>
                </w14:textFill>
              </w:rPr>
              <w:t>生产</w:t>
            </w:r>
            <w:r>
              <w:rPr>
                <w:rFonts w:hint="default" w:ascii="Times New Roman" w:hAnsi="Times New Roman" w:eastAsia="宋体" w:cs="Times New Roman"/>
                <w:b/>
                <w:bCs/>
                <w:color w:val="000000" w:themeColor="text1"/>
                <w:sz w:val="21"/>
                <w:szCs w:val="21"/>
                <w:lang w:eastAsia="zh-CN"/>
                <w14:textFill>
                  <w14:solidFill>
                    <w14:schemeClr w14:val="tx1"/>
                  </w14:solidFill>
                </w14:textFill>
              </w:rPr>
              <w:t>线</w:t>
            </w:r>
            <w:r>
              <w:rPr>
                <w:rFonts w:hint="default" w:ascii="Times New Roman" w:hAnsi="Times New Roman" w:eastAsia="宋体" w:cs="Times New Roman"/>
                <w:b/>
                <w:bCs/>
                <w:color w:val="000000" w:themeColor="text1"/>
                <w:sz w:val="21"/>
                <w:szCs w:val="21"/>
                <w14:textFill>
                  <w14:solidFill>
                    <w14:schemeClr w14:val="tx1"/>
                  </w14:solidFill>
                </w14:textFill>
              </w:rPr>
              <w:t>工艺流程及产污环节图</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center"/>
              <w:textAlignment w:val="auto"/>
              <w:rPr>
                <w:rFonts w:hint="default" w:ascii="Times New Roman" w:hAnsi="Times New Roman" w:eastAsia="宋体" w:cs="Times New Roman"/>
              </w:rPr>
            </w:pPr>
            <w:bookmarkStart w:id="0" w:name="_Toc29387767"/>
            <w:r>
              <w:rPr>
                <w:rFonts w:hint="default" w:ascii="Times New Roman" w:hAnsi="Times New Roman" w:eastAsia="宋体" w:cs="Times New Roman"/>
                <w:color w:val="000000"/>
                <w:kern w:val="0"/>
                <w:sz w:val="24"/>
                <w:szCs w:val="20"/>
              </w:rPr>
              <mc:AlternateContent>
                <mc:Choice Requires="wpc">
                  <w:drawing>
                    <wp:inline distT="0" distB="0" distL="114300" distR="114300">
                      <wp:extent cx="4543425" cy="1059815"/>
                      <wp:effectExtent l="4445" t="4445" r="5080" b="21590"/>
                      <wp:docPr id="169" name="画布 16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solidFill>
                                  <a:srgbClr val="000000"/>
                                </a:solidFill>
                                <a:prstDash val="solid"/>
                                <a:miter/>
                                <a:headEnd type="none" w="med" len="med"/>
                                <a:tailEnd type="none" w="med" len="med"/>
                              </a:ln>
                            </wpc:whole>
                            <wps:wsp>
                              <wps:cNvPr id="149" name="矩形 149"/>
                              <wps:cNvSpPr/>
                              <wps:spPr>
                                <a:xfrm>
                                  <a:off x="1755140" y="629285"/>
                                  <a:ext cx="487680" cy="3340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钻铣</w:t>
                                    </w:r>
                                  </w:p>
                                </w:txbxContent>
                              </wps:txbx>
                              <wps:bodyPr upright="1"/>
                            </wps:wsp>
                            <wps:wsp>
                              <wps:cNvPr id="150" name="直接箭头连接符 150"/>
                              <wps:cNvCnPr/>
                              <wps:spPr>
                                <a:xfrm>
                                  <a:off x="1503045" y="793750"/>
                                  <a:ext cx="252095" cy="635"/>
                                </a:xfrm>
                                <a:prstGeom prst="straightConnector1">
                                  <a:avLst/>
                                </a:prstGeom>
                                <a:ln w="9525" cap="flat" cmpd="sng">
                                  <a:solidFill>
                                    <a:srgbClr val="000000"/>
                                  </a:solidFill>
                                  <a:prstDash val="solid"/>
                                  <a:headEnd type="none" w="med" len="med"/>
                                  <a:tailEnd type="triangle" w="med" len="med"/>
                                </a:ln>
                              </wps:spPr>
                              <wps:bodyPr/>
                            </wps:wsp>
                            <wps:wsp>
                              <wps:cNvPr id="151" name="直接箭头连接符 151"/>
                              <wps:cNvCnPr/>
                              <wps:spPr>
                                <a:xfrm>
                                  <a:off x="697230" y="786765"/>
                                  <a:ext cx="288290" cy="635"/>
                                </a:xfrm>
                                <a:prstGeom prst="straightConnector1">
                                  <a:avLst/>
                                </a:prstGeom>
                                <a:ln w="9525" cap="flat" cmpd="sng">
                                  <a:solidFill>
                                    <a:srgbClr val="000000"/>
                                  </a:solidFill>
                                  <a:prstDash val="solid"/>
                                  <a:headEnd type="none" w="med" len="med"/>
                                  <a:tailEnd type="triangle" w="med" len="med"/>
                                </a:ln>
                              </wps:spPr>
                              <wps:bodyPr/>
                            </wps:wsp>
                            <wps:wsp>
                              <wps:cNvPr id="152" name="矩形 152"/>
                              <wps:cNvSpPr/>
                              <wps:spPr>
                                <a:xfrm>
                                  <a:off x="989330" y="629285"/>
                                  <a:ext cx="506095" cy="3340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切割</w:t>
                                    </w:r>
                                  </w:p>
                                </w:txbxContent>
                              </wps:txbx>
                              <wps:bodyPr upright="1"/>
                            </wps:wsp>
                            <wps:wsp>
                              <wps:cNvPr id="153" name="矩形 153"/>
                              <wps:cNvSpPr/>
                              <wps:spPr>
                                <a:xfrm>
                                  <a:off x="218440" y="629285"/>
                                  <a:ext cx="468630" cy="3340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钢材</w:t>
                                    </w:r>
                                  </w:p>
                                </w:txbxContent>
                              </wps:txbx>
                              <wps:bodyPr upright="1"/>
                            </wps:wsp>
                            <wps:wsp>
                              <wps:cNvPr id="154" name="直接箭头连接符 154"/>
                              <wps:cNvCnPr/>
                              <wps:spPr>
                                <a:xfrm>
                                  <a:off x="2249805" y="794385"/>
                                  <a:ext cx="252095" cy="635"/>
                                </a:xfrm>
                                <a:prstGeom prst="straightConnector1">
                                  <a:avLst/>
                                </a:prstGeom>
                                <a:ln w="9525" cap="flat" cmpd="sng">
                                  <a:solidFill>
                                    <a:srgbClr val="000000"/>
                                  </a:solidFill>
                                  <a:prstDash val="solid"/>
                                  <a:headEnd type="none" w="med" len="med"/>
                                  <a:tailEnd type="triangle" w="med" len="med"/>
                                </a:ln>
                              </wps:spPr>
                              <wps:bodyPr/>
                            </wps:wsp>
                            <wps:wsp>
                              <wps:cNvPr id="155" name="矩形 155"/>
                              <wps:cNvSpPr/>
                              <wps:spPr>
                                <a:xfrm>
                                  <a:off x="2501900" y="629285"/>
                                  <a:ext cx="474980" cy="3340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抛光</w:t>
                                    </w:r>
                                  </w:p>
                                </w:txbxContent>
                              </wps:txbx>
                              <wps:bodyPr upright="1"/>
                            </wps:wsp>
                            <wps:wsp>
                              <wps:cNvPr id="156" name="矩形 156"/>
                              <wps:cNvSpPr/>
                              <wps:spPr>
                                <a:xfrm>
                                  <a:off x="3245485" y="629285"/>
                                  <a:ext cx="474980" cy="3340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组装</w:t>
                                    </w:r>
                                  </w:p>
                                </w:txbxContent>
                              </wps:txbx>
                              <wps:bodyPr upright="1"/>
                            </wps:wsp>
                            <wps:wsp>
                              <wps:cNvPr id="157" name="直接箭头连接符 157"/>
                              <wps:cNvCnPr/>
                              <wps:spPr>
                                <a:xfrm>
                                  <a:off x="2991485" y="793115"/>
                                  <a:ext cx="252095" cy="635"/>
                                </a:xfrm>
                                <a:prstGeom prst="straightConnector1">
                                  <a:avLst/>
                                </a:prstGeom>
                                <a:ln w="9525" cap="flat" cmpd="sng">
                                  <a:solidFill>
                                    <a:srgbClr val="000000"/>
                                  </a:solidFill>
                                  <a:prstDash val="solid"/>
                                  <a:headEnd type="none" w="med" len="med"/>
                                  <a:tailEnd type="triangle" w="med" len="med"/>
                                </a:ln>
                              </wps:spPr>
                              <wps:bodyPr/>
                            </wps:wsp>
                            <wpg:wgp>
                              <wpg:cNvPr id="160" name="组合 160"/>
                              <wpg:cNvGrpSpPr/>
                              <wpg:grpSpPr>
                                <a:xfrm>
                                  <a:off x="963930" y="33020"/>
                                  <a:ext cx="565150" cy="585470"/>
                                  <a:chOff x="7778" y="5090"/>
                                  <a:chExt cx="890" cy="922"/>
                                </a:xfrm>
                              </wpg:grpSpPr>
                              <wps:wsp>
                                <wps:cNvPr id="158" name="直接箭头连接符 158"/>
                                <wps:cNvCnPr/>
                                <wps:spPr>
                                  <a:xfrm flipV="1">
                                    <a:off x="8210" y="5615"/>
                                    <a:ext cx="1" cy="397"/>
                                  </a:xfrm>
                                  <a:prstGeom prst="straightConnector1">
                                    <a:avLst/>
                                  </a:prstGeom>
                                  <a:ln w="9525" cap="rnd" cmpd="sng">
                                    <a:solidFill>
                                      <a:srgbClr val="000000"/>
                                    </a:solidFill>
                                    <a:prstDash val="sysDot"/>
                                    <a:headEnd type="none" w="med" len="med"/>
                                    <a:tailEnd type="triangle" w="med" len="med"/>
                                  </a:ln>
                                </wps:spPr>
                                <wps:bodyPr/>
                              </wps:wsp>
                              <wps:wsp>
                                <wps:cNvPr id="159" name="矩形 159"/>
                                <wps:cNvSpPr/>
                                <wps:spPr>
                                  <a:xfrm>
                                    <a:off x="7778" y="5090"/>
                                    <a:ext cx="890" cy="526"/>
                                  </a:xfrm>
                                  <a:prstGeom prst="rect">
                                    <a:avLst/>
                                  </a:prstGeom>
                                  <a:solidFill>
                                    <a:srgbClr val="FFFFFF"/>
                                  </a:solidFill>
                                  <a:ln w="9525" cap="rnd" cmpd="sng">
                                    <a:solidFill>
                                      <a:srgbClr val="000000"/>
                                    </a:solidFill>
                                    <a:prstDash val="sysDot"/>
                                    <a:miter/>
                                    <a:headEnd type="none" w="med" len="med"/>
                                    <a:tailEnd type="none" w="med" len="med"/>
                                  </a:ln>
                                </wps:spPr>
                                <wps:txbx>
                                  <w:txbxContent>
                                    <w:p>
                                      <w:pPr>
                                        <w:jc w:val="center"/>
                                      </w:pPr>
                                      <w:r>
                                        <w:rPr>
                                          <w:rFonts w:hint="eastAsia"/>
                                        </w:rPr>
                                        <w:t>废气</w:t>
                                      </w:r>
                                    </w:p>
                                    <w:p/>
                                  </w:txbxContent>
                                </wps:txbx>
                                <wps:bodyPr upright="1"/>
                              </wps:wsp>
                            </wpg:wgp>
                            <wps:wsp>
                              <wps:cNvPr id="161" name="矩形 161"/>
                              <wps:cNvSpPr/>
                              <wps:spPr>
                                <a:xfrm>
                                  <a:off x="4011295" y="629285"/>
                                  <a:ext cx="474980" cy="3340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模具</w:t>
                                    </w:r>
                                  </w:p>
                                </w:txbxContent>
                              </wps:txbx>
                              <wps:bodyPr upright="1"/>
                            </wps:wsp>
                            <wps:wsp>
                              <wps:cNvPr id="162" name="直接箭头连接符 162"/>
                              <wps:cNvCnPr/>
                              <wps:spPr>
                                <a:xfrm>
                                  <a:off x="3720465" y="796290"/>
                                  <a:ext cx="290830" cy="635"/>
                                </a:xfrm>
                                <a:prstGeom prst="straightConnector1">
                                  <a:avLst/>
                                </a:prstGeom>
                                <a:ln w="9525" cap="flat" cmpd="sng">
                                  <a:solidFill>
                                    <a:srgbClr val="000000"/>
                                  </a:solidFill>
                                  <a:prstDash val="solid"/>
                                  <a:headEnd type="none" w="med" len="med"/>
                                  <a:tailEnd type="triangle" w="med" len="med"/>
                                </a:ln>
                              </wps:spPr>
                              <wps:bodyPr/>
                            </wps:wsp>
                            <wpg:wgp>
                              <wpg:cNvPr id="165" name="组合 165"/>
                              <wpg:cNvGrpSpPr/>
                              <wpg:grpSpPr>
                                <a:xfrm>
                                  <a:off x="1727200" y="33020"/>
                                  <a:ext cx="565150" cy="585470"/>
                                  <a:chOff x="7778" y="5090"/>
                                  <a:chExt cx="890" cy="922"/>
                                </a:xfrm>
                              </wpg:grpSpPr>
                              <wps:wsp>
                                <wps:cNvPr id="163" name="直接箭头连接符 163"/>
                                <wps:cNvCnPr/>
                                <wps:spPr>
                                  <a:xfrm flipV="1">
                                    <a:off x="8210" y="5615"/>
                                    <a:ext cx="1" cy="397"/>
                                  </a:xfrm>
                                  <a:prstGeom prst="straightConnector1">
                                    <a:avLst/>
                                  </a:prstGeom>
                                  <a:ln w="9525" cap="rnd" cmpd="sng">
                                    <a:solidFill>
                                      <a:srgbClr val="000000"/>
                                    </a:solidFill>
                                    <a:prstDash val="sysDot"/>
                                    <a:headEnd type="none" w="med" len="med"/>
                                    <a:tailEnd type="triangle" w="med" len="med"/>
                                  </a:ln>
                                </wps:spPr>
                                <wps:bodyPr/>
                              </wps:wsp>
                              <wps:wsp>
                                <wps:cNvPr id="164" name="矩形 164"/>
                                <wps:cNvSpPr/>
                                <wps:spPr>
                                  <a:xfrm>
                                    <a:off x="7778" y="5090"/>
                                    <a:ext cx="890" cy="526"/>
                                  </a:xfrm>
                                  <a:prstGeom prst="rect">
                                    <a:avLst/>
                                  </a:prstGeom>
                                  <a:solidFill>
                                    <a:srgbClr val="FFFFFF"/>
                                  </a:solidFill>
                                  <a:ln w="9525" cap="rnd" cmpd="sng">
                                    <a:solidFill>
                                      <a:srgbClr val="000000"/>
                                    </a:solidFill>
                                    <a:prstDash val="sysDot"/>
                                    <a:miter/>
                                    <a:headEnd type="none" w="med" len="med"/>
                                    <a:tailEnd type="none" w="med" len="med"/>
                                  </a:ln>
                                </wps:spPr>
                                <wps:txbx>
                                  <w:txbxContent>
                                    <w:p>
                                      <w:pPr>
                                        <w:jc w:val="center"/>
                                      </w:pPr>
                                      <w:r>
                                        <w:rPr>
                                          <w:rFonts w:hint="eastAsia"/>
                                        </w:rPr>
                                        <w:t>废气</w:t>
                                      </w:r>
                                    </w:p>
                                    <w:p/>
                                  </w:txbxContent>
                                </wps:txbx>
                                <wps:bodyPr upright="1"/>
                              </wps:wsp>
                            </wpg:wgp>
                            <wpg:wgp>
                              <wpg:cNvPr id="168" name="组合 168"/>
                              <wpg:cNvGrpSpPr/>
                              <wpg:grpSpPr>
                                <a:xfrm>
                                  <a:off x="2468880" y="33020"/>
                                  <a:ext cx="565150" cy="585470"/>
                                  <a:chOff x="7778" y="5090"/>
                                  <a:chExt cx="890" cy="922"/>
                                </a:xfrm>
                              </wpg:grpSpPr>
                              <wps:wsp>
                                <wps:cNvPr id="166" name="直接箭头连接符 166"/>
                                <wps:cNvCnPr/>
                                <wps:spPr>
                                  <a:xfrm flipV="1">
                                    <a:off x="8210" y="5615"/>
                                    <a:ext cx="1" cy="397"/>
                                  </a:xfrm>
                                  <a:prstGeom prst="straightConnector1">
                                    <a:avLst/>
                                  </a:prstGeom>
                                  <a:ln w="9525" cap="rnd" cmpd="sng">
                                    <a:solidFill>
                                      <a:srgbClr val="000000"/>
                                    </a:solidFill>
                                    <a:prstDash val="sysDot"/>
                                    <a:headEnd type="none" w="med" len="med"/>
                                    <a:tailEnd type="triangle" w="med" len="med"/>
                                  </a:ln>
                                </wps:spPr>
                                <wps:bodyPr/>
                              </wps:wsp>
                              <wps:wsp>
                                <wps:cNvPr id="167" name="矩形 167"/>
                                <wps:cNvSpPr/>
                                <wps:spPr>
                                  <a:xfrm>
                                    <a:off x="7778" y="5090"/>
                                    <a:ext cx="890" cy="526"/>
                                  </a:xfrm>
                                  <a:prstGeom prst="rect">
                                    <a:avLst/>
                                  </a:prstGeom>
                                  <a:solidFill>
                                    <a:srgbClr val="FFFFFF"/>
                                  </a:solidFill>
                                  <a:ln w="9525" cap="rnd" cmpd="sng">
                                    <a:solidFill>
                                      <a:srgbClr val="000000"/>
                                    </a:solidFill>
                                    <a:prstDash val="sysDot"/>
                                    <a:miter/>
                                    <a:headEnd type="none" w="med" len="med"/>
                                    <a:tailEnd type="none" w="med" len="med"/>
                                  </a:ln>
                                </wps:spPr>
                                <wps:txbx>
                                  <w:txbxContent>
                                    <w:p>
                                      <w:pPr>
                                        <w:jc w:val="center"/>
                                      </w:pPr>
                                      <w:r>
                                        <w:rPr>
                                          <w:rFonts w:hint="eastAsia"/>
                                        </w:rPr>
                                        <w:t>废气</w:t>
                                      </w:r>
                                    </w:p>
                                    <w:p/>
                                  </w:txbxContent>
                                </wps:txbx>
                                <wps:bodyPr upright="1"/>
                              </wps:wsp>
                            </wpg:wgp>
                          </wpc:wpc>
                        </a:graphicData>
                      </a:graphic>
                    </wp:inline>
                  </w:drawing>
                </mc:Choice>
                <mc:Fallback>
                  <w:pict>
                    <v:group id="_x0000_s1026" o:spid="_x0000_s1026" o:spt="203" style="height:83.45pt;width:357.75pt;" coordsize="4543425,1059815" editas="canvas" o:gfxdata="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">
                      <o:lock v:ext="edit" aspectratio="f"/>
                      <v:shape id="_x0000_s1026" o:spid="_x0000_s1026" style="position:absolute;left:0;top:0;height:1059815;width:4543425;" filled="f" stroked="t" coordsize="21600,21600" o:gfxdata="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">
                        <v:fill on="f" focussize="0,0"/>
                        <v:stroke color="#000000" joinstyle="miter"/>
                        <v:imagedata o:title=""/>
                        <o:lock v:ext="edit" aspectratio="t"/>
                      </v:shape>
                      <v:rect id="_x0000_s1026" o:spid="_x0000_s1026" o:spt="1" style="position:absolute;left:1755140;top:629285;height:334010;width:487680;" fillcolor="#FFFFFF" filled="t" stroked="t" coordsize="21600,21600" o:gfxdata="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PUQYFDVAAAABQEAAA8AAAAAAAAAAQAgAAAA&#10;IgAAAGRycy9kb3ducmV2LnhtbFBLAQIUABQAAAAIAIdO4kDB/z8nDgIAADcEAAAOAAAAAAAAAAEA&#10;IAAAACQBAABkcnMvZTJvRG9jLnhtbFBLBQYAAAAABgAGAFkBAACkBQAAAAA=&#10;">
                        <v:fill on="t" focussize="0,0"/>
                        <v:stroke color="#000000" joinstyle="miter"/>
                        <v:imagedata o:title=""/>
                        <o:lock v:ext="edit" aspectratio="f"/>
                        <v:textbox>
                          <w:txbxContent>
                            <w:p>
                              <w:pPr>
                                <w:jc w:val="center"/>
                              </w:pPr>
                              <w:r>
                                <w:rPr>
                                  <w:rFonts w:hint="eastAsia"/>
                                </w:rPr>
                                <w:t>钻铣</w:t>
                              </w:r>
                            </w:p>
                          </w:txbxContent>
                        </v:textbox>
                      </v:rect>
                      <v:shape id="_x0000_s1026" o:spid="_x0000_s1026" o:spt="32" type="#_x0000_t32" style="position:absolute;left:1503045;top:793750;height:635;width:252095;" filled="f" stroked="t" coordsize="21600,21600" o:gfxdata="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EdsneDWAAAABQEAAA8AAAAAAAAAAQAg&#10;AAAAIgAAAGRycy9kb3ducmV2LnhtbFBLAQIUABQAAAAIAIdO4kCJvdP/EAIAAAAEAAAOAAAAAAAA&#10;AAEAIAAAACUBAABkcnMvZTJvRG9jLnhtbFBLBQYAAAAABgAGAFkBAACnBQAAAAA=&#10;">
                        <v:fill on="f" focussize="0,0"/>
                        <v:stroke color="#000000" joinstyle="round" endarrow="block"/>
                        <v:imagedata o:title=""/>
                        <o:lock v:ext="edit" aspectratio="f"/>
                      </v:shape>
                      <v:shape id="_x0000_s1026" o:spid="_x0000_s1026" o:spt="32" type="#_x0000_t32" style="position:absolute;left:697230;top:786765;height:635;width:288290;" filled="f" stroked="t" coordsize="21600,21600" o:gfxdata="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R2yd4NYAAAAFAQAADwAAAAAA&#10;AAABACAAAAAiAAAAZHJzL2Rvd25yZXYueG1sUEsBAhQAFAAAAAgAh07iQP64Cf4VAgAA/wMAAA4A&#10;AAAAAAAAAQAgAAAAJQEAAGRycy9lMm9Eb2MueG1sUEsFBgAAAAAGAAYAWQEAAKwFAAAAAA==&#10;">
                        <v:fill on="f" focussize="0,0"/>
                        <v:stroke color="#000000" joinstyle="round" endarrow="block"/>
                        <v:imagedata o:title=""/>
                        <o:lock v:ext="edit" aspectratio="f"/>
                      </v:shape>
                      <v:rect id="_x0000_s1026" o:spid="_x0000_s1026" o:spt="1" style="position:absolute;left:989330;top:629285;height:334010;width:506095;" fillcolor="#FFFFFF" filled="t" stroked="t" coordsize="21600,21600" o:gfxdata="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1EGBQ1QAAAAUBAAAPAAAAAAAAAAEAIAAAACIA&#10;AABkcnMvZG93bnJldi54bWxQSwECFAAUAAAACACHTuJArz70DAwCAAA2BAAADgAAAAAAAAABACAA&#10;AAAkAQAAZHJzL2Uyb0RvYy54bWxQSwUGAAAAAAYABgBZAQAAogUAAAAA&#10;">
                        <v:fill on="t" focussize="0,0"/>
                        <v:stroke color="#000000" joinstyle="miter"/>
                        <v:imagedata o:title=""/>
                        <o:lock v:ext="edit" aspectratio="f"/>
                        <v:textbox>
                          <w:txbxContent>
                            <w:p>
                              <w:pPr>
                                <w:jc w:val="center"/>
                              </w:pPr>
                              <w:r>
                                <w:rPr>
                                  <w:rFonts w:hint="eastAsia"/>
                                </w:rPr>
                                <w:t>切割</w:t>
                              </w:r>
                            </w:p>
                          </w:txbxContent>
                        </v:textbox>
                      </v:rect>
                      <v:rect id="_x0000_s1026" o:spid="_x0000_s1026" o:spt="1" style="position:absolute;left:218440;top:629285;height:334010;width:468630;" fillcolor="#FFFFFF" filled="t" stroked="t" coordsize="21600,21600" o:gfxdata="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1EGBQ1QAAAAUBAAAPAAAAAAAAAAEAIAAAACIA&#10;AABkcnMvZG93bnJldi54bWxQSwECFAAUAAAACACHTuJAIMwC4gwCAAA2BAAADgAAAAAAAAABACAA&#10;AAAkAQAAZHJzL2Uyb0RvYy54bWxQSwUGAAAAAAYABgBZAQAAogUAAAAA&#10;">
                        <v:fill on="t" focussize="0,0"/>
                        <v:stroke color="#000000" joinstyle="miter"/>
                        <v:imagedata o:title=""/>
                        <o:lock v:ext="edit" aspectratio="f"/>
                        <v:textbox>
                          <w:txbxContent>
                            <w:p>
                              <w:pPr>
                                <w:jc w:val="center"/>
                              </w:pPr>
                              <w:r>
                                <w:rPr>
                                  <w:rFonts w:hint="eastAsia"/>
                                </w:rPr>
                                <w:t>钢材</w:t>
                              </w:r>
                            </w:p>
                          </w:txbxContent>
                        </v:textbox>
                      </v:rect>
                      <v:shape id="_x0000_s1026" o:spid="_x0000_s1026" o:spt="32" type="#_x0000_t32" style="position:absolute;left:2249805;top:794385;height:635;width:252095;" filled="f" stroked="t" coordsize="21600,21600" o:gfxdata="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R2yd4NYAAAAFAQAADwAAAAAA&#10;AAABACAAAAAiAAAAZHJzL2Rvd25yZXYueG1sUEsBAhQAFAAAAAgAh07iQEYWMrsVAgAAAAQAAA4A&#10;AAAAAAAAAQAgAAAAJQEAAGRycy9lMm9Eb2MueG1sUEsFBgAAAAAGAAYAWQEAAKwFAAAAAA==&#10;">
                        <v:fill on="f" focussize="0,0"/>
                        <v:stroke color="#000000" joinstyle="round" endarrow="block"/>
                        <v:imagedata o:title=""/>
                        <o:lock v:ext="edit" aspectratio="f"/>
                      </v:shape>
                      <v:rect id="_x0000_s1026" o:spid="_x0000_s1026" o:spt="1" style="position:absolute;left:2501900;top:629285;height:334010;width:474980;" fillcolor="#FFFFFF" filled="t" stroked="t" coordsize="21600,21600" o:gfxdata="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9RBgUNUAAAAFAQAADwAAAAAAAAABACAAAAAi&#10;AAAAZHJzL2Rvd25yZXYueG1sUEsBAhQAFAAAAAgAh07iQNd8bE8NAgAANwQAAA4AAAAAAAAAAQAg&#10;AAAAJAEAAGRycy9lMm9Eb2MueG1sUEsFBgAAAAAGAAYAWQEAAKMFAAAAAA==&#10;">
                        <v:fill on="t" focussize="0,0"/>
                        <v:stroke color="#000000" joinstyle="miter"/>
                        <v:imagedata o:title=""/>
                        <o:lock v:ext="edit" aspectratio="f"/>
                        <v:textbox>
                          <w:txbxContent>
                            <w:p>
                              <w:pPr>
                                <w:jc w:val="center"/>
                              </w:pPr>
                              <w:r>
                                <w:rPr>
                                  <w:rFonts w:hint="eastAsia"/>
                                </w:rPr>
                                <w:t>抛光</w:t>
                              </w:r>
                            </w:p>
                          </w:txbxContent>
                        </v:textbox>
                      </v:rect>
                      <v:rect id="_x0000_s1026" o:spid="_x0000_s1026" o:spt="1" style="position:absolute;left:3245485;top:629285;height:334010;width:474980;" fillcolor="#FFFFFF" filled="t" stroked="t" coordsize="21600,21600" o:gfxdata="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1EGBQ1QAAAAUBAAAPAAAAAAAAAAEAIAAAACIA&#10;AABkcnMvZG93bnJldi54bWxQSwECFAAUAAAACACHTuJAO7UcnAwCAAA3BAAADgAAAAAAAAABACAA&#10;AAAkAQAAZHJzL2Uyb0RvYy54bWxQSwUGAAAAAAYABgBZAQAAogUAAAAA&#10;">
                        <v:fill on="t" focussize="0,0"/>
                        <v:stroke color="#000000" joinstyle="miter"/>
                        <v:imagedata o:title=""/>
                        <o:lock v:ext="edit" aspectratio="f"/>
                        <v:textbox>
                          <w:txbxContent>
                            <w:p>
                              <w:pPr>
                                <w:jc w:val="center"/>
                              </w:pPr>
                              <w:r>
                                <w:rPr>
                                  <w:rFonts w:hint="eastAsia"/>
                                </w:rPr>
                                <w:t>组装</w:t>
                              </w:r>
                            </w:p>
                          </w:txbxContent>
                        </v:textbox>
                      </v:rect>
                      <v:shape id="_x0000_s1026" o:spid="_x0000_s1026" o:spt="32" type="#_x0000_t32" style="position:absolute;left:2991485;top:793115;height:635;width:252095;" filled="f" stroked="t" coordsize="21600,21600" o:gfxdata="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R2yd4NYAAAAFAQAADwAAAAAA&#10;AAABACAAAAAiAAAAZHJzL2Rvd25yZXYueG1sUEsBAhQAFAAAAAgAh07iQGjdBZcVAgAAAAQAAA4A&#10;AAAAAAAAAQAgAAAAJQEAAGRycy9lMm9Eb2MueG1sUEsFBgAAAAAGAAYAWQEAAKwFAAAAAA==&#10;">
                        <v:fill on="f" focussize="0,0"/>
                        <v:stroke color="#000000" joinstyle="round" endarrow="block"/>
                        <v:imagedata o:title=""/>
                        <o:lock v:ext="edit" aspectratio="f"/>
                      </v:shape>
                      <v:group id="_x0000_s1026" o:spid="_x0000_s1026" o:spt="203" style="position:absolute;left:963930;top:33020;height:585470;width:565150;" coordorigin="7778,5090" coordsize="890,922" o:gfxdata="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">
                        <o:lock v:ext="edit" aspectratio="f"/>
                        <v:shape id="_x0000_s1026" o:spid="_x0000_s1026" o:spt="32" type="#_x0000_t32" style="position:absolute;left:8210;top:5615;flip:y;height:397;width:1;" filled="f" stroked="t" coordsize="21600,21600" o:gfxdata="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0x83vQAA&#10;ANwAAAAPAAAAAAAAAAEAIAAAACIAAABkcnMvZG93bnJldi54bWxQSwECFAAUAAAACACHTuJAMy8F&#10;njsAAAA5AAAAEAAAAAAAAAABACAAAAAMAQAAZHJzL3NoYXBleG1sLnhtbFBLBQYAAAAABgAGAFsB&#10;AAC2AwAAAAA=&#10;">
                          <v:fill on="f" focussize="0,0"/>
                          <v:stroke color="#000000" joinstyle="round" dashstyle="1 1" endcap="round" endarrow="block"/>
                          <v:imagedata o:title=""/>
                          <o:lock v:ext="edit" aspectratio="f"/>
                        </v:shape>
                        <v:rect id="_x0000_s1026" o:spid="_x0000_s1026" o:spt="1" style="position:absolute;left:7778;top:5090;height:526;width:890;" fillcolor="#FFFFFF" filled="t" stroked="t" coordsize="21600,21600" o:gfxdata="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AAjILsAAADc&#10;AAAADwAAAAAAAAABACAAAAAiAAAAZHJzL2Rvd25yZXYueG1sUEsBAhQAFAAAAAgAh07iQDMvBZ47&#10;AAAAOQAAABAAAAAAAAAAAQAgAAAACgEAAGRycy9zaGFwZXhtbC54bWxQSwUGAAAAAAYABgBbAQAA&#10;tAMAAAAA&#10;">
                          <v:fill on="t" focussize="0,0"/>
                          <v:stroke color="#000000" joinstyle="miter" dashstyle="1 1" endcap="round"/>
                          <v:imagedata o:title=""/>
                          <o:lock v:ext="edit" aspectratio="f"/>
                          <v:textbox>
                            <w:txbxContent>
                              <w:p>
                                <w:pPr>
                                  <w:jc w:val="center"/>
                                </w:pPr>
                                <w:r>
                                  <w:rPr>
                                    <w:rFonts w:hint="eastAsia"/>
                                  </w:rPr>
                                  <w:t>废气</w:t>
                                </w:r>
                              </w:p>
                              <w:p/>
                            </w:txbxContent>
                          </v:textbox>
                        </v:rect>
                      </v:group>
                      <v:rect id="_x0000_s1026" o:spid="_x0000_s1026" o:spt="1" style="position:absolute;left:4011295;top:629285;height:334010;width:474980;" fillcolor="#FFFFFF" filled="t" stroked="t" coordsize="21600,21600" o:gfxdata="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1EGBQ1QAAAAUBAAAPAAAAAAAAAAEAIAAA&#10;ACIAAABkcnMvZG93bnJldi54bWxQSwECFAAUAAAACACHTuJA4yL1mQ8CAAA3BAAADgAAAAAAAAAB&#10;ACAAAAAkAQAAZHJzL2Uyb0RvYy54bWxQSwUGAAAAAAYABgBZAQAApQUAAAAA&#10;">
                        <v:fill on="t" focussize="0,0"/>
                        <v:stroke color="#000000" joinstyle="miter"/>
                        <v:imagedata o:title=""/>
                        <o:lock v:ext="edit" aspectratio="f"/>
                        <v:textbox>
                          <w:txbxContent>
                            <w:p>
                              <w:pPr>
                                <w:jc w:val="center"/>
                              </w:pPr>
                              <w:r>
                                <w:rPr>
                                  <w:rFonts w:hint="eastAsia"/>
                                </w:rPr>
                                <w:t>模具</w:t>
                              </w:r>
                            </w:p>
                          </w:txbxContent>
                        </v:textbox>
                      </v:rect>
                      <v:shape id="_x0000_s1026" o:spid="_x0000_s1026" o:spt="32" type="#_x0000_t32" style="position:absolute;left:3720465;top:796290;height:635;width:290830;" filled="f" stroked="t" coordsize="21600,21600" o:gfxdata="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dsneDWAAAABQEAAA8AAAAAAAAA&#10;AQAgAAAAIgAAAGRycy9kb3ducmV2LnhtbFBLAQIUABQAAAAIAIdO4kAryAo3EwIAAAAEAAAOAAAA&#10;AAAAAAEAIAAAACUBAABkcnMvZTJvRG9jLnhtbFBLBQYAAAAABgAGAFkBAACqBQAAAAA=&#10;">
                        <v:fill on="f" focussize="0,0"/>
                        <v:stroke color="#000000" joinstyle="round" endarrow="block"/>
                        <v:imagedata o:title=""/>
                        <o:lock v:ext="edit" aspectratio="f"/>
                      </v:shape>
                      <v:group id="_x0000_s1026" o:spid="_x0000_s1026" o:spt="203" style="position:absolute;left:1727200;top:33020;height:585470;width:565150;" coordorigin="7778,5090" coordsize="890,922" o:gfxdata="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">
                        <o:lock v:ext="edit" aspectratio="f"/>
                        <v:shape id="_x0000_s1026" o:spid="_x0000_s1026" o:spt="32" type="#_x0000_t32" style="position:absolute;left:8210;top:5615;flip:y;height:397;width:1;" filled="f" stroked="t" coordsize="21600,21600" o:gfxdata="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QhtH+7gAAADcAAAA&#10;DwAAAAAAAAABACAAAAAiAAAAZHJzL2Rvd25yZXYueG1sUEsBAhQAFAAAAAgAh07iQDMvBZ47AAAA&#10;OQAAABAAAAAAAAAAAQAgAAAABwEAAGRycy9zaGFwZXhtbC54bWxQSwUGAAAAAAYABgBbAQAAsQMA&#10;AAAA&#10;">
                          <v:fill on="f" focussize="0,0"/>
                          <v:stroke color="#000000" joinstyle="round" dashstyle="1 1" endcap="round" endarrow="block"/>
                          <v:imagedata o:title=""/>
                          <o:lock v:ext="edit" aspectratio="f"/>
                        </v:shape>
                        <v:rect id="_x0000_s1026" o:spid="_x0000_s1026" o:spt="1" style="position:absolute;left:7778;top:5090;height:526;width:890;" fillcolor="#FFFFFF" filled="t" stroked="t" coordsize="21600,21600" o:gfxdata="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4bUYDvQAA&#10;ANwAAAAPAAAAAAAAAAEAIAAAACIAAABkcnMvZG93bnJldi54bWxQSwECFAAUAAAACACHTuJAMy8F&#10;njsAAAA5AAAAEAAAAAAAAAABACAAAAAMAQAAZHJzL3NoYXBleG1sLnhtbFBLBQYAAAAABgAGAFsB&#10;AAC2AwAAAAA=&#10;">
                          <v:fill on="t" focussize="0,0"/>
                          <v:stroke color="#000000" joinstyle="miter" dashstyle="1 1" endcap="round"/>
                          <v:imagedata o:title=""/>
                          <o:lock v:ext="edit" aspectratio="f"/>
                          <v:textbox>
                            <w:txbxContent>
                              <w:p>
                                <w:pPr>
                                  <w:jc w:val="center"/>
                                </w:pPr>
                                <w:r>
                                  <w:rPr>
                                    <w:rFonts w:hint="eastAsia"/>
                                  </w:rPr>
                                  <w:t>废气</w:t>
                                </w:r>
                              </w:p>
                              <w:p/>
                            </w:txbxContent>
                          </v:textbox>
                        </v:rect>
                      </v:group>
                      <v:group id="_x0000_s1026" o:spid="_x0000_s1026" o:spt="203" style="position:absolute;left:2468880;top:33020;height:585470;width:565150;" coordorigin="7778,5090" coordsize="890,922" o:gfxdata="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">
                        <o:lock v:ext="edit" aspectratio="f"/>
                        <v:shape id="_x0000_s1026" o:spid="_x0000_s1026" o:spt="32" type="#_x0000_t32" style="position:absolute;left:8210;top:5615;flip:y;height:397;width:1;" filled="f" stroked="t" coordsize="21600,21600" o:gfxdata="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SbORjugAAANwA&#10;AAAPAAAAAAAAAAEAIAAAACIAAABkcnMvZG93bnJldi54bWxQSwECFAAUAAAACACHTuJAMy8FnjsA&#10;AAA5AAAAEAAAAAAAAAABACAAAAAJAQAAZHJzL3NoYXBleG1sLnhtbFBLBQYAAAAABgAGAFsBAACz&#10;AwAAAAA=&#10;">
                          <v:fill on="f" focussize="0,0"/>
                          <v:stroke color="#000000" joinstyle="round" dashstyle="1 1" endcap="round" endarrow="block"/>
                          <v:imagedata o:title=""/>
                          <o:lock v:ext="edit" aspectratio="f"/>
                        </v:shape>
                        <v:rect id="_x0000_s1026" o:spid="_x0000_s1026" o:spt="1" style="position:absolute;left:7778;top:5090;height:526;width:890;" fillcolor="#FFFFFF" filled="t" stroked="t" coordsize="21600,21600" o:gfxdata="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i/2HS8AAAA&#10;3AAAAA8AAAAAAAAAAQAgAAAAIgAAAGRycy9kb3ducmV2LnhtbFBLAQIUABQAAAAIAIdO4kAzLwWe&#10;OwAAADkAAAAQAAAAAAAAAAEAIAAAAAsBAABkcnMvc2hhcGV4bWwueG1sUEsFBgAAAAAGAAYAWwEA&#10;ALUDAAAAAA==&#10;">
                          <v:fill on="t" focussize="0,0"/>
                          <v:stroke color="#000000" joinstyle="miter" dashstyle="1 1" endcap="round"/>
                          <v:imagedata o:title=""/>
                          <o:lock v:ext="edit" aspectratio="f"/>
                          <v:textbox>
                            <w:txbxContent>
                              <w:p>
                                <w:pPr>
                                  <w:jc w:val="center"/>
                                </w:pPr>
                                <w:r>
                                  <w:rPr>
                                    <w:rFonts w:hint="eastAsia"/>
                                  </w:rPr>
                                  <w:t>废气</w:t>
                                </w:r>
                              </w:p>
                              <w:p/>
                            </w:txbxContent>
                          </v:textbox>
                        </v:rect>
                      </v:group>
                      <w10:wrap type="none"/>
                      <w10:anchorlock/>
                    </v:group>
                  </w:pict>
                </mc:Fallback>
              </mc:AlternateContent>
            </w:r>
          </w:p>
          <w:p>
            <w:pPr>
              <w:pStyle w:val="21"/>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图</w:t>
            </w: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3模具</w:t>
            </w:r>
            <w:r>
              <w:rPr>
                <w:rFonts w:hint="default" w:ascii="Times New Roman" w:hAnsi="Times New Roman" w:eastAsia="宋体" w:cs="Times New Roman"/>
                <w:b/>
                <w:bCs/>
                <w:color w:val="000000" w:themeColor="text1"/>
                <w:sz w:val="21"/>
                <w:szCs w:val="21"/>
                <w:lang w:eastAsia="zh-CN"/>
                <w14:textFill>
                  <w14:solidFill>
                    <w14:schemeClr w14:val="tx1"/>
                  </w14:solidFill>
                </w14:textFill>
              </w:rPr>
              <w:t>线</w:t>
            </w:r>
            <w:r>
              <w:rPr>
                <w:rFonts w:hint="default" w:ascii="Times New Roman" w:hAnsi="Times New Roman" w:eastAsia="宋体" w:cs="Times New Roman"/>
                <w:b/>
                <w:bCs/>
                <w:color w:val="000000" w:themeColor="text1"/>
                <w:sz w:val="21"/>
                <w:szCs w:val="21"/>
                <w14:textFill>
                  <w14:solidFill>
                    <w14:schemeClr w14:val="tx1"/>
                  </w14:solidFill>
                </w14:textFill>
              </w:rPr>
              <w:t>工艺流程及产污环节图</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000000"/>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Times New Roman"/>
                <w:b/>
                <w:bCs/>
              </w:rPr>
            </w:pPr>
            <w:r>
              <w:rPr>
                <w:rFonts w:hint="default" w:ascii="Times New Roman" w:hAnsi="Times New Roman" w:eastAsia="宋体" w:cs="Times New Roman"/>
                <w:b/>
                <w:bCs/>
                <w:color w:val="000000"/>
                <w:kern w:val="0"/>
                <w:sz w:val="24"/>
                <w:szCs w:val="24"/>
                <w:lang w:val="en-US" w:eastAsia="zh-CN" w:bidi="ar"/>
              </w:rPr>
              <w:t>生产线产污流程说明</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sz w:val="24"/>
                <w:szCs w:val="24"/>
              </w:rPr>
              <w:t>外购的钢材通过切割、钻铣以及抛光等机加工工序进行组装即为模具，外购的塑料米利用挤出机进行熔融后倒入模具中（挤出机温度设定为120℃，设定温度未达到各塑料原料的热分解温度，因此挤出过程产生的有机废气以非甲烷总烃计），冷却后进行裁切即为各式各样的成品塑料零部件。</w:t>
            </w:r>
          </w:p>
          <w:p>
            <w:pPr>
              <w:pStyle w:val="4"/>
              <w:widowControl w:val="0"/>
              <w:spacing w:line="415" w:lineRule="auto"/>
              <w:ind w:firstLine="450" w:firstLineChars="200"/>
              <w:jc w:val="both"/>
              <w:outlineLvl w:val="1"/>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pacing w:val="-8"/>
                <w:kern w:val="0"/>
                <w:sz w:val="24"/>
                <w:szCs w:val="24"/>
                <w14:textFill>
                  <w14:solidFill>
                    <w14:schemeClr w14:val="tx1"/>
                  </w14:solidFill>
                </w14:textFill>
              </w:rPr>
              <w:t>7、不符合验收情形统计</w:t>
            </w:r>
            <w:bookmarkEnd w:id="0"/>
          </w:p>
          <w:p>
            <w:pPr>
              <w:widowControl/>
              <w:spacing w:line="360" w:lineRule="auto"/>
              <w:ind w:firstLine="480" w:firstLineChars="200"/>
              <w:jc w:val="both"/>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根据项目实际建设情况，经过与《建设项目竣工环境保护验收暂行办法》第八条逐一对照，最终得出结论：本项目不存在《建设项目竣工环境保护验收暂行办法》（以下简称《办法》）第八条规定的验收不合格情形。本项目实际建设情况与《办法》第八条规定详细对比情况见下表2-</w:t>
            </w:r>
            <w:r>
              <w:rPr>
                <w:rFonts w:hint="default" w:ascii="Times New Roman" w:hAnsi="Times New Roman" w:eastAsia="宋体" w:cs="Times New Roman"/>
                <w:color w:val="000000" w:themeColor="text1"/>
                <w:sz w:val="24"/>
                <w:lang w:val="en-US" w:eastAsia="zh-CN"/>
                <w14:textFill>
                  <w14:solidFill>
                    <w14:schemeClr w14:val="tx1"/>
                  </w14:solidFill>
                </w14:textFill>
              </w:rPr>
              <w:t>4</w:t>
            </w:r>
            <w:r>
              <w:rPr>
                <w:rFonts w:hint="default" w:ascii="Times New Roman" w:hAnsi="Times New Roman" w:eastAsia="宋体" w:cs="Times New Roman"/>
                <w:color w:val="000000" w:themeColor="text1"/>
                <w:sz w:val="24"/>
                <w14:textFill>
                  <w14:solidFill>
                    <w14:schemeClr w14:val="tx1"/>
                  </w14:solidFill>
                </w14:textFill>
              </w:rPr>
              <w:t>。</w:t>
            </w:r>
          </w:p>
          <w:p>
            <w:pPr>
              <w:pStyle w:val="21"/>
              <w:widowControl w:val="0"/>
              <w:jc w:val="both"/>
              <w:rPr>
                <w:rFonts w:hint="default" w:ascii="Times New Roman" w:hAnsi="Times New Roman" w:eastAsia="宋体" w:cs="Times New Roman"/>
              </w:rPr>
            </w:pPr>
          </w:p>
          <w:p>
            <w:pPr>
              <w:pStyle w:val="45"/>
              <w:widowControl w:val="0"/>
              <w:spacing w:beforeLines="0" w:afterLines="0"/>
              <w:ind w:firstLine="422" w:firstLineChars="20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表2-</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14:textFill>
                  <w14:solidFill>
                    <w14:schemeClr w14:val="tx1"/>
                  </w14:solidFill>
                </w14:textFill>
              </w:rPr>
              <w:t>项目与《建设项目竣工环境保护验收暂行办法》第八条规定对照情况一览表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3416"/>
              <w:gridCol w:w="3742"/>
              <w:gridCol w:w="1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序号</w:t>
                  </w:r>
                </w:p>
              </w:tc>
              <w:tc>
                <w:tcPr>
                  <w:tcW w:w="1951" w:type="pct"/>
                  <w:vAlign w:val="center"/>
                </w:tcPr>
                <w:p>
                  <w:pPr>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《办法》规定不得提出验收合格意见的情形</w:t>
                  </w:r>
                </w:p>
              </w:tc>
              <w:tc>
                <w:tcPr>
                  <w:tcW w:w="2137" w:type="pct"/>
                  <w:vAlign w:val="center"/>
                </w:tcPr>
                <w:p>
                  <w:pPr>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本项目实际建设情况</w:t>
                  </w:r>
                </w:p>
              </w:tc>
              <w:tc>
                <w:tcPr>
                  <w:tcW w:w="668" w:type="pct"/>
                  <w:vAlign w:val="center"/>
                </w:tcPr>
                <w:p>
                  <w:pPr>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是否存在不符合验收情形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951" w:type="pct"/>
                  <w:vAlign w:val="center"/>
                </w:tcPr>
                <w:p>
                  <w:pPr>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未按环境影响报告书（表）及其审批部门审批决定要求建成环境保护设施，或者环境保护设施不能与主体工程同时投产或者使用的；</w:t>
                  </w:r>
                </w:p>
              </w:tc>
              <w:tc>
                <w:tcPr>
                  <w:tcW w:w="2137" w:type="pct"/>
                  <w:vAlign w:val="center"/>
                </w:tcPr>
                <w:p>
                  <w:pPr>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项目按照建设项目环评及环评批复同时设计和建设了生活污水、废气、噪声、固废等污染防治设施，并同时投入试生产；</w:t>
                  </w:r>
                </w:p>
              </w:tc>
              <w:tc>
                <w:tcPr>
                  <w:tcW w:w="668" w:type="pct"/>
                  <w:vAlign w:val="center"/>
                </w:tcPr>
                <w:p>
                  <w:pPr>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1951" w:type="pct"/>
                  <w:vAlign w:val="center"/>
                </w:tcPr>
                <w:p>
                  <w:pPr>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污染物排放不符合国家和地方相关标准、环境影响报告书（表）及其审批部门审批决定或者重点污染物排放总量控制指标要求的；</w:t>
                  </w:r>
                </w:p>
              </w:tc>
              <w:tc>
                <w:tcPr>
                  <w:tcW w:w="2137" w:type="pct"/>
                  <w:vAlign w:val="center"/>
                </w:tcPr>
                <w:p>
                  <w:pPr>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根据监测结果，项目</w:t>
                  </w:r>
                  <w:r>
                    <w:rPr>
                      <w:rFonts w:hint="default" w:ascii="Times New Roman" w:hAnsi="Times New Roman" w:eastAsia="宋体" w:cs="Times New Roman"/>
                      <w:color w:val="000000" w:themeColor="text1"/>
                      <w:sz w:val="21"/>
                      <w:szCs w:val="21"/>
                      <w:lang w:eastAsia="zh-CN"/>
                      <w14:textFill>
                        <w14:solidFill>
                          <w14:schemeClr w14:val="tx1"/>
                        </w14:solidFill>
                      </w14:textFill>
                    </w:rPr>
                    <w:t>废水</w:t>
                  </w:r>
                  <w:r>
                    <w:rPr>
                      <w:rFonts w:hint="default" w:ascii="Times New Roman" w:hAnsi="Times New Roman" w:eastAsia="宋体" w:cs="Times New Roman"/>
                      <w:color w:val="000000" w:themeColor="text1"/>
                      <w:sz w:val="21"/>
                      <w:szCs w:val="21"/>
                      <w14:textFill>
                        <w14:solidFill>
                          <w14:schemeClr w14:val="tx1"/>
                        </w14:solidFill>
                      </w14:textFill>
                    </w:rPr>
                    <w:t>、废气、噪声监测结果均符合相关标准要求；</w:t>
                  </w:r>
                </w:p>
              </w:tc>
              <w:tc>
                <w:tcPr>
                  <w:tcW w:w="668" w:type="pct"/>
                  <w:vAlign w:val="center"/>
                </w:tcPr>
                <w:p>
                  <w:pPr>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1951" w:type="pct"/>
                  <w:vAlign w:val="center"/>
                </w:tcPr>
                <w:p>
                  <w:pPr>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影响报告书（表）经批准后，该建设项目的性质、规模、地点、采用的生产工艺或者防治污染、防止生态破坏的措施发生重大变动，建设单位未重新报批环境影响报告书（表）或者环境影响报告书（表）未经批准的；</w:t>
                  </w:r>
                </w:p>
              </w:tc>
              <w:tc>
                <w:tcPr>
                  <w:tcW w:w="2137" w:type="pct"/>
                  <w:vAlign w:val="center"/>
                </w:tcPr>
                <w:p>
                  <w:pPr>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本项目性质、规模、地点、采用的生产工艺和防治污染、防止生态破坏的措施均未发生重大变动。</w:t>
                  </w:r>
                </w:p>
              </w:tc>
              <w:tc>
                <w:tcPr>
                  <w:tcW w:w="668" w:type="pct"/>
                  <w:vAlign w:val="center"/>
                </w:tcPr>
                <w:p>
                  <w:pPr>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w:t>
                  </w:r>
                </w:p>
              </w:tc>
              <w:tc>
                <w:tcPr>
                  <w:tcW w:w="1951" w:type="pct"/>
                  <w:vAlign w:val="center"/>
                </w:tcPr>
                <w:p>
                  <w:pPr>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建设过程中造成重大环境污染未治理完成，或者造成重大生态破坏未恢复的；</w:t>
                  </w:r>
                </w:p>
              </w:tc>
              <w:tc>
                <w:tcPr>
                  <w:tcW w:w="2137" w:type="pct"/>
                  <w:vAlign w:val="center"/>
                </w:tcPr>
                <w:p>
                  <w:pPr>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项目建设过程中未造成重大环境污染，未造成重大生态破坏；</w:t>
                  </w:r>
                </w:p>
              </w:tc>
              <w:tc>
                <w:tcPr>
                  <w:tcW w:w="668" w:type="pct"/>
                  <w:vAlign w:val="center"/>
                </w:tcPr>
                <w:p>
                  <w:pPr>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w:t>
                  </w:r>
                </w:p>
              </w:tc>
              <w:tc>
                <w:tcPr>
                  <w:tcW w:w="1951" w:type="pct"/>
                  <w:vAlign w:val="center"/>
                </w:tcPr>
                <w:p>
                  <w:pPr>
                    <w:spacing w:line="240" w:lineRule="auto"/>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纳入排污许可管理的建设项目，无证排污或者不按证排污的；</w:t>
                  </w:r>
                </w:p>
              </w:tc>
              <w:tc>
                <w:tcPr>
                  <w:tcW w:w="2137" w:type="pct"/>
                  <w:vAlign w:val="center"/>
                </w:tcPr>
                <w:p>
                  <w:pPr>
                    <w:keepNext w:val="0"/>
                    <w:keepLines w:val="0"/>
                    <w:pageBreakBefore w:val="0"/>
                    <w:widowControl/>
                    <w:kinsoku/>
                    <w:wordWrap w:val="0"/>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本司已于2022年04月25日取得排污许可证登记证登记编号为（91350625MA8UR0E48T001X）.</w:t>
                  </w:r>
                </w:p>
              </w:tc>
              <w:tc>
                <w:tcPr>
                  <w:tcW w:w="668" w:type="pct"/>
                  <w:vAlign w:val="center"/>
                </w:tcPr>
                <w:p>
                  <w:pPr>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w:t>
                  </w:r>
                </w:p>
              </w:tc>
              <w:tc>
                <w:tcPr>
                  <w:tcW w:w="1951" w:type="pct"/>
                  <w:vAlign w:val="center"/>
                </w:tcPr>
                <w:p>
                  <w:pPr>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分期建设、分期投入生产或者使用依法应当分期验收的建设项目，其分期建设、分期投入生产或者使用的环境保护设施防治环境污染和生态破坏的能力不能满足其相应主体工程需要的；</w:t>
                  </w:r>
                </w:p>
              </w:tc>
              <w:tc>
                <w:tcPr>
                  <w:tcW w:w="2137" w:type="pct"/>
                  <w:vAlign w:val="center"/>
                </w:tcPr>
                <w:p>
                  <w:pPr>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根据验收监测结果，项目配套建设的环境保护设施防治环境污染和生态破坏的能力可以满足主体工程需要；</w:t>
                  </w:r>
                </w:p>
              </w:tc>
              <w:tc>
                <w:tcPr>
                  <w:tcW w:w="668" w:type="pct"/>
                  <w:vAlign w:val="center"/>
                </w:tcPr>
                <w:p>
                  <w:pPr>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7</w:t>
                  </w:r>
                </w:p>
              </w:tc>
              <w:tc>
                <w:tcPr>
                  <w:tcW w:w="1951" w:type="pct"/>
                  <w:vAlign w:val="center"/>
                </w:tcPr>
                <w:p>
                  <w:pPr>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建设单位因该建设项目违反国家和地方环境保护法律法规受到处罚，被责令改正，尚未改正完成的；</w:t>
                  </w:r>
                </w:p>
              </w:tc>
              <w:tc>
                <w:tcPr>
                  <w:tcW w:w="2137" w:type="pct"/>
                  <w:vAlign w:val="center"/>
                </w:tcPr>
                <w:p>
                  <w:pPr>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该建设项目未违反国家和地方环境保护法律法规，未受到处罚；</w:t>
                  </w:r>
                </w:p>
              </w:tc>
              <w:tc>
                <w:tcPr>
                  <w:tcW w:w="668" w:type="pct"/>
                  <w:vAlign w:val="center"/>
                </w:tcPr>
                <w:p>
                  <w:pPr>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8</w:t>
                  </w:r>
                </w:p>
              </w:tc>
              <w:tc>
                <w:tcPr>
                  <w:tcW w:w="1951" w:type="pct"/>
                  <w:vAlign w:val="center"/>
                </w:tcPr>
                <w:p>
                  <w:pPr>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验收报告的基础资料数据明显不实，内容存在重大缺项、遗漏，或者验收结论不明确、不合理的；</w:t>
                  </w:r>
                </w:p>
              </w:tc>
              <w:tc>
                <w:tcPr>
                  <w:tcW w:w="2137" w:type="pct"/>
                  <w:vAlign w:val="center"/>
                </w:tcPr>
                <w:p>
                  <w:pPr>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验收报告的基础资料来自企业提供以及</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福建绿家检测技术有限公司</w:t>
                  </w:r>
                  <w:r>
                    <w:rPr>
                      <w:rFonts w:hint="default" w:ascii="Times New Roman" w:hAnsi="Times New Roman" w:eastAsia="宋体" w:cs="Times New Roman"/>
                      <w:color w:val="000000" w:themeColor="text1"/>
                      <w:sz w:val="21"/>
                      <w:szCs w:val="21"/>
                      <w14:textFill>
                        <w14:solidFill>
                          <w14:schemeClr w14:val="tx1"/>
                        </w14:solidFill>
                      </w14:textFill>
                    </w:rPr>
                    <w:t>采样检测所得数据，报告内容无重大缺项或遗漏，验收结论明确、合理；</w:t>
                  </w:r>
                </w:p>
              </w:tc>
              <w:tc>
                <w:tcPr>
                  <w:tcW w:w="668" w:type="pct"/>
                  <w:vAlign w:val="center"/>
                </w:tcPr>
                <w:p>
                  <w:pPr>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9</w:t>
                  </w:r>
                </w:p>
              </w:tc>
              <w:tc>
                <w:tcPr>
                  <w:tcW w:w="1951" w:type="pct"/>
                  <w:vAlign w:val="center"/>
                </w:tcPr>
                <w:p>
                  <w:pPr>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其他环境保护法律法规规章等规定不得通过环境保护验收的。</w:t>
                  </w:r>
                </w:p>
              </w:tc>
              <w:tc>
                <w:tcPr>
                  <w:tcW w:w="2137" w:type="pct"/>
                  <w:vAlign w:val="center"/>
                </w:tcPr>
                <w:p>
                  <w:pPr>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项目不存在其他环境保护法律法规规章等规定不得通过环境保护验收的。</w:t>
                  </w:r>
                </w:p>
              </w:tc>
              <w:tc>
                <w:tcPr>
                  <w:tcW w:w="668" w:type="pct"/>
                  <w:vAlign w:val="center"/>
                </w:tcPr>
                <w:p>
                  <w:pPr>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否</w:t>
                  </w:r>
                </w:p>
              </w:tc>
            </w:tr>
          </w:tbl>
          <w:p>
            <w:pPr>
              <w:pStyle w:val="2"/>
              <w:widowControl w:val="0"/>
              <w:jc w:val="left"/>
              <w:rPr>
                <w:rFonts w:hint="default" w:ascii="Times New Roman" w:hAnsi="Times New Roman" w:eastAsia="宋体" w:cs="Times New Roman"/>
                <w:color w:val="0000FF"/>
              </w:rPr>
            </w:pPr>
          </w:p>
        </w:tc>
      </w:tr>
    </w:tbl>
    <w:p>
      <w:pPr>
        <w:spacing w:line="360" w:lineRule="auto"/>
        <w:outlineLvl w:val="0"/>
        <w:rPr>
          <w:rFonts w:hint="default" w:ascii="Times New Roman" w:hAnsi="Times New Roman" w:eastAsia="宋体" w:cs="Times New Roman"/>
          <w:b/>
          <w:color w:val="0000FF"/>
          <w:sz w:val="21"/>
          <w:szCs w:val="21"/>
        </w:rPr>
      </w:pPr>
    </w:p>
    <w:p>
      <w:pPr>
        <w:keepNext w:val="0"/>
        <w:keepLines w:val="0"/>
        <w:pageBreakBefore w:val="0"/>
        <w:widowControl/>
        <w:kinsoku/>
        <w:wordWrap/>
        <w:overflowPunct/>
        <w:topLinePunct w:val="0"/>
        <w:autoSpaceDE/>
        <w:autoSpaceDN/>
        <w:bidi w:val="0"/>
        <w:adjustRightInd w:val="0"/>
        <w:snapToGrid w:val="0"/>
        <w:spacing w:line="240" w:lineRule="auto"/>
        <w:textAlignment w:val="auto"/>
        <w:outlineLvl w:val="0"/>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表三</w:t>
      </w:r>
    </w:p>
    <w:tbl>
      <w:tblPr>
        <w:tblStyle w:val="23"/>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02" w:hRule="atLeast"/>
        </w:trPr>
        <w:tc>
          <w:tcPr>
            <w:tcW w:w="8522" w:type="dxa"/>
          </w:tcPr>
          <w:p>
            <w:pPr>
              <w:widowControl/>
              <w:numPr>
                <w:ilvl w:val="255"/>
                <w:numId w:val="0"/>
              </w:numPr>
              <w:spacing w:line="360" w:lineRule="auto"/>
              <w:jc w:val="left"/>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主要污染源、污染物处理和排放：</w:t>
            </w:r>
          </w:p>
          <w:p>
            <w:pPr>
              <w:keepNext w:val="0"/>
              <w:keepLines w:val="0"/>
              <w:pageBreakBefore w:val="0"/>
              <w:widowControl/>
              <w:numPr>
                <w:ilvl w:val="0"/>
                <w:numId w:val="4"/>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rPr>
              <w:t>废水：</w:t>
            </w:r>
            <w:r>
              <w:rPr>
                <w:rFonts w:hint="default" w:ascii="Times New Roman" w:hAnsi="Times New Roman" w:eastAsia="宋体" w:cs="Times New Roman"/>
                <w:sz w:val="24"/>
                <w:szCs w:val="24"/>
                <w:lang w:eastAsia="zh-CN"/>
              </w:rPr>
              <w:t>本项目生产过程中无生产废水排放，生产废水经过沉淀冷却后回用于生产，不排放。外排废水主要为职工生活污水，生活污水经过三级化粪池处理后排入市政污水管网，最终排入长泰县东区污水处理厂进行深度处理。</w:t>
            </w:r>
          </w:p>
          <w:p>
            <w:pPr>
              <w:pStyle w:val="21"/>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Chars="0" w:firstLine="448"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废气：本项目产生的废气主要有模具生产过程中切割、钻铣、抛光过程产生的粉尘，由于这些粉尘均为金属粉尘，颗粒较大，直接成降在车间内部。项目在挤出过程中由于加热，塑料原料受热会释放出一定的有机废气，以非甲烷总烃计。这些废气分别经过两套活性炭吸附装置处理后，通过一根不低于15米的排气筒高空排放。</w:t>
            </w:r>
          </w:p>
          <w:tbl>
            <w:tblPr>
              <w:tblStyle w:val="23"/>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51"/>
              <w:gridCol w:w="415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51" w:type="dxa"/>
                </w:tcPr>
                <w:p>
                  <w:pPr>
                    <w:pStyle w:val="21"/>
                    <w:keepNext w:val="0"/>
                    <w:keepLines w:val="0"/>
                    <w:pageBreakBefore w:val="0"/>
                    <w:widowControl/>
                    <w:numPr>
                      <w:ilvl w:val="0"/>
                      <w:numId w:val="0"/>
                    </w:numPr>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drawing>
                      <wp:inline distT="0" distB="0" distL="114300" distR="114300">
                        <wp:extent cx="2487295" cy="2487295"/>
                        <wp:effectExtent l="0" t="0" r="8255" b="8255"/>
                        <wp:docPr id="170" name="图片 170" descr="fe5ec912e25090dcb08626b89b334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fe5ec912e25090dcb08626b89b334fe"/>
                                <pic:cNvPicPr>
                                  <a:picLocks noChangeAspect="1"/>
                                </pic:cNvPicPr>
                              </pic:nvPicPr>
                              <pic:blipFill>
                                <a:blip r:embed="rId11"/>
                                <a:stretch>
                                  <a:fillRect/>
                                </a:stretch>
                              </pic:blipFill>
                              <pic:spPr>
                                <a:xfrm>
                                  <a:off x="0" y="0"/>
                                  <a:ext cx="2487295" cy="2487295"/>
                                </a:xfrm>
                                <a:prstGeom prst="rect">
                                  <a:avLst/>
                                </a:prstGeom>
                              </pic:spPr>
                            </pic:pic>
                          </a:graphicData>
                        </a:graphic>
                      </wp:inline>
                    </w:drawing>
                  </w:r>
                </w:p>
                <w:p>
                  <w:pPr>
                    <w:pStyle w:val="21"/>
                    <w:keepNext w:val="0"/>
                    <w:keepLines w:val="0"/>
                    <w:pageBreakBefore w:val="0"/>
                    <w:widowControl/>
                    <w:numPr>
                      <w:ilvl w:val="0"/>
                      <w:numId w:val="0"/>
                    </w:numPr>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图1  1#活性炭吸附装置</w:t>
                  </w:r>
                </w:p>
              </w:tc>
              <w:tc>
                <w:tcPr>
                  <w:tcW w:w="4151" w:type="dxa"/>
                </w:tcPr>
                <w:p>
                  <w:pPr>
                    <w:pStyle w:val="21"/>
                    <w:keepNext w:val="0"/>
                    <w:keepLines w:val="0"/>
                    <w:pageBreakBefore w:val="0"/>
                    <w:widowControl/>
                    <w:numPr>
                      <w:ilvl w:val="0"/>
                      <w:numId w:val="0"/>
                    </w:numPr>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drawing>
                      <wp:inline distT="0" distB="0" distL="114300" distR="114300">
                        <wp:extent cx="2487295" cy="2487295"/>
                        <wp:effectExtent l="0" t="0" r="8255" b="8255"/>
                        <wp:docPr id="171" name="图片 171" descr="f1ce2aad542cea880a00a175ca5ca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f1ce2aad542cea880a00a175ca5caf6"/>
                                <pic:cNvPicPr>
                                  <a:picLocks noChangeAspect="1"/>
                                </pic:cNvPicPr>
                              </pic:nvPicPr>
                              <pic:blipFill>
                                <a:blip r:embed="rId12"/>
                                <a:stretch>
                                  <a:fillRect/>
                                </a:stretch>
                              </pic:blipFill>
                              <pic:spPr>
                                <a:xfrm>
                                  <a:off x="0" y="0"/>
                                  <a:ext cx="2487295" cy="2487295"/>
                                </a:xfrm>
                                <a:prstGeom prst="rect">
                                  <a:avLst/>
                                </a:prstGeom>
                              </pic:spPr>
                            </pic:pic>
                          </a:graphicData>
                        </a:graphic>
                      </wp:inline>
                    </w:drawing>
                  </w:r>
                </w:p>
                <w:p>
                  <w:pPr>
                    <w:pStyle w:val="21"/>
                    <w:keepNext w:val="0"/>
                    <w:keepLines w:val="0"/>
                    <w:pageBreakBefore w:val="0"/>
                    <w:widowControl/>
                    <w:numPr>
                      <w:ilvl w:val="0"/>
                      <w:numId w:val="0"/>
                    </w:numPr>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图2  2#活性炭吸附装置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302" w:type="dxa"/>
                  <w:gridSpan w:val="2"/>
                </w:tcPr>
                <w:p>
                  <w:pPr>
                    <w:pStyle w:val="21"/>
                    <w:keepNext w:val="0"/>
                    <w:keepLines w:val="0"/>
                    <w:pageBreakBefore w:val="0"/>
                    <w:widowControl/>
                    <w:numPr>
                      <w:ilvl w:val="0"/>
                      <w:numId w:val="0"/>
                    </w:numPr>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drawing>
                      <wp:inline distT="0" distB="0" distL="114300" distR="114300">
                        <wp:extent cx="2729230" cy="2472690"/>
                        <wp:effectExtent l="0" t="0" r="13970" b="3810"/>
                        <wp:docPr id="7" name="图片 7" descr="8bb7989d0cb0429aaa8178384f47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8bb7989d0cb0429aaa8178384f47479"/>
                                <pic:cNvPicPr>
                                  <a:picLocks noChangeAspect="1"/>
                                </pic:cNvPicPr>
                              </pic:nvPicPr>
                              <pic:blipFill>
                                <a:blip r:embed="rId13"/>
                                <a:srcRect b="32025"/>
                                <a:stretch>
                                  <a:fillRect/>
                                </a:stretch>
                              </pic:blipFill>
                              <pic:spPr>
                                <a:xfrm>
                                  <a:off x="0" y="0"/>
                                  <a:ext cx="2729230" cy="2472690"/>
                                </a:xfrm>
                                <a:prstGeom prst="rect">
                                  <a:avLst/>
                                </a:prstGeom>
                              </pic:spPr>
                            </pic:pic>
                          </a:graphicData>
                        </a:graphic>
                      </wp:inline>
                    </w:drawing>
                  </w:r>
                </w:p>
                <w:p>
                  <w:pPr>
                    <w:pStyle w:val="21"/>
                    <w:keepNext w:val="0"/>
                    <w:keepLines w:val="0"/>
                    <w:pageBreakBefore w:val="0"/>
                    <w:widowControl/>
                    <w:numPr>
                      <w:ilvl w:val="0"/>
                      <w:numId w:val="0"/>
                    </w:numPr>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图3 有机废气处理排气筒</w:t>
                  </w:r>
                </w:p>
              </w:tc>
            </w:tr>
          </w:tbl>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噪声：本项目主要噪声污染源主要来自生产设备运行时产生的噪声，主要通过合理布局，使高噪声设备远离厂界；对噪声值较高的设备基座底部安装减振垫等；定期检查并调整好运动机器部件的静平衡与动平衡的动力，加强设备维护，使其处于良好运行状态，以此来降低环境噪声污染。</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固（液）体废物：本项目运行过程中会产生一定的固体废物，一般工业固废主要有废边角料、废包装材料以及模具生产车间产生的金属粉尘。本项目产生的一般固废集中收集后由物资公司回收利用。项目主要产生的危废有废活性炭、废润滑油，这些危废集中收集在危废仓库内，定期委托有危险废物处理资质单位进行处理。主要一般固废及危险废物产生量及处理方式见下表3-1。</w:t>
            </w:r>
          </w:p>
          <w:p>
            <w:pPr>
              <w:pStyle w:val="11"/>
              <w:widowControl w:val="0"/>
              <w:jc w:val="center"/>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表3-1固体废物产生量及处置方式</w:t>
            </w:r>
          </w:p>
          <w:tbl>
            <w:tblPr>
              <w:tblStyle w:val="23"/>
              <w:tblW w:w="82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7"/>
              <w:gridCol w:w="2115"/>
              <w:gridCol w:w="1185"/>
              <w:gridCol w:w="1320"/>
              <w:gridCol w:w="30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7" w:type="dxa"/>
                </w:tcPr>
                <w:p>
                  <w:pPr>
                    <w:pStyle w:val="7"/>
                    <w:widowControl w:val="0"/>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序号</w:t>
                  </w:r>
                </w:p>
              </w:tc>
              <w:tc>
                <w:tcPr>
                  <w:tcW w:w="2115" w:type="dxa"/>
                </w:tcPr>
                <w:p>
                  <w:pPr>
                    <w:pStyle w:val="7"/>
                    <w:widowControl w:val="0"/>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固废名称</w:t>
                  </w:r>
                </w:p>
              </w:tc>
              <w:tc>
                <w:tcPr>
                  <w:tcW w:w="1185" w:type="dxa"/>
                </w:tcPr>
                <w:p>
                  <w:pPr>
                    <w:pStyle w:val="7"/>
                    <w:widowControl w:val="0"/>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属性</w:t>
                  </w:r>
                </w:p>
              </w:tc>
              <w:tc>
                <w:tcPr>
                  <w:tcW w:w="1320" w:type="dxa"/>
                </w:tcPr>
                <w:p>
                  <w:pPr>
                    <w:pStyle w:val="7"/>
                    <w:widowControl w:val="0"/>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产生量（t/a）</w:t>
                  </w:r>
                </w:p>
              </w:tc>
              <w:tc>
                <w:tcPr>
                  <w:tcW w:w="3000" w:type="dxa"/>
                </w:tcPr>
                <w:p>
                  <w:pPr>
                    <w:pStyle w:val="7"/>
                    <w:widowControl w:val="0"/>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处置单位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7" w:type="dxa"/>
                  <w:vAlign w:val="center"/>
                </w:tcPr>
                <w:p>
                  <w:pPr>
                    <w:pStyle w:val="7"/>
                    <w:widowControl w:val="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w:t>
                  </w:r>
                </w:p>
              </w:tc>
              <w:tc>
                <w:tcPr>
                  <w:tcW w:w="2115" w:type="dxa"/>
                  <w:vAlign w:val="center"/>
                </w:tcPr>
                <w:p>
                  <w:pPr>
                    <w:pStyle w:val="7"/>
                    <w:widowControl w:val="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边角料</w:t>
                  </w:r>
                </w:p>
              </w:tc>
              <w:tc>
                <w:tcPr>
                  <w:tcW w:w="1185" w:type="dxa"/>
                  <w:vAlign w:val="center"/>
                </w:tcPr>
                <w:p>
                  <w:pPr>
                    <w:pStyle w:val="7"/>
                    <w:widowControl w:val="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一般固废</w:t>
                  </w:r>
                </w:p>
              </w:tc>
              <w:tc>
                <w:tcPr>
                  <w:tcW w:w="1320" w:type="dxa"/>
                  <w:vAlign w:val="center"/>
                </w:tcPr>
                <w:p>
                  <w:pPr>
                    <w:pStyle w:val="7"/>
                    <w:widowControl w:val="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3</w:t>
                  </w:r>
                </w:p>
              </w:tc>
              <w:tc>
                <w:tcPr>
                  <w:tcW w:w="3000" w:type="dxa"/>
                  <w:vMerge w:val="restart"/>
                  <w:vAlign w:val="center"/>
                </w:tcPr>
                <w:p>
                  <w:pPr>
                    <w:pStyle w:val="7"/>
                    <w:widowControl w:val="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委托物资公司回收利用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7" w:type="dxa"/>
                  <w:vAlign w:val="center"/>
                </w:tcPr>
                <w:p>
                  <w:pPr>
                    <w:pStyle w:val="7"/>
                    <w:widowControl w:val="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2</w:t>
                  </w:r>
                </w:p>
              </w:tc>
              <w:tc>
                <w:tcPr>
                  <w:tcW w:w="2115" w:type="dxa"/>
                  <w:vAlign w:val="center"/>
                </w:tcPr>
                <w:p>
                  <w:pPr>
                    <w:pStyle w:val="7"/>
                    <w:widowControl w:val="0"/>
                    <w:jc w:val="center"/>
                    <w:rPr>
                      <w:rFonts w:hint="default" w:ascii="Times New Roman" w:hAnsi="Times New Roman" w:eastAsia="宋体" w:cs="Times New Roman"/>
                      <w:sz w:val="21"/>
                      <w:szCs w:val="21"/>
                      <w:vertAlign w:val="baseline"/>
                      <w:lang w:val="en-US" w:eastAsia="zh-CN" w:bidi="ar-SA"/>
                    </w:rPr>
                  </w:pPr>
                  <w:r>
                    <w:rPr>
                      <w:rFonts w:hint="default" w:ascii="Times New Roman" w:hAnsi="Times New Roman" w:eastAsia="宋体" w:cs="Times New Roman"/>
                      <w:sz w:val="21"/>
                      <w:szCs w:val="21"/>
                      <w:vertAlign w:val="baseline"/>
                      <w:lang w:val="en-US" w:eastAsia="zh-CN"/>
                    </w:rPr>
                    <w:t>废包装材料</w:t>
                  </w:r>
                </w:p>
              </w:tc>
              <w:tc>
                <w:tcPr>
                  <w:tcW w:w="1185" w:type="dxa"/>
                  <w:vAlign w:val="center"/>
                </w:tcPr>
                <w:p>
                  <w:pPr>
                    <w:widowControl w:val="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一般固废</w:t>
                  </w:r>
                </w:p>
              </w:tc>
              <w:tc>
                <w:tcPr>
                  <w:tcW w:w="1320" w:type="dxa"/>
                  <w:vAlign w:val="center"/>
                </w:tcPr>
                <w:p>
                  <w:pPr>
                    <w:pStyle w:val="7"/>
                    <w:widowControl w:val="0"/>
                    <w:jc w:val="center"/>
                    <w:rPr>
                      <w:rFonts w:hint="default" w:ascii="Times New Roman" w:hAnsi="Times New Roman" w:eastAsia="宋体" w:cs="Times New Roman"/>
                      <w:sz w:val="21"/>
                      <w:szCs w:val="21"/>
                      <w:vertAlign w:val="baseline"/>
                      <w:lang w:val="en-US" w:eastAsia="zh-CN" w:bidi="ar-SA"/>
                    </w:rPr>
                  </w:pPr>
                  <w:r>
                    <w:rPr>
                      <w:rFonts w:hint="default" w:ascii="Times New Roman" w:hAnsi="Times New Roman" w:eastAsia="宋体" w:cs="Times New Roman"/>
                      <w:sz w:val="21"/>
                      <w:szCs w:val="21"/>
                      <w:vertAlign w:val="baseline"/>
                      <w:lang w:val="en-US" w:eastAsia="zh-CN" w:bidi="ar-SA"/>
                    </w:rPr>
                    <w:t>0.1</w:t>
                  </w:r>
                </w:p>
              </w:tc>
              <w:tc>
                <w:tcPr>
                  <w:tcW w:w="3000" w:type="dxa"/>
                  <w:vMerge w:val="continue"/>
                  <w:vAlign w:val="center"/>
                </w:tcPr>
                <w:p>
                  <w:pPr>
                    <w:pStyle w:val="7"/>
                    <w:widowControl w:val="0"/>
                    <w:jc w:val="center"/>
                    <w:rPr>
                      <w:rFonts w:hint="default" w:ascii="Times New Roman" w:hAnsi="Times New Roman" w:eastAsia="宋体" w:cs="Times New Roman"/>
                      <w:sz w:val="21"/>
                      <w:szCs w:val="21"/>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7" w:type="dxa"/>
                  <w:vAlign w:val="center"/>
                </w:tcPr>
                <w:p>
                  <w:pPr>
                    <w:pStyle w:val="7"/>
                    <w:widowControl w:val="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3</w:t>
                  </w:r>
                </w:p>
              </w:tc>
              <w:tc>
                <w:tcPr>
                  <w:tcW w:w="2115" w:type="dxa"/>
                  <w:vAlign w:val="center"/>
                </w:tcPr>
                <w:p>
                  <w:pPr>
                    <w:pStyle w:val="7"/>
                    <w:widowControl w:val="0"/>
                    <w:jc w:val="center"/>
                    <w:rPr>
                      <w:rFonts w:hint="default" w:ascii="Times New Roman" w:hAnsi="Times New Roman" w:eastAsia="宋体" w:cs="Times New Roman"/>
                      <w:sz w:val="21"/>
                      <w:szCs w:val="21"/>
                      <w:vertAlign w:val="baseline"/>
                      <w:lang w:val="en-US" w:eastAsia="zh-CN" w:bidi="ar-SA"/>
                    </w:rPr>
                  </w:pPr>
                  <w:r>
                    <w:rPr>
                      <w:rFonts w:hint="default" w:ascii="Times New Roman" w:hAnsi="Times New Roman" w:eastAsia="宋体" w:cs="Times New Roman"/>
                      <w:sz w:val="21"/>
                      <w:szCs w:val="21"/>
                      <w:vertAlign w:val="baseline"/>
                      <w:lang w:val="en-US" w:eastAsia="zh-CN"/>
                    </w:rPr>
                    <w:t>收集的粉尘</w:t>
                  </w:r>
                </w:p>
              </w:tc>
              <w:tc>
                <w:tcPr>
                  <w:tcW w:w="1185" w:type="dxa"/>
                  <w:vAlign w:val="center"/>
                </w:tcPr>
                <w:p>
                  <w:pPr>
                    <w:widowControl w:val="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一般固废</w:t>
                  </w:r>
                </w:p>
              </w:tc>
              <w:tc>
                <w:tcPr>
                  <w:tcW w:w="1320" w:type="dxa"/>
                  <w:vAlign w:val="center"/>
                </w:tcPr>
                <w:p>
                  <w:pPr>
                    <w:pStyle w:val="7"/>
                    <w:widowControl w:val="0"/>
                    <w:jc w:val="center"/>
                    <w:rPr>
                      <w:rFonts w:hint="default" w:ascii="Times New Roman" w:hAnsi="Times New Roman" w:eastAsia="宋体" w:cs="Times New Roman"/>
                      <w:sz w:val="21"/>
                      <w:szCs w:val="21"/>
                      <w:vertAlign w:val="baseline"/>
                      <w:lang w:val="en-US" w:eastAsia="zh-CN" w:bidi="ar-SA"/>
                    </w:rPr>
                  </w:pPr>
                  <w:r>
                    <w:rPr>
                      <w:rFonts w:hint="default" w:ascii="Times New Roman" w:hAnsi="Times New Roman" w:eastAsia="宋体" w:cs="Times New Roman"/>
                      <w:sz w:val="21"/>
                      <w:szCs w:val="21"/>
                      <w:vertAlign w:val="baseline"/>
                      <w:lang w:val="en-US" w:eastAsia="zh-CN" w:bidi="ar-SA"/>
                    </w:rPr>
                    <w:t>1.83</w:t>
                  </w:r>
                </w:p>
              </w:tc>
              <w:tc>
                <w:tcPr>
                  <w:tcW w:w="3000" w:type="dxa"/>
                  <w:vMerge w:val="continue"/>
                  <w:vAlign w:val="center"/>
                </w:tcPr>
                <w:p>
                  <w:pPr>
                    <w:pStyle w:val="7"/>
                    <w:widowControl w:val="0"/>
                    <w:jc w:val="center"/>
                    <w:rPr>
                      <w:rFonts w:hint="default" w:ascii="Times New Roman" w:hAnsi="Times New Roman" w:eastAsia="宋体" w:cs="Times New Roman"/>
                      <w:sz w:val="21"/>
                      <w:szCs w:val="21"/>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7" w:type="dxa"/>
                  <w:vAlign w:val="center"/>
                </w:tcPr>
                <w:p>
                  <w:pPr>
                    <w:pStyle w:val="7"/>
                    <w:widowControl w:val="0"/>
                    <w:jc w:val="center"/>
                    <w:rPr>
                      <w:rFonts w:hint="default" w:ascii="Times New Roman" w:hAnsi="Times New Roman" w:eastAsia="宋体" w:cs="Times New Roman"/>
                      <w:sz w:val="21"/>
                      <w:szCs w:val="21"/>
                      <w:vertAlign w:val="baseline"/>
                      <w:lang w:val="en-US" w:eastAsia="zh-CN" w:bidi="ar-SA"/>
                    </w:rPr>
                  </w:pPr>
                  <w:r>
                    <w:rPr>
                      <w:rFonts w:hint="default" w:ascii="Times New Roman" w:hAnsi="Times New Roman" w:eastAsia="宋体" w:cs="Times New Roman"/>
                      <w:sz w:val="21"/>
                      <w:szCs w:val="21"/>
                      <w:vertAlign w:val="baseline"/>
                      <w:lang w:val="en-US" w:eastAsia="zh-CN"/>
                    </w:rPr>
                    <w:t>4</w:t>
                  </w:r>
                </w:p>
              </w:tc>
              <w:tc>
                <w:tcPr>
                  <w:tcW w:w="2115" w:type="dxa"/>
                  <w:vAlign w:val="center"/>
                </w:tcPr>
                <w:p>
                  <w:pPr>
                    <w:pStyle w:val="7"/>
                    <w:widowControl w:val="0"/>
                    <w:jc w:val="center"/>
                    <w:rPr>
                      <w:rFonts w:hint="default" w:ascii="Times New Roman" w:hAnsi="Times New Roman" w:eastAsia="宋体" w:cs="Times New Roman"/>
                      <w:sz w:val="21"/>
                      <w:szCs w:val="21"/>
                      <w:vertAlign w:val="baseline"/>
                      <w:lang w:val="en-US" w:eastAsia="zh-CN" w:bidi="ar-SA"/>
                    </w:rPr>
                  </w:pPr>
                  <w:r>
                    <w:rPr>
                      <w:rFonts w:hint="default" w:ascii="Times New Roman" w:hAnsi="Times New Roman" w:eastAsia="宋体" w:cs="Times New Roman"/>
                      <w:sz w:val="21"/>
                      <w:szCs w:val="21"/>
                      <w:vertAlign w:val="baseline"/>
                      <w:lang w:val="en-US" w:eastAsia="zh-CN"/>
                    </w:rPr>
                    <w:t>废活性炭</w:t>
                  </w:r>
                </w:p>
              </w:tc>
              <w:tc>
                <w:tcPr>
                  <w:tcW w:w="1185" w:type="dxa"/>
                  <w:vAlign w:val="center"/>
                </w:tcPr>
                <w:p>
                  <w:pPr>
                    <w:pStyle w:val="7"/>
                    <w:widowControl w:val="0"/>
                    <w:jc w:val="center"/>
                    <w:rPr>
                      <w:rFonts w:hint="default" w:ascii="Times New Roman" w:hAnsi="Times New Roman" w:eastAsia="宋体" w:cs="Times New Roman"/>
                      <w:sz w:val="21"/>
                      <w:szCs w:val="21"/>
                      <w:vertAlign w:val="baseline"/>
                      <w:lang w:val="en-US" w:eastAsia="zh-CN" w:bidi="ar-SA"/>
                    </w:rPr>
                  </w:pPr>
                  <w:r>
                    <w:rPr>
                      <w:rFonts w:hint="default" w:ascii="Times New Roman" w:hAnsi="Times New Roman" w:eastAsia="宋体" w:cs="Times New Roman"/>
                      <w:sz w:val="21"/>
                      <w:szCs w:val="21"/>
                      <w:vertAlign w:val="baseline"/>
                      <w:lang w:val="en-US" w:eastAsia="zh-CN"/>
                    </w:rPr>
                    <w:t>危险废物</w:t>
                  </w:r>
                </w:p>
              </w:tc>
              <w:tc>
                <w:tcPr>
                  <w:tcW w:w="1320" w:type="dxa"/>
                  <w:vAlign w:val="center"/>
                </w:tcPr>
                <w:p>
                  <w:pPr>
                    <w:pStyle w:val="7"/>
                    <w:widowControl w:val="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1.2</w:t>
                  </w:r>
                </w:p>
              </w:tc>
              <w:tc>
                <w:tcPr>
                  <w:tcW w:w="3000" w:type="dxa"/>
                  <w:vMerge w:val="restart"/>
                  <w:vAlign w:val="center"/>
                </w:tcPr>
                <w:p>
                  <w:pPr>
                    <w:pStyle w:val="7"/>
                    <w:widowControl w:val="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定期储存在危废仓库内，定期委托有资质处理单位进行处理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7" w:type="dxa"/>
                  <w:vAlign w:val="top"/>
                </w:tcPr>
                <w:p>
                  <w:pPr>
                    <w:pStyle w:val="7"/>
                    <w:widowControl w:val="0"/>
                    <w:rPr>
                      <w:rFonts w:hint="default" w:ascii="Times New Roman" w:hAnsi="Times New Roman" w:eastAsia="宋体" w:cs="Times New Roman"/>
                      <w:sz w:val="21"/>
                      <w:szCs w:val="21"/>
                      <w:vertAlign w:val="baseline"/>
                      <w:lang w:val="en-US" w:eastAsia="zh-CN" w:bidi="ar-SA"/>
                    </w:rPr>
                  </w:pPr>
                  <w:r>
                    <w:rPr>
                      <w:rFonts w:hint="default" w:ascii="Times New Roman" w:hAnsi="Times New Roman" w:eastAsia="宋体" w:cs="Times New Roman"/>
                      <w:sz w:val="21"/>
                      <w:szCs w:val="21"/>
                      <w:vertAlign w:val="baseline"/>
                      <w:lang w:val="en-US" w:eastAsia="zh-CN"/>
                    </w:rPr>
                    <w:t>5</w:t>
                  </w:r>
                </w:p>
              </w:tc>
              <w:tc>
                <w:tcPr>
                  <w:tcW w:w="2115" w:type="dxa"/>
                  <w:vAlign w:val="top"/>
                </w:tcPr>
                <w:p>
                  <w:pPr>
                    <w:pStyle w:val="7"/>
                    <w:widowControl w:val="0"/>
                    <w:rPr>
                      <w:rFonts w:hint="default" w:ascii="Times New Roman" w:hAnsi="Times New Roman" w:eastAsia="宋体" w:cs="Times New Roman"/>
                      <w:sz w:val="21"/>
                      <w:szCs w:val="21"/>
                      <w:vertAlign w:val="baseline"/>
                      <w:lang w:val="en-US" w:eastAsia="zh-CN" w:bidi="ar-SA"/>
                    </w:rPr>
                  </w:pPr>
                  <w:r>
                    <w:rPr>
                      <w:rFonts w:hint="default" w:ascii="Times New Roman" w:hAnsi="Times New Roman" w:eastAsia="宋体" w:cs="Times New Roman"/>
                      <w:sz w:val="21"/>
                      <w:szCs w:val="21"/>
                      <w:vertAlign w:val="baseline"/>
                      <w:lang w:val="en-US" w:eastAsia="zh-CN"/>
                    </w:rPr>
                    <w:t>废润滑油</w:t>
                  </w:r>
                </w:p>
              </w:tc>
              <w:tc>
                <w:tcPr>
                  <w:tcW w:w="1185" w:type="dxa"/>
                  <w:vAlign w:val="top"/>
                </w:tcPr>
                <w:p>
                  <w:pPr>
                    <w:pStyle w:val="7"/>
                    <w:widowControl w:val="0"/>
                    <w:jc w:val="center"/>
                    <w:rPr>
                      <w:rFonts w:hint="default" w:ascii="Times New Roman" w:hAnsi="Times New Roman" w:eastAsia="宋体" w:cs="Times New Roman"/>
                      <w:sz w:val="21"/>
                      <w:szCs w:val="21"/>
                      <w:vertAlign w:val="baseline"/>
                      <w:lang w:val="en-US" w:eastAsia="zh-CN" w:bidi="ar-SA"/>
                    </w:rPr>
                  </w:pPr>
                  <w:r>
                    <w:rPr>
                      <w:rFonts w:hint="default" w:ascii="Times New Roman" w:hAnsi="Times New Roman" w:eastAsia="宋体" w:cs="Times New Roman"/>
                      <w:sz w:val="21"/>
                      <w:szCs w:val="21"/>
                      <w:vertAlign w:val="baseline"/>
                      <w:lang w:val="en-US" w:eastAsia="zh-CN"/>
                    </w:rPr>
                    <w:t>危险废物</w:t>
                  </w:r>
                </w:p>
              </w:tc>
              <w:tc>
                <w:tcPr>
                  <w:tcW w:w="1320" w:type="dxa"/>
                </w:tcPr>
                <w:p>
                  <w:pPr>
                    <w:pStyle w:val="7"/>
                    <w:widowControl w:val="0"/>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0.01</w:t>
                  </w:r>
                </w:p>
              </w:tc>
              <w:tc>
                <w:tcPr>
                  <w:tcW w:w="3000" w:type="dxa"/>
                  <w:vMerge w:val="continue"/>
                  <w:vAlign w:val="center"/>
                </w:tcPr>
                <w:p>
                  <w:pPr>
                    <w:pStyle w:val="7"/>
                    <w:widowControl w:val="0"/>
                    <w:jc w:val="center"/>
                    <w:rPr>
                      <w:rFonts w:hint="default" w:ascii="Times New Roman" w:hAnsi="Times New Roman" w:eastAsia="宋体" w:cs="Times New Roman"/>
                      <w:sz w:val="21"/>
                      <w:szCs w:val="21"/>
                      <w:vertAlign w:val="baseline"/>
                      <w:lang w:val="en-US" w:eastAsia="zh-CN"/>
                    </w:rPr>
                  </w:pPr>
                </w:p>
              </w:tc>
            </w:tr>
          </w:tbl>
          <w:p>
            <w:pPr>
              <w:pStyle w:val="7"/>
              <w:widowControl w:val="0"/>
              <w:rPr>
                <w:rFonts w:hint="default" w:ascii="Times New Roman" w:hAnsi="Times New Roman" w:eastAsia="宋体" w:cs="Times New Roman"/>
                <w:lang w:val="en-US" w:eastAsia="zh-CN"/>
              </w:rPr>
            </w:pPr>
          </w:p>
        </w:tc>
      </w:tr>
    </w:tbl>
    <w:p>
      <w:pPr>
        <w:spacing w:line="360" w:lineRule="auto"/>
        <w:outlineLvl w:val="0"/>
        <w:rPr>
          <w:rFonts w:hint="default" w:ascii="Times New Roman" w:hAnsi="Times New Roman" w:eastAsia="宋体" w:cs="Times New Roman"/>
          <w:b/>
          <w:color w:val="000000" w:themeColor="text1"/>
          <w:sz w:val="21"/>
          <w:szCs w:val="21"/>
          <w14:textFill>
            <w14:solidFill>
              <w14:schemeClr w14:val="tx1"/>
            </w14:solidFill>
          </w14:textFill>
        </w:rPr>
      </w:pPr>
    </w:p>
    <w:p>
      <w:pPr>
        <w:spacing w:line="360" w:lineRule="auto"/>
        <w:outlineLvl w:val="0"/>
        <w:rPr>
          <w:rFonts w:hint="default" w:ascii="Times New Roman" w:hAnsi="Times New Roman" w:eastAsia="宋体" w:cs="Times New Roman"/>
          <w:b/>
          <w:color w:val="000000" w:themeColor="text1"/>
          <w:sz w:val="21"/>
          <w:szCs w:val="21"/>
          <w14:textFill>
            <w14:solidFill>
              <w14:schemeClr w14:val="tx1"/>
            </w14:solidFill>
          </w14:textFill>
        </w:rPr>
      </w:pPr>
    </w:p>
    <w:p>
      <w:pPr>
        <w:spacing w:line="360" w:lineRule="auto"/>
        <w:outlineLvl w:val="0"/>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表四</w:t>
      </w:r>
    </w:p>
    <w:tbl>
      <w:tblPr>
        <w:tblStyle w:val="23"/>
        <w:tblW w:w="8832" w:type="dxa"/>
        <w:tblInd w:w="-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45" w:hRule="atLeast"/>
        </w:trPr>
        <w:tc>
          <w:tcPr>
            <w:tcW w:w="8832" w:type="dxa"/>
          </w:tcPr>
          <w:p>
            <w:pPr>
              <w:widowControl/>
              <w:spacing w:line="360" w:lineRule="auto"/>
              <w:jc w:val="both"/>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建设项目环境影响报告表主要结论及审批部门审批决定：</w:t>
            </w:r>
          </w:p>
          <w:p>
            <w:pPr>
              <w:widowControl/>
              <w:spacing w:line="360" w:lineRule="auto"/>
              <w:ind w:firstLine="482" w:firstLineChars="200"/>
              <w:jc w:val="both"/>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一</w:t>
            </w:r>
            <w:r>
              <w:rPr>
                <w:rFonts w:hint="default" w:ascii="Times New Roman" w:hAnsi="Times New Roman" w:eastAsia="宋体" w:cs="Times New Roman"/>
                <w:b/>
                <w:bCs/>
                <w:color w:val="000000" w:themeColor="text1"/>
                <w:sz w:val="24"/>
                <w:szCs w:val="24"/>
                <w14:textFill>
                  <w14:solidFill>
                    <w14:schemeClr w14:val="tx1"/>
                  </w14:solidFill>
                </w14:textFill>
              </w:rPr>
              <w:t>、建设项目环境影响报告表主要结论</w:t>
            </w:r>
          </w:p>
          <w:p>
            <w:pPr>
              <w:pageBreakBefore w:val="0"/>
              <w:widowControl/>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eastAsia="zh-CN"/>
                <w14:textFill>
                  <w14:solidFill>
                    <w14:schemeClr w14:val="tx1"/>
                  </w14:solidFill>
                </w14:textFill>
              </w:rPr>
              <w:t>综上所述，福建优倍特模塑科技有限公司优倍特模塑科技生产项目</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符合国家产业政策。项目废水、废气、噪声及固体废物通过选用有效的环保治理措施，可实现达标排放。在工程建设中，严格执行“三同时”制度，项目投产后，在严格落实国家有关法律法规、技术规范及相关环保措施，落实各项环境风险防范措施，确保污染物排放总量控制在经环保行政主管部门核定的范围内，污染物达标排放的前提下，对周边环境影响较小，从环境保护的角度分析，该项目建设是可行的。</w:t>
            </w:r>
          </w:p>
          <w:p>
            <w:pPr>
              <w:widowControl/>
              <w:spacing w:line="360" w:lineRule="auto"/>
              <w:ind w:firstLine="482" w:firstLineChars="200"/>
              <w:jc w:val="both"/>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二</w:t>
            </w:r>
            <w:r>
              <w:rPr>
                <w:rFonts w:hint="default" w:ascii="Times New Roman" w:hAnsi="Times New Roman" w:eastAsia="宋体" w:cs="Times New Roman"/>
                <w:b/>
                <w:bCs/>
                <w:color w:val="000000" w:themeColor="text1"/>
                <w:sz w:val="24"/>
                <w:szCs w:val="24"/>
                <w14:textFill>
                  <w14:solidFill>
                    <w14:schemeClr w14:val="tx1"/>
                  </w14:solidFill>
                </w14:textFill>
              </w:rPr>
              <w:t>、审批部门审批决定</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eastAsia="zh-CN"/>
                <w14:textFill>
                  <w14:solidFill>
                    <w14:schemeClr w14:val="tx1"/>
                  </w14:solidFill>
                </w14:textFill>
              </w:rPr>
              <w:t>福建优倍特模塑科技有限公司</w:t>
            </w:r>
            <w:r>
              <w:rPr>
                <w:rFonts w:hint="default" w:ascii="Times New Roman" w:hAnsi="Times New Roman" w:eastAsia="宋体" w:cs="Times New Roman"/>
                <w:color w:val="000000" w:themeColor="text1"/>
                <w:sz w:val="24"/>
                <w:szCs w:val="24"/>
                <w14:textFill>
                  <w14:solidFill>
                    <w14:schemeClr w14:val="tx1"/>
                  </w14:solidFill>
                </w14:textFill>
              </w:rPr>
              <w:t>：</w:t>
            </w:r>
          </w:p>
          <w:p>
            <w:pPr>
              <w:pageBreakBefore w:val="0"/>
              <w:widowControl/>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你公司报送的《福建优倍特模塑科技有限公司优倍特模塑科技生产项目环境影响报告表》及相关材料收悉，经研究，现批复如下：</w:t>
            </w:r>
          </w:p>
          <w:p>
            <w:pPr>
              <w:pageBreakBefore w:val="0"/>
              <w:widowControl/>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一、项目基本情况：项目位于福建省漳州市长泰区陈巷镇，属新建项目。总投资5000万元，环保投资40万元。项目租赁福建金隆昌科技有限公司厂房，总用地面积5631.39m²，生产规模为年产各类电器塑料零部件3000吨。具体建设内容及平面布置详见项目环境影响报告表。</w:t>
            </w:r>
          </w:p>
          <w:p>
            <w:pPr>
              <w:pageBreakBefore w:val="0"/>
              <w:widowControl/>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二、你公司应认真落实报告表提出的各项环保措施、环境风险防范措施，建立与项目环保工作需求相适应的环境管理团队，完善企业各项环境管理制度，实现污染物稳定达标排放，达到预定生态环境质量目标。</w:t>
            </w:r>
          </w:p>
          <w:p>
            <w:pPr>
              <w:pageBreakBefore w:val="0"/>
              <w:widowControl/>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建设项目的性质、规模、地点、采用的生产工艺或者防治污染、防止生态破坏的措施发生重大变动的，建设单位应当重新报批建设项目的环境影响评价文件。自项目环境影响报告表批准之日起超过五年，方决定开工建设的，环境影响报告表应当报我局重新审核。</w:t>
            </w:r>
          </w:p>
          <w:p>
            <w:pPr>
              <w:pageBreakBefore w:val="0"/>
              <w:widowControl/>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三、主要污染物排放标准与控制要求</w:t>
            </w:r>
          </w:p>
          <w:p>
            <w:pPr>
              <w:pageBreakBefore w:val="0"/>
              <w:widowControl/>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项目建设应严格执行配套建设的环境保护设施与主体工程同时设计、同时施工、同时投产使用的环境保护“三同时”制度，落实报告表提出各项环保措施及污染物排放标准，确保施工期和运营期各项污染物稳定达标排放和环境安全。应重点做好以下工作：</w:t>
            </w:r>
          </w:p>
          <w:p>
            <w:pPr>
              <w:pageBreakBefore w:val="0"/>
              <w:widowControl/>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(一)进一步提高清洁生产工艺水平，采用国内外先进的生产工艺、设备和技术的同时，选用处理工艺成熟、运转可靠的环保设施，确保各类污染物达标排放。</w:t>
            </w:r>
          </w:p>
          <w:p>
            <w:pPr>
              <w:pageBreakBefore w:val="0"/>
              <w:widowControl/>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二)采取切实有效措施提高废气收集处理效率，根据各类工艺废气污染物的性质分别采取有效的处理方式，处理设施的处理能力、效率应满足需要，排放的各种大气污染物满足有关排放标准，排气筒高度符合有关要求。</w:t>
            </w:r>
          </w:p>
          <w:p>
            <w:pPr>
              <w:pageBreakBefore w:val="0"/>
              <w:widowControl/>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严格控制含VOCs原料与产品在生产和储运过程中的废气排放，建立VOCs管理体系，减少废气无组织排放。运营期，项目切割、钻铣、抛光工序产生的粉尘经移动式布袋除尘器收集治理；项目挤出工序产生的有机废气采用集气罩收集后，经双重活性炭吸附装置处理达标后经15m排气筒DA001高空排放。排气筒的高度应符合规范要求，同时加强车间通风，确保厂界无组织废气稳定达标排放。</w:t>
            </w:r>
          </w:p>
          <w:p>
            <w:pPr>
              <w:pageBreakBefore w:val="0"/>
              <w:widowControl/>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(三)厂区内排水应实行雨污分流。运营期，项目无生产废水外排；生活污水经三级化粪池处理达标后，通过市政管网排入长泰区东区污水处理厂进一步处理。</w:t>
            </w:r>
          </w:p>
          <w:p>
            <w:pPr>
              <w:pageBreakBefore w:val="0"/>
              <w:widowControl/>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四)应严格按照《中华人民共和国固体废物污染环境防治法》、《一般工业固体废物贮存和填埋污染控制标准》(GB18599-2020)等法律法规要求，按规范建设一般固体废物暂存场所，对产生的固体废物进行分类收集、贮存、转移和处置，确保固体废物妥善处置。运营期项目产生的废边角料、收集的粉尘及废包装材料收集后由物资部门回收；废活性炭、废润滑油等危险废物收集后委托有资质危废处置单位处理；生活垃圾由环卫部门统一清运处理。</w:t>
            </w:r>
          </w:p>
          <w:p>
            <w:pPr>
              <w:pageBreakBefore w:val="0"/>
              <w:widowControl/>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(五)厂区应合理布局，选用低噪声设备，并采取综合降噪措施，确保厂界噪声达标。</w:t>
            </w:r>
          </w:p>
          <w:p>
            <w:pPr>
              <w:pageBreakBefore w:val="0"/>
              <w:widowControl/>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(六)严格执行报告表提出的各项污染物排放标准。</w:t>
            </w:r>
          </w:p>
          <w:p>
            <w:pPr>
              <w:pageBreakBefore w:val="0"/>
              <w:widowControl/>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1.水污染物排放标准。</w:t>
            </w:r>
          </w:p>
          <w:p>
            <w:pPr>
              <w:pageBreakBefore w:val="0"/>
              <w:widowControl/>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项目生活污水执行《污水综合排放标准》(GB8978-1996)表4三级标准，同时满足长泰区东区污水处理厂进水水质标准。</w:t>
            </w:r>
          </w:p>
          <w:p>
            <w:pPr>
              <w:pageBreakBefore w:val="0"/>
              <w:widowControl/>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2.大气污染物排放标准。</w:t>
            </w:r>
          </w:p>
          <w:p>
            <w:pPr>
              <w:pageBreakBefore w:val="0"/>
              <w:widowControl/>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项目切割、钻铣、抛光过程中产生的粉尘排放执行《大气污染物综合排放标准》GB16297-1996表2无组织排放监控浓度限值；项目注塑过程产生的有机废气排放执行《合成树脂工业污染物排放标准》(GB31572-2015)表4大气污染物排放限值要求及表9无组织排放控制要求；厂界内无组织排放浓度参照执行《挥发性有机物无组织排放控制标准》(GB37822-2019)附录A表A.1中相关浓度限值。</w:t>
            </w:r>
          </w:p>
          <w:p>
            <w:pPr>
              <w:pageBreakBefore w:val="0"/>
              <w:widowControl/>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3.项目厂界噪声执行《工业企业厂界环境噪声排放标准》(GB12348-2008)3类标准。</w:t>
            </w:r>
          </w:p>
          <w:p>
            <w:pPr>
              <w:pageBreakBefore w:val="0"/>
              <w:widowControl/>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其它污染物排放应严格按照国家有关法律法规政策执行。污染物排放标准如有更新应执行新标准。</w:t>
            </w:r>
          </w:p>
          <w:p>
            <w:pPr>
              <w:pageBreakBefore w:val="0"/>
              <w:widowControl/>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四、主要污染物排放总量控制要求</w:t>
            </w:r>
          </w:p>
          <w:p>
            <w:pPr>
              <w:pageBreakBefore w:val="0"/>
              <w:widowControl/>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项目建成后新增挥发性有机物总量0.99吨/年，按1.05倍区域削减量替代，替代削减量为挥发性有机物1.0395吨/年，由《漳州市长泰生态环境局关于第二批挥发性有机物(VOCs)储备情况的通知》(泰环〔2022〕24号)中已收储第二批挥发性有机物(VOCs)中的1.0395吨作为本项目挥发性有机物区域内现役源1.05倍减量替代。你公司应严格落实各项污染物排放总量控制措施，确保不超总量排放。</w:t>
            </w:r>
          </w:p>
          <w:p>
            <w:pPr>
              <w:pageBreakBefore w:val="0"/>
              <w:widowControl/>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五、建设单位应依法申领排污许可证，并及时组织项目竣工验收，验收通过后，项目方可投入生产。</w:t>
            </w:r>
          </w:p>
          <w:p>
            <w:pPr>
              <w:pageBreakBefore w:val="0"/>
              <w:widowControl/>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六、依法公开环境信息，配合当地政府做好周边群众的宣传工作，加强与周围公众的沟通，及时解决公众担忧的环境问题，防范与化解环境风险，维护群众环境权益和社会稳定。</w:t>
            </w:r>
          </w:p>
          <w:p>
            <w:pPr>
              <w:pageBreakBefore w:val="0"/>
              <w:widowControl/>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七、漳州市长泰生态环境局落实属地原则，负责项目日常监督管理工作；长泰区生态环境保护综合执法大队负责项目环保“三同时”监督检查。</w:t>
            </w:r>
          </w:p>
          <w:p>
            <w:pPr>
              <w:pageBreakBefore w:val="0"/>
              <w:widowControl/>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八、请你单位在收到批复后一个月内将经批复的环境影响报告表，在工程开工前1个月内将项目建设计划进度表、施工期污染防治措施实施计划、污染监测计划和方案等有关材料上传福建省生态环境亲清服务平台，并接受漳州市长泰生态环境局、长区生态环境保护综合执法大队监督检查。</w:t>
            </w:r>
          </w:p>
          <w:p>
            <w:pPr>
              <w:pStyle w:val="29"/>
              <w:spacing w:line="360" w:lineRule="auto"/>
              <w:ind w:firstLine="482" w:firstLineChars="200"/>
              <w:jc w:val="both"/>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三</w:t>
            </w:r>
            <w:r>
              <w:rPr>
                <w:rFonts w:hint="default" w:ascii="Times New Roman" w:hAnsi="Times New Roman" w:eastAsia="宋体" w:cs="Times New Roman"/>
                <w:b/>
                <w:bCs/>
                <w:color w:val="000000" w:themeColor="text1"/>
                <w14:textFill>
                  <w14:solidFill>
                    <w14:schemeClr w14:val="tx1"/>
                  </w14:solidFill>
                </w14:textFill>
              </w:rPr>
              <w:t>、环境影响报告表及批复意见落实情况调查</w:t>
            </w:r>
          </w:p>
          <w:p>
            <w:pPr>
              <w:pStyle w:val="29"/>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表4-1环境影响报告表批复意见落实一览表</w:t>
            </w:r>
          </w:p>
          <w:tbl>
            <w:tblPr>
              <w:tblStyle w:val="23"/>
              <w:tblW w:w="866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57"/>
              <w:gridCol w:w="3832"/>
              <w:gridCol w:w="417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379" w:type="pct"/>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序号</w:t>
                  </w:r>
                </w:p>
              </w:tc>
              <w:tc>
                <w:tcPr>
                  <w:tcW w:w="2212" w:type="pct"/>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批复情况</w:t>
                  </w:r>
                </w:p>
              </w:tc>
              <w:tc>
                <w:tcPr>
                  <w:tcW w:w="2408" w:type="pct"/>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实际执行情况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30" w:hRule="atLeast"/>
                <w:jc w:val="center"/>
              </w:trPr>
              <w:tc>
                <w:tcPr>
                  <w:tcW w:w="379" w:type="pct"/>
                  <w:tcBorders>
                    <w:tl2br w:val="nil"/>
                    <w:tr2bl w:val="nil"/>
                  </w:tcBorders>
                  <w:vAlign w:val="center"/>
                </w:tcPr>
                <w:p>
                  <w:pPr>
                    <w:pStyle w:val="29"/>
                    <w:keepNext w:val="0"/>
                    <w:keepLines w:val="0"/>
                    <w:pageBreakBefore w:val="0"/>
                    <w:kinsoku/>
                    <w:wordWrap w:val="0"/>
                    <w:overflowPunct/>
                    <w:topLinePunct w:val="0"/>
                    <w:bidi w:val="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2212" w:type="pct"/>
                  <w:tcBorders>
                    <w:tl2br w:val="nil"/>
                    <w:tr2bl w:val="nil"/>
                  </w:tcBorders>
                  <w:vAlign w:val="center"/>
                </w:tcPr>
                <w:p>
                  <w:pPr>
                    <w:pStyle w:val="29"/>
                    <w:keepNext w:val="0"/>
                    <w:keepLines w:val="0"/>
                    <w:pageBreakBefore w:val="0"/>
                    <w:widowControl w:val="0"/>
                    <w:kinsoku/>
                    <w:wordWrap w:val="0"/>
                    <w:overflowPunct/>
                    <w:topLinePunct/>
                    <w:autoSpaceDE w:val="0"/>
                    <w:autoSpaceDN w:val="0"/>
                    <w:bidi w:val="0"/>
                    <w:adjustRightInd w:val="0"/>
                    <w:snapToGrid/>
                    <w:ind w:firstLine="420" w:firstLineChars="200"/>
                    <w:jc w:val="left"/>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项目位于福建省漳州市长泰区陈巷镇，属新建项目。总投资5000万元，环保投资40万元。项目租赁福建金隆昌科技有限公司厂房，总用地面积5631.39m</w:t>
                  </w:r>
                  <w:r>
                    <w:rPr>
                      <w:rFonts w:hint="default" w:ascii="Times New Roman" w:hAnsi="Times New Roman" w:eastAsia="宋体" w:cs="Times New Roman"/>
                      <w:color w:val="000000" w:themeColor="text1"/>
                      <w:sz w:val="21"/>
                      <w:szCs w:val="21"/>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，生产规模为年产各类电器塑料零部件3000吨</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p>
              </w:tc>
              <w:tc>
                <w:tcPr>
                  <w:tcW w:w="2408" w:type="pct"/>
                  <w:tcBorders>
                    <w:tl2br w:val="nil"/>
                    <w:tr2bl w:val="nil"/>
                  </w:tcBorders>
                  <w:vAlign w:val="center"/>
                </w:tcPr>
                <w:p>
                  <w:pPr>
                    <w:keepNext/>
                    <w:keepLines/>
                    <w:pageBreakBefore/>
                    <w:widowControl/>
                    <w:kinsoku/>
                    <w:wordWrap w:val="0"/>
                    <w:overflowPunct/>
                    <w:topLinePunct w:val="0"/>
                    <w:autoSpaceDE/>
                    <w:autoSpaceDN/>
                    <w:bidi w:val="0"/>
                    <w:adjustRightInd w:val="0"/>
                    <w:snapToGrid w:val="0"/>
                    <w:spacing w:line="240" w:lineRule="auto"/>
                    <w:ind w:firstLine="420" w:firstLineChars="200"/>
                    <w:jc w:val="left"/>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项目位于福建省漳州市长泰区陈巷镇，属新建项目。总投资5000万元，环保投资40万元。项目租赁福建金隆昌科技有限公司厂房，总用地面积5631.39m²，生产规模为年产各类电器塑料零部件3000吨</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36" w:hRule="atLeast"/>
                <w:jc w:val="center"/>
              </w:trPr>
              <w:tc>
                <w:tcPr>
                  <w:tcW w:w="379" w:type="pct"/>
                  <w:tcBorders>
                    <w:tl2br w:val="nil"/>
                    <w:tr2bl w:val="nil"/>
                  </w:tcBorders>
                  <w:vAlign w:val="center"/>
                </w:tcPr>
                <w:p>
                  <w:pPr>
                    <w:pStyle w:val="29"/>
                    <w:keepNext w:val="0"/>
                    <w:keepLines w:val="0"/>
                    <w:pageBreakBefore w:val="0"/>
                    <w:kinsoku/>
                    <w:wordWrap w:val="0"/>
                    <w:overflowPunct/>
                    <w:topLinePunct w:val="0"/>
                    <w:bidi w:val="0"/>
                    <w:jc w:val="center"/>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2</w:t>
                  </w:r>
                </w:p>
              </w:tc>
              <w:tc>
                <w:tcPr>
                  <w:tcW w:w="2212"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right="0" w:rightChars="0" w:firstLine="420" w:firstLineChars="200"/>
                    <w:jc w:val="left"/>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你公司应认真落实报告表提出的各项环保措施、环境风险防范措施，建立与项目环保工作需求相适应的环境管理团队，完善企业各项环境管理制度，实现污染物稳定达标排放，达到预定生态环境质量目标。</w:t>
                  </w:r>
                </w:p>
                <w:p>
                  <w:pPr>
                    <w:pStyle w:val="29"/>
                    <w:keepNext w:val="0"/>
                    <w:keepLines w:val="0"/>
                    <w:pageBreakBefore w:val="0"/>
                    <w:kinsoku/>
                    <w:wordWrap w:val="0"/>
                    <w:overflowPunct/>
                    <w:topLinePunct w:val="0"/>
                    <w:bidi w:val="0"/>
                    <w:adjustRightInd w:val="0"/>
                    <w:spacing w:line="240" w:lineRule="auto"/>
                    <w:ind w:firstLine="420" w:firstLineChars="200"/>
                    <w:jc w:val="left"/>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建设项目的性质、规模、地点、采用的生产工艺或者防治污染、防止生态破坏的措施发生重大变动的，建设单位应当重新报批建设项目的环境影响评价文件。自项目环境影响报告表批准之日起超过五年，方决定开工建设的，环境影响报告表应当报我局重新审核。</w:t>
                  </w:r>
                </w:p>
              </w:tc>
              <w:tc>
                <w:tcPr>
                  <w:tcW w:w="2408"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right="0" w:rightChars="0" w:firstLine="420" w:firstLineChars="200"/>
                    <w:jc w:val="left"/>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公司已认真落实报告表提出的各项环保措施、环境风险防范措施，建立与项目环保工作需求相适应的环境管理团队，完善企业各项环境管理制度，实现污染物稳定达标排放，达到预定生态环境质量目标。</w:t>
                  </w:r>
                </w:p>
                <w:p>
                  <w:pPr>
                    <w:keepNext w:val="0"/>
                    <w:keepLines w:val="0"/>
                    <w:pageBreakBefore w:val="0"/>
                    <w:widowControl/>
                    <w:kinsoku/>
                    <w:wordWrap w:val="0"/>
                    <w:overflowPunct/>
                    <w:topLinePunct w:val="0"/>
                    <w:bidi w:val="0"/>
                    <w:adjustRightInd w:val="0"/>
                    <w:spacing w:line="240" w:lineRule="auto"/>
                    <w:ind w:firstLine="420" w:firstLineChars="200"/>
                    <w:jc w:val="both"/>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目前项目已按环评要求建设，无需重新申报环评。</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379" w:type="pct"/>
                  <w:tcBorders>
                    <w:tl2br w:val="nil"/>
                    <w:tr2bl w:val="nil"/>
                  </w:tcBorders>
                  <w:vAlign w:val="center"/>
                </w:tcPr>
                <w:p>
                  <w:pPr>
                    <w:pStyle w:val="29"/>
                    <w:keepNext w:val="0"/>
                    <w:keepLines w:val="0"/>
                    <w:pageBreakBefore w:val="0"/>
                    <w:kinsoku/>
                    <w:wordWrap w:val="0"/>
                    <w:overflowPunct/>
                    <w:topLinePunct w:val="0"/>
                    <w:bidi w:val="0"/>
                    <w:jc w:val="center"/>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3</w:t>
                  </w:r>
                </w:p>
              </w:tc>
              <w:tc>
                <w:tcPr>
                  <w:tcW w:w="2212" w:type="pct"/>
                  <w:tcBorders>
                    <w:tl2br w:val="nil"/>
                    <w:tr2bl w:val="nil"/>
                  </w:tcBorders>
                  <w:vAlign w:val="center"/>
                </w:tcPr>
                <w:p>
                  <w:pPr>
                    <w:pStyle w:val="29"/>
                    <w:keepNext w:val="0"/>
                    <w:keepLines w:val="0"/>
                    <w:pageBreakBefore w:val="0"/>
                    <w:kinsoku/>
                    <w:wordWrap w:val="0"/>
                    <w:overflowPunct/>
                    <w:topLinePunct w:val="0"/>
                    <w:bidi w:val="0"/>
                    <w:spacing w:line="240" w:lineRule="auto"/>
                    <w:ind w:firstLine="420" w:firstLineChars="200"/>
                    <w:jc w:val="left"/>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进一步提高清洁生产工艺水平，采用国内外先进的生产工艺、设备和技术的同时，选用处理工艺成熟、运转可靠的环保设施，确保各类污染物达标排放。</w:t>
                  </w:r>
                </w:p>
              </w:tc>
              <w:tc>
                <w:tcPr>
                  <w:tcW w:w="2408" w:type="pct"/>
                  <w:tcBorders>
                    <w:tl2br w:val="nil"/>
                    <w:tr2bl w:val="nil"/>
                  </w:tcBorders>
                  <w:vAlign w:val="center"/>
                </w:tcPr>
                <w:p>
                  <w:pPr>
                    <w:pStyle w:val="29"/>
                    <w:keepNext w:val="0"/>
                    <w:keepLines w:val="0"/>
                    <w:pageBreakBefore w:val="0"/>
                    <w:kinsoku/>
                    <w:wordWrap w:val="0"/>
                    <w:overflowPunct/>
                    <w:topLinePunct w:val="0"/>
                    <w:bidi w:val="0"/>
                    <w:spacing w:line="240" w:lineRule="auto"/>
                    <w:ind w:firstLine="420" w:firstLineChars="200"/>
                    <w:jc w:val="center"/>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已按要求落实，各类污染物均达标排放。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379" w:type="pct"/>
                  <w:tcBorders>
                    <w:tl2br w:val="nil"/>
                    <w:tr2bl w:val="nil"/>
                  </w:tcBorders>
                  <w:vAlign w:val="center"/>
                </w:tcPr>
                <w:p>
                  <w:pPr>
                    <w:pStyle w:val="29"/>
                    <w:keepNext w:val="0"/>
                    <w:keepLines w:val="0"/>
                    <w:pageBreakBefore w:val="0"/>
                    <w:kinsoku/>
                    <w:wordWrap w:val="0"/>
                    <w:overflowPunct/>
                    <w:topLinePunct w:val="0"/>
                    <w:bidi w:val="0"/>
                    <w:jc w:val="center"/>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4</w:t>
                  </w:r>
                </w:p>
              </w:tc>
              <w:tc>
                <w:tcPr>
                  <w:tcW w:w="2212"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right="0" w:rightChars="0" w:firstLine="420" w:firstLineChars="200"/>
                    <w:jc w:val="left"/>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采取切实有效措施提高废气收集处理效率，根据各类工艺废气污染物的性质分别采取有效的处理方式，处理设施的处理能力、效率应满足需要，排放的各种大气污染物满足有关排放标准，排气筒高度符合有关要求。</w:t>
                  </w:r>
                </w:p>
                <w:p>
                  <w:pPr>
                    <w:keepNext w:val="0"/>
                    <w:keepLines w:val="0"/>
                    <w:pageBreakBefore w:val="0"/>
                    <w:widowControl/>
                    <w:kinsoku/>
                    <w:wordWrap/>
                    <w:overflowPunct/>
                    <w:topLinePunct w:val="0"/>
                    <w:autoSpaceDE/>
                    <w:autoSpaceDN/>
                    <w:bidi w:val="0"/>
                    <w:adjustRightInd w:val="0"/>
                    <w:snapToGrid w:val="0"/>
                    <w:spacing w:line="240" w:lineRule="auto"/>
                    <w:ind w:right="0" w:rightChars="0" w:firstLine="420" w:firstLineChars="200"/>
                    <w:jc w:val="left"/>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严格控制含VOCs原料与产品在生产和储运过程中的废气排放，建立VOCs管理体系，减少废气无组织排放。运营期，项目切割、钻铣、抛光工序产生的粉尘经移动式布袋除尘器收集治理；项目挤出工序产生的有机废气采用集气罩收集后，经双重活性炭吸附装置处理达标后经15m排气筒DA001高空排放。排气筒的高度应符合规范要求，同时加强车间通风，确保厂界无组织废气稳定达标排放。</w:t>
                  </w:r>
                </w:p>
              </w:tc>
              <w:tc>
                <w:tcPr>
                  <w:tcW w:w="2408" w:type="pct"/>
                  <w:tcBorders>
                    <w:tl2br w:val="nil"/>
                    <w:tr2bl w:val="nil"/>
                  </w:tcBorders>
                  <w:vAlign w:val="center"/>
                </w:tcPr>
                <w:p>
                  <w:pPr>
                    <w:pStyle w:val="29"/>
                    <w:keepNext w:val="0"/>
                    <w:keepLines w:val="0"/>
                    <w:pageBreakBefore w:val="0"/>
                    <w:kinsoku/>
                    <w:wordWrap w:val="0"/>
                    <w:overflowPunct/>
                    <w:topLinePunct w:val="0"/>
                    <w:bidi w:val="0"/>
                    <w:adjustRightInd w:val="0"/>
                    <w:spacing w:line="240" w:lineRule="auto"/>
                    <w:ind w:firstLine="420" w:firstLineChars="200"/>
                    <w:jc w:val="both"/>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VOCs原料与产品均有效管理，从源头减少VOCs无组织的排放，运营期间，有机废气通过集气罩收集后，由活性炭吸附装置处理达标后，通过15m高排气筒高空排放。排气筒的高度符合规范要求。车间装有排气扇，加强车间通风，厂界无组织能够稳定达标排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379" w:type="pct"/>
                  <w:tcBorders>
                    <w:tl2br w:val="nil"/>
                    <w:tr2bl w:val="nil"/>
                  </w:tcBorders>
                  <w:vAlign w:val="center"/>
                </w:tcPr>
                <w:p>
                  <w:pPr>
                    <w:pStyle w:val="29"/>
                    <w:keepNext w:val="0"/>
                    <w:keepLines w:val="0"/>
                    <w:pageBreakBefore w:val="0"/>
                    <w:kinsoku/>
                    <w:wordWrap w:val="0"/>
                    <w:overflowPunct/>
                    <w:topLinePunct w:val="0"/>
                    <w:bidi w:val="0"/>
                    <w:jc w:val="center"/>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5</w:t>
                  </w:r>
                </w:p>
              </w:tc>
              <w:tc>
                <w:tcPr>
                  <w:tcW w:w="2212"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right="0" w:rightChars="0" w:firstLine="420" w:firstLineChars="200"/>
                    <w:jc w:val="both"/>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厂区内排水应实行雨污分流。运营期，项目无生产废水外排；生活污水经三级化粪池处理达标后，通过市政管网排入长泰区东区污水处理厂进一步处理。</w:t>
                  </w:r>
                </w:p>
              </w:tc>
              <w:tc>
                <w:tcPr>
                  <w:tcW w:w="2408" w:type="pct"/>
                  <w:tcBorders>
                    <w:tl2br w:val="nil"/>
                    <w:tr2bl w:val="nil"/>
                  </w:tcBorders>
                  <w:vAlign w:val="center"/>
                </w:tcPr>
                <w:p>
                  <w:pPr>
                    <w:keepNext w:val="0"/>
                    <w:keepLines w:val="0"/>
                    <w:pageBreakBefore w:val="0"/>
                    <w:widowControl/>
                    <w:kinsoku/>
                    <w:wordWrap w:val="0"/>
                    <w:overflowPunct/>
                    <w:topLinePunct w:val="0"/>
                    <w:bidi w:val="0"/>
                    <w:adjustRightInd w:val="0"/>
                    <w:spacing w:line="240" w:lineRule="auto"/>
                    <w:ind w:firstLine="420" w:firstLineChars="200"/>
                    <w:jc w:val="both"/>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厂区内排水试行雨污分流，运营期间项目无废水外排，生活污水经过三级化粪池处理后，通过</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市政管网排入长泰区东区污水处理厂进一步处理。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379" w:type="pct"/>
                  <w:tcBorders>
                    <w:tl2br w:val="nil"/>
                    <w:tr2bl w:val="nil"/>
                  </w:tcBorders>
                  <w:vAlign w:val="center"/>
                </w:tcPr>
                <w:p>
                  <w:pPr>
                    <w:pStyle w:val="29"/>
                    <w:keepNext w:val="0"/>
                    <w:keepLines w:val="0"/>
                    <w:pageBreakBefore w:val="0"/>
                    <w:kinsoku/>
                    <w:wordWrap w:val="0"/>
                    <w:overflowPunct/>
                    <w:topLinePunct w:val="0"/>
                    <w:bidi w:val="0"/>
                    <w:jc w:val="center"/>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6</w:t>
                  </w:r>
                </w:p>
              </w:tc>
              <w:tc>
                <w:tcPr>
                  <w:tcW w:w="2212" w:type="pct"/>
                  <w:tcBorders>
                    <w:tl2br w:val="nil"/>
                    <w:tr2bl w:val="nil"/>
                  </w:tcBorders>
                  <w:vAlign w:val="center"/>
                </w:tcPr>
                <w:p>
                  <w:pPr>
                    <w:keepNext w:val="0"/>
                    <w:keepLines w:val="0"/>
                    <w:pageBreakBefore w:val="0"/>
                    <w:widowControl w:val="0"/>
                    <w:kinsoku/>
                    <w:wordWrap w:val="0"/>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应严格按照《中华人民共和国固体废物污染环境防治法》、《一般工业固体废物贮存和填埋污染控制标准》(GB18599-2020)等法律法规要求，按规范建设一般固体废物暂存场所，对产生的固体废物进行分类收集、贮存、转移和处置，确保固体废物妥善处置。运营期项目产生的废边角料、收集的粉尘及废包装材料收集后由物资部门回收；废活性炭、废润滑油等危险废物收集后委托有资质危废处置单位处理；生活垃圾由环卫部门统一清运处理。</w:t>
                  </w:r>
                </w:p>
              </w:tc>
              <w:tc>
                <w:tcPr>
                  <w:tcW w:w="2408" w:type="pct"/>
                  <w:tcBorders>
                    <w:tl2br w:val="nil"/>
                    <w:tr2bl w:val="nil"/>
                  </w:tcBorders>
                  <w:vAlign w:val="center"/>
                </w:tcPr>
                <w:p>
                  <w:pPr>
                    <w:keepNext w:val="0"/>
                    <w:keepLines w:val="0"/>
                    <w:pageBreakBefore w:val="0"/>
                    <w:widowControl/>
                    <w:kinsoku/>
                    <w:wordWrap w:val="0"/>
                    <w:overflowPunct/>
                    <w:topLinePunct w:val="0"/>
                    <w:bidi w:val="0"/>
                    <w:adjustRightInd w:val="0"/>
                    <w:spacing w:line="240" w:lineRule="auto"/>
                    <w:ind w:firstLine="420" w:firstLineChars="200"/>
                    <w:jc w:val="both"/>
                    <w:textAlignment w:val="auto"/>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t>项目厂区设置一般固废临时堆放点，一般固废分类收集贮存后，定期委托物资单位回收利用。废活性炭、废润滑油属于危险废物，危险废物贮存于危废仓库内，定期委托有资质处理单位进行处理。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379" w:type="pct"/>
                  <w:tcBorders>
                    <w:tl2br w:val="nil"/>
                    <w:tr2bl w:val="nil"/>
                  </w:tcBorders>
                  <w:vAlign w:val="center"/>
                </w:tcPr>
                <w:p>
                  <w:pPr>
                    <w:pStyle w:val="29"/>
                    <w:keepNext w:val="0"/>
                    <w:keepLines w:val="0"/>
                    <w:pageBreakBefore w:val="0"/>
                    <w:kinsoku/>
                    <w:wordWrap w:val="0"/>
                    <w:overflowPunct/>
                    <w:topLinePunct w:val="0"/>
                    <w:bidi w:val="0"/>
                    <w:jc w:val="center"/>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7</w:t>
                  </w:r>
                </w:p>
              </w:tc>
              <w:tc>
                <w:tcPr>
                  <w:tcW w:w="2212"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right="0" w:rightChars="0" w:firstLine="420" w:firstLineChars="200"/>
                    <w:jc w:val="both"/>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厂区应合理布局，选用低噪声设备，并采取综合降噪措施，确保厂界噪声达标。</w:t>
                  </w:r>
                </w:p>
              </w:tc>
              <w:tc>
                <w:tcPr>
                  <w:tcW w:w="2408" w:type="pct"/>
                  <w:tcBorders>
                    <w:tl2br w:val="nil"/>
                    <w:tr2bl w:val="nil"/>
                  </w:tcBorders>
                  <w:vAlign w:val="center"/>
                </w:tcPr>
                <w:p>
                  <w:pPr>
                    <w:keepNext w:val="0"/>
                    <w:keepLines w:val="0"/>
                    <w:pageBreakBefore w:val="0"/>
                    <w:widowControl/>
                    <w:kinsoku/>
                    <w:wordWrap w:val="0"/>
                    <w:overflowPunct/>
                    <w:topLinePunct w:val="0"/>
                    <w:bidi w:val="0"/>
                    <w:adjustRightInd w:val="0"/>
                    <w:spacing w:line="240" w:lineRule="auto"/>
                    <w:ind w:firstLine="420" w:firstLineChars="200"/>
                    <w:jc w:val="both"/>
                    <w:textAlignment w:val="auto"/>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厂区应合理布局，选用低噪声设备，并采取综合降噪措施，厂界噪声均能达标。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379" w:type="pct"/>
                  <w:tcBorders>
                    <w:tl2br w:val="nil"/>
                    <w:tr2bl w:val="nil"/>
                  </w:tcBorders>
                  <w:vAlign w:val="center"/>
                </w:tcPr>
                <w:p>
                  <w:pPr>
                    <w:pStyle w:val="29"/>
                    <w:keepNext w:val="0"/>
                    <w:keepLines w:val="0"/>
                    <w:pageBreakBefore w:val="0"/>
                    <w:kinsoku/>
                    <w:wordWrap w:val="0"/>
                    <w:overflowPunct/>
                    <w:topLinePunct w:val="0"/>
                    <w:bidi w:val="0"/>
                    <w:jc w:val="center"/>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8</w:t>
                  </w:r>
                </w:p>
              </w:tc>
              <w:tc>
                <w:tcPr>
                  <w:tcW w:w="2212"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right="0" w:rightChars="0" w:firstLine="420" w:firstLineChars="200"/>
                    <w:jc w:val="both"/>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严格执行报告表提出的各项污染物排放标准。</w:t>
                  </w:r>
                </w:p>
                <w:p>
                  <w:pPr>
                    <w:keepNext w:val="0"/>
                    <w:keepLines w:val="0"/>
                    <w:pageBreakBefore w:val="0"/>
                    <w:widowControl/>
                    <w:kinsoku/>
                    <w:wordWrap/>
                    <w:overflowPunct/>
                    <w:topLinePunct w:val="0"/>
                    <w:autoSpaceDE/>
                    <w:autoSpaceDN/>
                    <w:bidi w:val="0"/>
                    <w:adjustRightInd w:val="0"/>
                    <w:snapToGrid w:val="0"/>
                    <w:spacing w:line="240" w:lineRule="auto"/>
                    <w:ind w:right="0" w:rightChars="0" w:firstLine="420" w:firstLineChars="200"/>
                    <w:jc w:val="both"/>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1.水污染物排放标准。</w:t>
                  </w:r>
                </w:p>
                <w:p>
                  <w:pPr>
                    <w:keepNext w:val="0"/>
                    <w:keepLines w:val="0"/>
                    <w:pageBreakBefore w:val="0"/>
                    <w:widowControl/>
                    <w:kinsoku/>
                    <w:wordWrap/>
                    <w:overflowPunct/>
                    <w:topLinePunct w:val="0"/>
                    <w:autoSpaceDE/>
                    <w:autoSpaceDN/>
                    <w:bidi w:val="0"/>
                    <w:adjustRightInd w:val="0"/>
                    <w:snapToGrid w:val="0"/>
                    <w:spacing w:line="240" w:lineRule="auto"/>
                    <w:ind w:right="0" w:rightChars="0" w:firstLine="420" w:firstLineChars="200"/>
                    <w:jc w:val="both"/>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项目生活污水执行《污水综合排放标准》(GB8978-1996)表4三级标准，同时满足长泰区东区污水处理厂进水水质标准。</w:t>
                  </w:r>
                </w:p>
                <w:p>
                  <w:pPr>
                    <w:keepNext w:val="0"/>
                    <w:keepLines w:val="0"/>
                    <w:pageBreakBefore w:val="0"/>
                    <w:widowControl/>
                    <w:kinsoku/>
                    <w:wordWrap/>
                    <w:overflowPunct/>
                    <w:topLinePunct w:val="0"/>
                    <w:autoSpaceDE/>
                    <w:autoSpaceDN/>
                    <w:bidi w:val="0"/>
                    <w:adjustRightInd w:val="0"/>
                    <w:snapToGrid w:val="0"/>
                    <w:spacing w:line="240" w:lineRule="auto"/>
                    <w:ind w:right="0" w:rightChars="0" w:firstLine="420" w:firstLineChars="200"/>
                    <w:jc w:val="both"/>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2.大气污染物排放标准。</w:t>
                  </w:r>
                </w:p>
                <w:p>
                  <w:pPr>
                    <w:keepNext w:val="0"/>
                    <w:keepLines w:val="0"/>
                    <w:pageBreakBefore w:val="0"/>
                    <w:widowControl/>
                    <w:kinsoku/>
                    <w:wordWrap/>
                    <w:overflowPunct/>
                    <w:topLinePunct w:val="0"/>
                    <w:autoSpaceDE/>
                    <w:autoSpaceDN/>
                    <w:bidi w:val="0"/>
                    <w:adjustRightInd w:val="0"/>
                    <w:snapToGrid w:val="0"/>
                    <w:spacing w:line="240" w:lineRule="auto"/>
                    <w:ind w:right="0" w:rightChars="0" w:firstLine="420" w:firstLineChars="200"/>
                    <w:jc w:val="both"/>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项目切割、钻铣、抛光过程中产生的粉尘排放执行《大气污染物综合排放标准》GB16297-1996表2无组织排放监控浓度限值；项目注塑过程产生的有机废气排放执行《合成树脂工业污染物排放标准》(GB31572-2015)表4大气污染物排放限值要求及表9无组织排放控制要求；厂界内无组织排放浓度参照执行《挥发性有机物无组织排放控制标准》(GB37822-2019)附录A表A.1中相关浓度限值。</w:t>
                  </w:r>
                </w:p>
                <w:p>
                  <w:pPr>
                    <w:keepNext w:val="0"/>
                    <w:keepLines w:val="0"/>
                    <w:pageBreakBefore w:val="0"/>
                    <w:widowControl/>
                    <w:kinsoku/>
                    <w:wordWrap/>
                    <w:overflowPunct/>
                    <w:topLinePunct w:val="0"/>
                    <w:autoSpaceDE/>
                    <w:autoSpaceDN/>
                    <w:bidi w:val="0"/>
                    <w:adjustRightInd w:val="0"/>
                    <w:snapToGrid w:val="0"/>
                    <w:spacing w:line="240" w:lineRule="auto"/>
                    <w:ind w:right="0" w:rightChars="0" w:firstLine="420" w:firstLineChars="200"/>
                    <w:jc w:val="both"/>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3.项目厂界噪声执行《工业企业厂界环境噪声排放标准》(GB12348-2008)3类标准。</w:t>
                  </w:r>
                </w:p>
                <w:p>
                  <w:pPr>
                    <w:keepNext w:val="0"/>
                    <w:keepLines w:val="0"/>
                    <w:pageBreakBefore w:val="0"/>
                    <w:widowControl/>
                    <w:kinsoku/>
                    <w:wordWrap/>
                    <w:overflowPunct/>
                    <w:topLinePunct w:val="0"/>
                    <w:autoSpaceDE/>
                    <w:autoSpaceDN/>
                    <w:bidi w:val="0"/>
                    <w:adjustRightInd w:val="0"/>
                    <w:snapToGrid w:val="0"/>
                    <w:spacing w:line="240" w:lineRule="auto"/>
                    <w:ind w:right="0" w:rightChars="0" w:firstLine="420" w:firstLineChars="200"/>
                    <w:jc w:val="both"/>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其它污染物排放应严格按照国家有关法律法规政策执行。污染物排放标准如有更新应执行新标准。</w:t>
                  </w:r>
                </w:p>
              </w:tc>
              <w:tc>
                <w:tcPr>
                  <w:tcW w:w="2408" w:type="pct"/>
                  <w:tcBorders>
                    <w:tl2br w:val="nil"/>
                    <w:tr2bl w:val="nil"/>
                  </w:tcBorders>
                  <w:vAlign w:val="center"/>
                </w:tcPr>
                <w:p>
                  <w:pPr>
                    <w:keepNext w:val="0"/>
                    <w:keepLines w:val="0"/>
                    <w:pageBreakBefore w:val="0"/>
                    <w:widowControl/>
                    <w:kinsoku/>
                    <w:wordWrap w:val="0"/>
                    <w:overflowPunct/>
                    <w:topLinePunct w:val="0"/>
                    <w:bidi w:val="0"/>
                    <w:adjustRightInd w:val="0"/>
                    <w:spacing w:line="240" w:lineRule="auto"/>
                    <w:ind w:firstLine="420" w:firstLineChars="200"/>
                    <w:jc w:val="both"/>
                    <w:textAlignment w:val="auto"/>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t>已按环评批复要求落实。</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379" w:type="pct"/>
                  <w:tcBorders>
                    <w:tl2br w:val="nil"/>
                    <w:tr2bl w:val="nil"/>
                  </w:tcBorders>
                  <w:vAlign w:val="center"/>
                </w:tcPr>
                <w:p>
                  <w:pPr>
                    <w:pStyle w:val="29"/>
                    <w:keepNext w:val="0"/>
                    <w:keepLines w:val="0"/>
                    <w:pageBreakBefore w:val="0"/>
                    <w:kinsoku/>
                    <w:wordWrap w:val="0"/>
                    <w:overflowPunct/>
                    <w:topLinePunct w:val="0"/>
                    <w:bidi w:val="0"/>
                    <w:jc w:val="center"/>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9</w:t>
                  </w:r>
                </w:p>
              </w:tc>
              <w:tc>
                <w:tcPr>
                  <w:tcW w:w="2212"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项目建成后新增挥发性有机物总量0.99吨/年，按1.05倍区域削减量替代，替代削减量为挥发性有机物1.0395吨/年，由《漳州市长泰生态环境局关于第二批挥发性有机物(VOCs)储备情况的通知》(泰环〔2022〕24号)中已收储第二批挥发性有机物(VOCs)中的1.0395吨作为本项目挥发性有机物区域内现役源1.05倍减量替代。你公司应严格落实各项污染物排放总量控制措施，确保不超总量排放。</w:t>
                  </w:r>
                </w:p>
              </w:tc>
              <w:tc>
                <w:tcPr>
                  <w:tcW w:w="2408" w:type="pct"/>
                  <w:tcBorders>
                    <w:tl2br w:val="nil"/>
                    <w:tr2bl w:val="nil"/>
                  </w:tcBorders>
                  <w:vAlign w:val="center"/>
                </w:tcPr>
                <w:p>
                  <w:pPr>
                    <w:keepNext w:val="0"/>
                    <w:keepLines w:val="0"/>
                    <w:pageBreakBefore w:val="0"/>
                    <w:widowControl/>
                    <w:kinsoku/>
                    <w:wordWrap w:val="0"/>
                    <w:overflowPunct/>
                    <w:topLinePunct w:val="0"/>
                    <w:bidi w:val="0"/>
                    <w:adjustRightInd w:val="0"/>
                    <w:spacing w:line="240" w:lineRule="auto"/>
                    <w:ind w:firstLine="420" w:firstLineChars="200"/>
                    <w:jc w:val="both"/>
                    <w:textAlignment w:val="auto"/>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t>已按环评批复要求落实，未超总量排放。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379" w:type="pct"/>
                  <w:tcBorders>
                    <w:tl2br w:val="nil"/>
                    <w:tr2bl w:val="nil"/>
                  </w:tcBorders>
                  <w:vAlign w:val="center"/>
                </w:tcPr>
                <w:p>
                  <w:pPr>
                    <w:pStyle w:val="29"/>
                    <w:keepNext w:val="0"/>
                    <w:keepLines w:val="0"/>
                    <w:pageBreakBefore w:val="0"/>
                    <w:kinsoku/>
                    <w:wordWrap w:val="0"/>
                    <w:overflowPunct/>
                    <w:topLinePunct w:val="0"/>
                    <w:bidi w:val="0"/>
                    <w:jc w:val="center"/>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10</w:t>
                  </w:r>
                </w:p>
              </w:tc>
              <w:tc>
                <w:tcPr>
                  <w:tcW w:w="2212" w:type="pct"/>
                  <w:tcBorders>
                    <w:tl2br w:val="nil"/>
                    <w:tr2bl w:val="nil"/>
                  </w:tcBorders>
                  <w:vAlign w:val="center"/>
                </w:tcPr>
                <w:p>
                  <w:pPr>
                    <w:keepNext w:val="0"/>
                    <w:keepLines w:val="0"/>
                    <w:pageBreakBefore w:val="0"/>
                    <w:widowControl w:val="0"/>
                    <w:kinsoku/>
                    <w:wordWrap w:val="0"/>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建设单位应依法申领排污许可证，并及时组织项目竣工验收，验收通过后，项目方可投入生产。</w:t>
                  </w:r>
                </w:p>
              </w:tc>
              <w:tc>
                <w:tcPr>
                  <w:tcW w:w="2408" w:type="pct"/>
                  <w:tcBorders>
                    <w:tl2br w:val="nil"/>
                    <w:tr2bl w:val="nil"/>
                  </w:tcBorders>
                  <w:vAlign w:val="center"/>
                </w:tcPr>
                <w:p>
                  <w:pPr>
                    <w:keepNext w:val="0"/>
                    <w:keepLines w:val="0"/>
                    <w:pageBreakBefore w:val="0"/>
                    <w:widowControl/>
                    <w:kinsoku/>
                    <w:wordWrap w:val="0"/>
                    <w:overflowPunct/>
                    <w:topLinePunct w:val="0"/>
                    <w:bidi w:val="0"/>
                    <w:adjustRightInd w:val="0"/>
                    <w:spacing w:line="240" w:lineRule="auto"/>
                    <w:ind w:firstLine="420" w:firstLineChars="200"/>
                    <w:jc w:val="both"/>
                    <w:textAlignment w:val="auto"/>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t>项目已进行排污许可登记，并按要求开展竣工验收工作。</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379" w:type="pct"/>
                  <w:tcBorders>
                    <w:tl2br w:val="nil"/>
                    <w:tr2bl w:val="nil"/>
                  </w:tcBorders>
                  <w:vAlign w:val="center"/>
                </w:tcPr>
                <w:p>
                  <w:pPr>
                    <w:pStyle w:val="29"/>
                    <w:keepNext w:val="0"/>
                    <w:keepLines w:val="0"/>
                    <w:pageBreakBefore w:val="0"/>
                    <w:kinsoku/>
                    <w:wordWrap w:val="0"/>
                    <w:overflowPunct/>
                    <w:topLinePunct w:val="0"/>
                    <w:bidi w:val="0"/>
                    <w:jc w:val="center"/>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11</w:t>
                  </w:r>
                </w:p>
              </w:tc>
              <w:tc>
                <w:tcPr>
                  <w:tcW w:w="2212"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right="0" w:rightChars="0" w:firstLine="420" w:firstLineChars="200"/>
                    <w:jc w:val="both"/>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依法公开环境信息，配合当地政府做好周边群众的宣传工作，加强与周围公众的沟通，及时解决公众担忧的环境问题，防范与化解环境风险，维护群众环境权益和社会稳定。</w:t>
                  </w:r>
                </w:p>
              </w:tc>
              <w:tc>
                <w:tcPr>
                  <w:tcW w:w="2408" w:type="pct"/>
                  <w:tcBorders>
                    <w:tl2br w:val="nil"/>
                    <w:tr2bl w:val="nil"/>
                  </w:tcBorders>
                  <w:vAlign w:val="center"/>
                </w:tcPr>
                <w:p>
                  <w:pPr>
                    <w:keepNext w:val="0"/>
                    <w:keepLines w:val="0"/>
                    <w:pageBreakBefore w:val="0"/>
                    <w:widowControl/>
                    <w:kinsoku/>
                    <w:wordWrap w:val="0"/>
                    <w:overflowPunct/>
                    <w:topLinePunct w:val="0"/>
                    <w:bidi w:val="0"/>
                    <w:adjustRightInd w:val="0"/>
                    <w:spacing w:line="240" w:lineRule="auto"/>
                    <w:ind w:firstLine="420" w:firstLineChars="200"/>
                    <w:jc w:val="both"/>
                    <w:textAlignment w:val="auto"/>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t>已按环评批复要求落实。</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379" w:type="pct"/>
                  <w:tcBorders>
                    <w:tl2br w:val="nil"/>
                    <w:tr2bl w:val="nil"/>
                  </w:tcBorders>
                  <w:vAlign w:val="center"/>
                </w:tcPr>
                <w:p>
                  <w:pPr>
                    <w:pStyle w:val="29"/>
                    <w:keepNext w:val="0"/>
                    <w:keepLines w:val="0"/>
                    <w:pageBreakBefore w:val="0"/>
                    <w:kinsoku/>
                    <w:wordWrap w:val="0"/>
                    <w:overflowPunct/>
                    <w:topLinePunct w:val="0"/>
                    <w:bidi w:val="0"/>
                    <w:jc w:val="center"/>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12</w:t>
                  </w:r>
                </w:p>
              </w:tc>
              <w:tc>
                <w:tcPr>
                  <w:tcW w:w="2212"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right="0" w:rightChars="0" w:firstLine="420" w:firstLineChars="200"/>
                    <w:jc w:val="both"/>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漳州市长泰生态环境局落实属地原则，负责项目日常监督管理工作；长泰区生态环境保护综合执法大队负责项目环保“三同时”监督检查。</w:t>
                  </w:r>
                </w:p>
              </w:tc>
              <w:tc>
                <w:tcPr>
                  <w:tcW w:w="2408" w:type="pct"/>
                  <w:tcBorders>
                    <w:tl2br w:val="nil"/>
                    <w:tr2bl w:val="nil"/>
                  </w:tcBorders>
                  <w:vAlign w:val="center"/>
                </w:tcPr>
                <w:p>
                  <w:pPr>
                    <w:keepNext w:val="0"/>
                    <w:keepLines w:val="0"/>
                    <w:pageBreakBefore w:val="0"/>
                    <w:widowControl/>
                    <w:kinsoku/>
                    <w:wordWrap w:val="0"/>
                    <w:overflowPunct/>
                    <w:topLinePunct w:val="0"/>
                    <w:bidi w:val="0"/>
                    <w:adjustRightInd w:val="0"/>
                    <w:spacing w:line="240" w:lineRule="auto"/>
                    <w:ind w:firstLine="420" w:firstLineChars="200"/>
                    <w:jc w:val="both"/>
                    <w:textAlignment w:val="auto"/>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t>已按环评批复要求落实。</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379" w:type="pct"/>
                  <w:tcBorders>
                    <w:tl2br w:val="nil"/>
                    <w:tr2bl w:val="nil"/>
                  </w:tcBorders>
                  <w:vAlign w:val="center"/>
                </w:tcPr>
                <w:p>
                  <w:pPr>
                    <w:pStyle w:val="29"/>
                    <w:keepNext w:val="0"/>
                    <w:keepLines w:val="0"/>
                    <w:pageBreakBefore w:val="0"/>
                    <w:kinsoku/>
                    <w:wordWrap w:val="0"/>
                    <w:overflowPunct/>
                    <w:topLinePunct w:val="0"/>
                    <w:bidi w:val="0"/>
                    <w:jc w:val="center"/>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13</w:t>
                  </w:r>
                </w:p>
              </w:tc>
              <w:tc>
                <w:tcPr>
                  <w:tcW w:w="2212"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ind w:right="0" w:rightChars="0" w:firstLine="420" w:firstLineChars="200"/>
                    <w:jc w:val="both"/>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请你单位在收到批复后一个月内将经批复的环境影响报告表，在工程开工前1个月内将项目建设计划进度表、施工期污染防治措施实施计划、污染监测计划和方案等有关材料上传福建省生态环境亲清服务平台，并接受漳州市长泰生态环境局、长区生态环境保护综合执法大队监督检查</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p>
              </w:tc>
              <w:tc>
                <w:tcPr>
                  <w:tcW w:w="2408" w:type="pct"/>
                  <w:tcBorders>
                    <w:tl2br w:val="nil"/>
                    <w:tr2bl w:val="nil"/>
                  </w:tcBorders>
                  <w:vAlign w:val="center"/>
                </w:tcPr>
                <w:p>
                  <w:pPr>
                    <w:keepNext w:val="0"/>
                    <w:keepLines w:val="0"/>
                    <w:pageBreakBefore w:val="0"/>
                    <w:widowControl/>
                    <w:kinsoku/>
                    <w:wordWrap w:val="0"/>
                    <w:overflowPunct/>
                    <w:topLinePunct w:val="0"/>
                    <w:bidi w:val="0"/>
                    <w:adjustRightInd w:val="0"/>
                    <w:spacing w:line="240" w:lineRule="auto"/>
                    <w:ind w:firstLine="420" w:firstLineChars="200"/>
                    <w:jc w:val="both"/>
                    <w:textAlignment w:val="auto"/>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t>已按环评批复要求落实。</w:t>
                  </w:r>
                </w:p>
              </w:tc>
            </w:tr>
          </w:tbl>
          <w:p>
            <w:pPr>
              <w:pStyle w:val="29"/>
              <w:spacing w:line="360" w:lineRule="auto"/>
              <w:jc w:val="both"/>
              <w:rPr>
                <w:rFonts w:hint="default" w:ascii="Times New Roman" w:hAnsi="Times New Roman" w:eastAsia="宋体" w:cs="Times New Roman"/>
                <w:color w:val="0000FF"/>
              </w:rPr>
            </w:pPr>
          </w:p>
        </w:tc>
      </w:tr>
    </w:tbl>
    <w:p>
      <w:pPr>
        <w:spacing w:line="360" w:lineRule="auto"/>
        <w:rPr>
          <w:rFonts w:hint="default" w:ascii="Times New Roman" w:hAnsi="Times New Roman" w:eastAsia="宋体" w:cs="Times New Roman"/>
          <w:color w:val="0000FF"/>
          <w:sz w:val="21"/>
          <w:szCs w:val="21"/>
        </w:rPr>
        <w:sectPr>
          <w:footerReference r:id="rId6" w:type="default"/>
          <w:pgSz w:w="11906" w:h="16838"/>
          <w:pgMar w:top="1440" w:right="1440" w:bottom="1440" w:left="1701" w:header="709" w:footer="709" w:gutter="0"/>
          <w:pgBorders>
            <w:top w:val="none" w:sz="0" w:space="0"/>
            <w:left w:val="none" w:sz="0" w:space="0"/>
            <w:bottom w:val="none" w:sz="0" w:space="0"/>
            <w:right w:val="none" w:sz="0" w:space="0"/>
          </w:pgBorders>
          <w:cols w:space="0" w:num="1"/>
          <w:docGrid w:linePitch="360" w:charSpace="0"/>
        </w:sectPr>
      </w:pPr>
    </w:p>
    <w:p>
      <w:pPr>
        <w:spacing w:line="360" w:lineRule="auto"/>
        <w:outlineLvl w:val="0"/>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表五</w:t>
      </w:r>
    </w:p>
    <w:tbl>
      <w:tblPr>
        <w:tblStyle w:val="23"/>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52" w:hRule="atLeast"/>
        </w:trPr>
        <w:tc>
          <w:tcPr>
            <w:tcW w:w="8522" w:type="dxa"/>
          </w:tcPr>
          <w:p>
            <w:pPr>
              <w:widowControl/>
              <w:spacing w:line="360" w:lineRule="auto"/>
              <w:jc w:val="both"/>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验收监测质量保证及质量控制</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详见附件5检测报告</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w:t>
            </w:r>
          </w:p>
          <w:p>
            <w:pPr>
              <w:widowControl w:val="0"/>
              <w:adjustRightInd/>
              <w:spacing w:line="360" w:lineRule="auto"/>
              <w:ind w:firstLine="480" w:firstLineChars="200"/>
              <w:jc w:val="both"/>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1、监测分析方法</w:t>
            </w:r>
          </w:p>
          <w:p>
            <w:pPr>
              <w:widowControl w:val="0"/>
              <w:adjustRightInd/>
              <w:spacing w:line="360" w:lineRule="auto"/>
              <w:ind w:firstLine="480" w:firstLineChars="200"/>
              <w:jc w:val="both"/>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此次验收监测的分析方法按环境要素说明各项监测因子监测分析方法名称、方法标准号或方法来源、分析方法的最低检出限，详见下表。</w:t>
            </w:r>
          </w:p>
          <w:p>
            <w:pPr>
              <w:widowControl w:val="0"/>
              <w:adjustRightInd/>
              <w:spacing w:line="360" w:lineRule="auto"/>
              <w:ind w:firstLine="422" w:firstLineChars="200"/>
              <w:jc w:val="center"/>
              <w:rPr>
                <w:rFonts w:hint="default" w:ascii="Times New Roman" w:hAnsi="Times New Roman" w:eastAsia="宋体" w:cs="Times New Roman"/>
                <w:b/>
                <w:bCs/>
                <w:color w:val="000000" w:themeColor="text1"/>
                <w:sz w:val="21"/>
                <w:szCs w:val="21"/>
                <w14:textFill>
                  <w14:solidFill>
                    <w14:schemeClr w14:val="tx1"/>
                  </w14:solidFill>
                </w14:textFill>
              </w:rPr>
            </w:pPr>
            <w:bookmarkStart w:id="1" w:name="_Toc1961"/>
            <w:r>
              <w:rPr>
                <w:rFonts w:hint="default" w:ascii="Times New Roman" w:hAnsi="Times New Roman" w:eastAsia="宋体" w:cs="Times New Roman"/>
                <w:b/>
                <w:bCs/>
                <w:color w:val="000000" w:themeColor="text1"/>
                <w:sz w:val="21"/>
                <w:szCs w:val="21"/>
                <w14:textFill>
                  <w14:solidFill>
                    <w14:schemeClr w14:val="tx1"/>
                  </w14:solidFill>
                </w14:textFill>
              </w:rPr>
              <w:t>表5-1监测分析方法</w:t>
            </w:r>
            <w:bookmarkEnd w:id="1"/>
            <w:r>
              <w:rPr>
                <w:rFonts w:hint="default" w:ascii="Times New Roman" w:hAnsi="Times New Roman" w:eastAsia="宋体" w:cs="Times New Roman"/>
                <w:b/>
                <w:bCs/>
                <w:color w:val="000000" w:themeColor="text1"/>
                <w:sz w:val="21"/>
                <w:szCs w:val="21"/>
                <w14:textFill>
                  <w14:solidFill>
                    <w14:schemeClr w14:val="tx1"/>
                  </w14:solidFill>
                </w14:textFill>
              </w:rPr>
              <w:t>表</w:t>
            </w:r>
          </w:p>
          <w:tbl>
            <w:tblPr>
              <w:tblStyle w:val="22"/>
              <w:tblW w:w="827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40"/>
              <w:gridCol w:w="1452"/>
              <w:gridCol w:w="4370"/>
              <w:gridCol w:w="131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0" w:type="dxa"/>
                  <w:noWrap w:val="0"/>
                  <w:vAlign w:val="center"/>
                </w:tcPr>
                <w:p>
                  <w:pPr>
                    <w:pStyle w:val="43"/>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检测类别</w:t>
                  </w:r>
                </w:p>
              </w:tc>
              <w:tc>
                <w:tcPr>
                  <w:tcW w:w="1452" w:type="dxa"/>
                  <w:noWrap w:val="0"/>
                  <w:vAlign w:val="center"/>
                </w:tcPr>
                <w:p>
                  <w:pPr>
                    <w:pStyle w:val="43"/>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分析项目</w:t>
                  </w:r>
                </w:p>
              </w:tc>
              <w:tc>
                <w:tcPr>
                  <w:tcW w:w="4370" w:type="dxa"/>
                  <w:noWrap w:val="0"/>
                  <w:vAlign w:val="center"/>
                </w:tcPr>
                <w:p>
                  <w:pPr>
                    <w:pStyle w:val="43"/>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依据方法</w:t>
                  </w:r>
                </w:p>
              </w:tc>
              <w:tc>
                <w:tcPr>
                  <w:tcW w:w="1317" w:type="dxa"/>
                  <w:noWrap w:val="0"/>
                  <w:vAlign w:val="center"/>
                </w:tcPr>
                <w:p>
                  <w:pPr>
                    <w:pStyle w:val="43"/>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最低</w:t>
                  </w:r>
                </w:p>
                <w:p>
                  <w:pPr>
                    <w:pStyle w:val="43"/>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检出限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0" w:type="dxa"/>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物理因素</w:t>
                  </w:r>
                </w:p>
              </w:tc>
              <w:tc>
                <w:tcPr>
                  <w:tcW w:w="1452" w:type="dxa"/>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厂界噪声</w:t>
                  </w:r>
                </w:p>
              </w:tc>
              <w:tc>
                <w:tcPr>
                  <w:tcW w:w="4370" w:type="dxa"/>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sz w:val="21"/>
                      <w:szCs w:val="21"/>
                    </w:rPr>
                    <w:t>工业企业厂界环境噪声排放标准GB 12348-2008及环境噪声监测技术规范 噪声测量值修正 HJ 706-2014</w:t>
                  </w:r>
                </w:p>
              </w:tc>
              <w:tc>
                <w:tcPr>
                  <w:tcW w:w="1317" w:type="dxa"/>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000000" w:themeColor="text1"/>
                      <w:kern w:val="2"/>
                      <w:sz w:val="21"/>
                      <w:szCs w:val="21"/>
                      <w:vertAlign w:val="superscript"/>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35dB</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0" w:type="dxa"/>
                  <w:noWrap w:val="0"/>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bookmarkStart w:id="2" w:name="OLE_LINK1" w:colFirst="1" w:colLast="2"/>
                  <w:r>
                    <w:rPr>
                      <w:rFonts w:hint="default" w:ascii="Times New Roman" w:hAnsi="Times New Roman" w:eastAsia="宋体" w:cs="Times New Roman"/>
                      <w:color w:val="000000"/>
                      <w:sz w:val="21"/>
                      <w:szCs w:val="21"/>
                    </w:rPr>
                    <w:t>有组织废气</w:t>
                  </w:r>
                </w:p>
              </w:tc>
              <w:tc>
                <w:tcPr>
                  <w:tcW w:w="1452" w:type="dxa"/>
                  <w:noWrap w:val="0"/>
                  <w:vAlign w:val="center"/>
                </w:tcPr>
                <w:p>
                  <w:pPr>
                    <w:jc w:val="center"/>
                    <w:rPr>
                      <w:rFonts w:hint="default" w:ascii="Times New Roman" w:hAnsi="Times New Roman" w:eastAsia="宋体" w:cs="Times New Roman"/>
                      <w:i w:val="0"/>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szCs w:val="21"/>
                      <w:lang w:val="en-US" w:eastAsia="zh-CN"/>
                    </w:rPr>
                    <w:t>非甲烷总烃</w:t>
                  </w:r>
                </w:p>
              </w:tc>
              <w:tc>
                <w:tcPr>
                  <w:tcW w:w="4370" w:type="dxa"/>
                  <w:noWrap w:val="0"/>
                  <w:vAlign w:val="center"/>
                </w:tcPr>
                <w:p>
                  <w:pPr>
                    <w:spacing w:line="280" w:lineRule="atLeast"/>
                    <w:jc w:val="center"/>
                    <w:rPr>
                      <w:rFonts w:hint="default" w:ascii="Times New Roman" w:hAnsi="Times New Roman" w:eastAsia="宋体" w:cs="Times New Roman"/>
                      <w:i w:val="0"/>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sz w:val="21"/>
                      <w:szCs w:val="21"/>
                    </w:rPr>
                    <w:t>固定污染源废气  总烃、甲烷和非甲烷总烃的测定 气相色谱法  HJ 38-2017</w:t>
                  </w:r>
                </w:p>
              </w:tc>
              <w:tc>
                <w:tcPr>
                  <w:tcW w:w="1317" w:type="dxa"/>
                  <w:noWrap w:val="0"/>
                  <w:vAlign w:val="center"/>
                </w:tcPr>
                <w:p>
                  <w:pPr>
                    <w:widowControl/>
                    <w:spacing w:line="240" w:lineRule="atLeast"/>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sz w:val="21"/>
                      <w:szCs w:val="21"/>
                    </w:rPr>
                    <w:t>0.07mg/m</w:t>
                  </w:r>
                  <w:r>
                    <w:rPr>
                      <w:rFonts w:hint="default" w:ascii="Times New Roman" w:hAnsi="Times New Roman" w:eastAsia="宋体" w:cs="Times New Roman"/>
                      <w:sz w:val="21"/>
                      <w:szCs w:val="21"/>
                      <w:vertAlign w:val="superscript"/>
                    </w:rPr>
                    <w:t>3</w:t>
                  </w:r>
                </w:p>
              </w:tc>
            </w:tr>
            <w:bookmarkEnd w:id="2"/>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0" w:type="dxa"/>
                  <w:vMerge w:val="restart"/>
                  <w:shd w:val="clear" w:color="auto" w:fill="auto"/>
                  <w:noWrap w:val="0"/>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kern w:val="0"/>
                      <w:szCs w:val="21"/>
                      <w:lang w:eastAsia="zh-CN"/>
                    </w:rPr>
                    <w:t>无组织废气</w:t>
                  </w:r>
                </w:p>
              </w:tc>
              <w:tc>
                <w:tcPr>
                  <w:tcW w:w="1452" w:type="dxa"/>
                  <w:shd w:val="clear" w:color="auto" w:fill="auto"/>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4370" w:type="dxa"/>
                  <w:shd w:val="clear" w:color="auto" w:fill="FFFFFF"/>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Style w:val="68"/>
                      <w:rFonts w:hint="default" w:ascii="Times New Roman" w:hAnsi="Times New Roman" w:eastAsia="宋体" w:cs="Times New Roman"/>
                      <w:color w:val="auto"/>
                      <w:sz w:val="21"/>
                      <w:szCs w:val="21"/>
                      <w:highlight w:val="none"/>
                      <w:lang w:val="en-US" w:eastAsia="zh-CN" w:bidi="ar"/>
                    </w:rPr>
                    <w:t>环境空气</w:t>
                  </w:r>
                  <w:r>
                    <w:rPr>
                      <w:rStyle w:val="51"/>
                      <w:rFonts w:hint="default" w:ascii="Times New Roman" w:hAnsi="Times New Roman" w:eastAsia="宋体" w:cs="Times New Roman"/>
                      <w:color w:val="auto"/>
                      <w:sz w:val="21"/>
                      <w:szCs w:val="21"/>
                      <w:highlight w:val="none"/>
                      <w:lang w:val="en-US" w:eastAsia="zh-CN" w:bidi="ar"/>
                    </w:rPr>
                    <w:t xml:space="preserve"> </w:t>
                  </w:r>
                  <w:r>
                    <w:rPr>
                      <w:rStyle w:val="68"/>
                      <w:rFonts w:hint="default" w:ascii="Times New Roman" w:hAnsi="Times New Roman" w:eastAsia="宋体" w:cs="Times New Roman"/>
                      <w:color w:val="auto"/>
                      <w:sz w:val="21"/>
                      <w:szCs w:val="21"/>
                      <w:highlight w:val="none"/>
                      <w:lang w:val="en-US" w:eastAsia="zh-CN" w:bidi="ar"/>
                    </w:rPr>
                    <w:t>总悬浮颗粒物的测定</w:t>
                  </w:r>
                  <w:r>
                    <w:rPr>
                      <w:rStyle w:val="51"/>
                      <w:rFonts w:hint="default" w:ascii="Times New Roman" w:hAnsi="Times New Roman" w:eastAsia="宋体" w:cs="Times New Roman"/>
                      <w:color w:val="auto"/>
                      <w:sz w:val="21"/>
                      <w:szCs w:val="21"/>
                      <w:highlight w:val="none"/>
                      <w:lang w:val="en-US" w:eastAsia="zh-CN" w:bidi="ar"/>
                    </w:rPr>
                    <w:t xml:space="preserve"> </w:t>
                  </w:r>
                  <w:r>
                    <w:rPr>
                      <w:rStyle w:val="68"/>
                      <w:rFonts w:hint="default" w:ascii="Times New Roman" w:hAnsi="Times New Roman" w:eastAsia="宋体" w:cs="Times New Roman"/>
                      <w:color w:val="auto"/>
                      <w:sz w:val="21"/>
                      <w:szCs w:val="21"/>
                      <w:highlight w:val="none"/>
                      <w:lang w:val="en-US" w:eastAsia="zh-CN" w:bidi="ar"/>
                    </w:rPr>
                    <w:t>重量法</w:t>
                  </w:r>
                  <w:r>
                    <w:rPr>
                      <w:rStyle w:val="51"/>
                      <w:rFonts w:hint="default" w:ascii="Times New Roman" w:hAnsi="Times New Roman" w:eastAsia="宋体" w:cs="Times New Roman"/>
                      <w:color w:val="auto"/>
                      <w:sz w:val="21"/>
                      <w:szCs w:val="21"/>
                      <w:highlight w:val="none"/>
                      <w:lang w:val="en-US" w:eastAsia="zh-CN" w:bidi="ar"/>
                    </w:rPr>
                    <w:t>HJ 1263-2022</w:t>
                  </w:r>
                </w:p>
              </w:tc>
              <w:tc>
                <w:tcPr>
                  <w:tcW w:w="1317" w:type="dxa"/>
                  <w:noWrap w:val="0"/>
                  <w:vAlign w:val="center"/>
                </w:tcPr>
                <w:p>
                  <w:pPr>
                    <w:widowControl/>
                    <w:spacing w:line="240" w:lineRule="atLeast"/>
                    <w:jc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szCs w:val="21"/>
                      <w:highlight w:val="none"/>
                    </w:rPr>
                    <w:t>7μg/m</w:t>
                  </w:r>
                  <w:r>
                    <w:rPr>
                      <w:rFonts w:hint="default" w:ascii="Times New Roman" w:hAnsi="Times New Roman" w:eastAsia="宋体" w:cs="Times New Roman"/>
                      <w:szCs w:val="21"/>
                      <w:highlight w:val="none"/>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0" w:type="dxa"/>
                  <w:vMerge w:val="continue"/>
                  <w:shd w:val="clear" w:color="auto" w:fill="auto"/>
                  <w:noWrap w:val="0"/>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452" w:type="dxa"/>
                  <w:shd w:val="clear" w:color="auto" w:fill="auto"/>
                  <w:noWrap w:val="0"/>
                  <w:vAlign w:val="center"/>
                </w:tcPr>
                <w:p>
                  <w:pPr>
                    <w:jc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color w:val="000000"/>
                      <w:szCs w:val="21"/>
                      <w:lang w:val="en-US" w:eastAsia="zh-CN"/>
                    </w:rPr>
                    <w:t>非甲烷总烃</w:t>
                  </w:r>
                </w:p>
              </w:tc>
              <w:tc>
                <w:tcPr>
                  <w:tcW w:w="4370" w:type="dxa"/>
                  <w:shd w:val="clear" w:color="auto" w:fill="FFFFFF"/>
                  <w:noWrap w:val="0"/>
                  <w:vAlign w:val="center"/>
                </w:tcPr>
                <w:p>
                  <w:pPr>
                    <w:spacing w:line="280" w:lineRule="atLeas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环境空气 总烃、甲烷和非甲烷总烃的测定 </w:t>
                  </w:r>
                </w:p>
                <w:p>
                  <w:pPr>
                    <w:spacing w:line="280" w:lineRule="atLeast"/>
                    <w:jc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sz w:val="21"/>
                      <w:szCs w:val="21"/>
                    </w:rPr>
                    <w:t>直接进样-气相色谱法  HJ 604-2017</w:t>
                  </w:r>
                </w:p>
              </w:tc>
              <w:tc>
                <w:tcPr>
                  <w:tcW w:w="1317" w:type="dxa"/>
                  <w:noWrap w:val="0"/>
                  <w:vAlign w:val="center"/>
                </w:tcPr>
                <w:p>
                  <w:pPr>
                    <w:widowControl/>
                    <w:spacing w:line="240" w:lineRule="atLeast"/>
                    <w:jc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sz w:val="21"/>
                      <w:szCs w:val="21"/>
                    </w:rPr>
                    <w:t>0.07mg/m</w:t>
                  </w:r>
                  <w:r>
                    <w:rPr>
                      <w:rFonts w:hint="default" w:ascii="Times New Roman" w:hAnsi="Times New Roman" w:eastAsia="宋体" w:cs="Times New Roman"/>
                      <w:sz w:val="21"/>
                      <w:szCs w:val="21"/>
                      <w:vertAlign w:val="superscript"/>
                    </w:rPr>
                    <w:t>3</w:t>
                  </w:r>
                </w:p>
              </w:tc>
            </w:tr>
          </w:tbl>
          <w:p>
            <w:pPr>
              <w:widowControl w:val="0"/>
              <w:adjustRightInd/>
              <w:spacing w:line="360" w:lineRule="auto"/>
              <w:ind w:firstLine="422" w:firstLineChars="200"/>
              <w:jc w:val="center"/>
              <w:rPr>
                <w:rFonts w:hint="default" w:ascii="Times New Roman" w:hAnsi="Times New Roman" w:eastAsia="宋体" w:cs="Times New Roman"/>
                <w:b/>
                <w:bCs/>
                <w:color w:val="000000" w:themeColor="text1"/>
                <w:sz w:val="21"/>
                <w:szCs w:val="21"/>
                <w14:textFill>
                  <w14:solidFill>
                    <w14:schemeClr w14:val="tx1"/>
                  </w14:solidFill>
                </w14:textFill>
              </w:rPr>
            </w:pPr>
          </w:p>
          <w:p>
            <w:pPr>
              <w:widowControl w:val="0"/>
              <w:adjustRightInd/>
              <w:spacing w:line="360" w:lineRule="auto"/>
              <w:ind w:firstLine="480" w:firstLineChars="200"/>
              <w:jc w:val="both"/>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2、质控措施</w:t>
            </w:r>
          </w:p>
          <w:p>
            <w:pPr>
              <w:widowControl w:val="0"/>
              <w:adjustRightInd/>
              <w:spacing w:line="360" w:lineRule="auto"/>
              <w:ind w:firstLine="480" w:firstLineChars="200"/>
              <w:jc w:val="both"/>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（1）人员：承担监测任务的环境监测站通过资质认定，监测人员持证上岗。</w:t>
            </w:r>
          </w:p>
          <w:p>
            <w:pPr>
              <w:widowControl w:val="0"/>
              <w:adjustRightInd/>
              <w:spacing w:line="360" w:lineRule="auto"/>
              <w:ind w:firstLine="480" w:firstLineChars="200"/>
              <w:jc w:val="both"/>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2）设备：监测过程中使用的仪器设备符合国家有关标准和技术要求。《中华人民共和国强制检定的工作计量器具明细目录》里的仪器设备，经计量检定合格并在有效期内；不属于明细目录里的仪器设备，校准合格并在有效期内使用。</w:t>
            </w:r>
          </w:p>
          <w:p>
            <w:pPr>
              <w:widowControl w:val="0"/>
              <w:adjustRightInd/>
              <w:spacing w:line="360" w:lineRule="auto"/>
              <w:ind w:firstLine="480" w:firstLineChars="200"/>
              <w:jc w:val="both"/>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（3）监测时的工况调查：监测在企业生产设备处于正常运行状态下进行，核查工况，在建设项目竣工环境保护验收技术规范要求的负荷下采样。</w:t>
            </w:r>
          </w:p>
          <w:p>
            <w:pPr>
              <w:widowControl w:val="0"/>
              <w:adjustRightInd/>
              <w:spacing w:line="360" w:lineRule="auto"/>
              <w:ind w:firstLine="480" w:firstLineChars="200"/>
              <w:jc w:val="both"/>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4）采样：采样点位选取应考虑到合适性和代表性，采样严格按技术规范要求进行，采样点位若现场与方案布设的采样点位有出入，在现场记录表格中的右上角用红笔星号（※）做标记以示区别。废气采样时保证采样系统的密封性，测试前气密性检查、校零校标，并提供校准校标记录作为附件；废气采样采集平行样。噪声采样记录上反映监测时的风速，监测时加带风罩，监测前后用标准声源对仪器进行校准，校准结果不超过0.5dB数据方认为有效。</w:t>
            </w:r>
          </w:p>
          <w:p>
            <w:pPr>
              <w:widowControl w:val="0"/>
              <w:adjustRightInd/>
              <w:spacing w:line="360" w:lineRule="auto"/>
              <w:ind w:firstLine="480" w:firstLineChars="200"/>
              <w:jc w:val="both"/>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（5）样品的保存及运输：凡能做现场测定的项目，均应在现场测定；不能现场测定的，应加保存剂保存并在保存期内测定。</w:t>
            </w:r>
          </w:p>
          <w:p>
            <w:pPr>
              <w:widowControl w:val="0"/>
              <w:adjustRightInd/>
              <w:spacing w:line="360" w:lineRule="auto"/>
              <w:ind w:firstLine="480" w:firstLineChars="200"/>
              <w:jc w:val="both"/>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6）实验室分析：保证实验室条件，实验室用水、使用试剂、器皿符合要求。分析现场采集水质密码样，实验室水质分析、样品分析能做平行双样的加测10%以上平行样。当平行双样测定合格率低于95%时，除对当批样品重新测定外再增加样品数10%～20%的平行样，直至平行双样测定合格率大于95%。平行双样最终结果以双样的平均值报出。有证环境标准样品的带有证环境标准样品进行分析。</w:t>
            </w:r>
          </w:p>
          <w:p>
            <w:pPr>
              <w:widowControl/>
              <w:spacing w:line="360" w:lineRule="auto"/>
              <w:ind w:firstLine="480" w:firstLineChars="200"/>
              <w:jc w:val="both"/>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（7）采样记录、分析结果、监测方案及报告均严格执行三级审核制度。即所在检测科室的室主任、质控负责人和技术负责人逐级审核，发现问题及时解决，不得进入下一环节。</w:t>
            </w:r>
          </w:p>
          <w:p>
            <w:pPr>
              <w:pStyle w:val="2"/>
              <w:widowControl w:val="0"/>
              <w:jc w:val="both"/>
              <w:rPr>
                <w:rFonts w:hint="default" w:ascii="Times New Roman" w:hAnsi="Times New Roman" w:eastAsia="宋体" w:cs="Times New Roman"/>
                <w:color w:val="0000FF"/>
              </w:rPr>
            </w:pPr>
          </w:p>
          <w:p>
            <w:pPr>
              <w:pStyle w:val="2"/>
              <w:widowControl w:val="0"/>
              <w:jc w:val="both"/>
              <w:rPr>
                <w:rFonts w:hint="default" w:ascii="Times New Roman" w:hAnsi="Times New Roman" w:eastAsia="宋体" w:cs="Times New Roman"/>
                <w:color w:val="0000FF"/>
              </w:rPr>
            </w:pPr>
          </w:p>
        </w:tc>
      </w:tr>
    </w:tbl>
    <w:p>
      <w:pPr>
        <w:spacing w:line="360" w:lineRule="auto"/>
        <w:rPr>
          <w:rFonts w:hint="default" w:ascii="Times New Roman" w:hAnsi="Times New Roman" w:eastAsia="宋体" w:cs="Times New Roman"/>
          <w:color w:val="0000FF"/>
          <w:sz w:val="21"/>
          <w:szCs w:val="21"/>
        </w:rPr>
      </w:pPr>
    </w:p>
    <w:p>
      <w:pPr>
        <w:spacing w:line="360" w:lineRule="auto"/>
        <w:rPr>
          <w:rFonts w:hint="default" w:ascii="Times New Roman" w:hAnsi="Times New Roman" w:eastAsia="宋体" w:cs="Times New Roman"/>
          <w:color w:val="0000FF"/>
          <w:sz w:val="21"/>
          <w:szCs w:val="21"/>
        </w:rPr>
        <w:sectPr>
          <w:pgSz w:w="11906" w:h="16838"/>
          <w:pgMar w:top="1440" w:right="1440" w:bottom="1440" w:left="1701" w:header="709" w:footer="709" w:gutter="0"/>
          <w:pgBorders>
            <w:top w:val="none" w:sz="0" w:space="0"/>
            <w:left w:val="none" w:sz="0" w:space="0"/>
            <w:bottom w:val="none" w:sz="0" w:space="0"/>
            <w:right w:val="none" w:sz="0" w:space="0"/>
          </w:pgBorders>
          <w:cols w:space="0" w:num="1"/>
          <w:docGrid w:linePitch="360" w:charSpace="0"/>
        </w:sectPr>
      </w:pPr>
    </w:p>
    <w:p>
      <w:pPr>
        <w:spacing w:line="360" w:lineRule="auto"/>
        <w:outlineLvl w:val="0"/>
        <w:rPr>
          <w:rFonts w:hint="default" w:ascii="Times New Roman" w:hAnsi="Times New Roman" w:eastAsia="宋体" w:cs="Times New Roman"/>
          <w:b/>
          <w:color w:val="0000FF"/>
          <w:sz w:val="21"/>
          <w:szCs w:val="21"/>
        </w:rPr>
      </w:pPr>
      <w:r>
        <w:rPr>
          <w:rFonts w:hint="default" w:ascii="Times New Roman" w:hAnsi="Times New Roman" w:eastAsia="宋体" w:cs="Times New Roman"/>
          <w:b/>
          <w:color w:val="000000" w:themeColor="text1"/>
          <w:sz w:val="21"/>
          <w:szCs w:val="21"/>
          <w14:textFill>
            <w14:solidFill>
              <w14:schemeClr w14:val="tx1"/>
            </w14:solidFill>
          </w14:textFill>
        </w:rPr>
        <w:t>表六</w:t>
      </w:r>
    </w:p>
    <w:tbl>
      <w:tblPr>
        <w:tblStyle w:val="23"/>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49" w:hRule="atLeast"/>
        </w:trPr>
        <w:tc>
          <w:tcPr>
            <w:tcW w:w="8522" w:type="dxa"/>
          </w:tcPr>
          <w:p>
            <w:pPr>
              <w:widowControl/>
              <w:spacing w:line="360" w:lineRule="auto"/>
              <w:jc w:val="both"/>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验收监测内容：</w:t>
            </w:r>
          </w:p>
          <w:p>
            <w:pPr>
              <w:widowControl w:val="0"/>
              <w:adjustRightInd/>
              <w:snapToGrid/>
              <w:spacing w:line="360" w:lineRule="auto"/>
              <w:ind w:firstLine="480" w:firstLineChars="200"/>
              <w:jc w:val="both"/>
              <w:outlineLvl w:val="1"/>
              <w:rPr>
                <w:rFonts w:hint="default" w:ascii="Times New Roman" w:hAnsi="Times New Roman" w:eastAsia="宋体" w:cs="Times New Roman"/>
                <w:bCs/>
                <w:color w:val="000000" w:themeColor="text1"/>
                <w:sz w:val="24"/>
                <w:szCs w:val="24"/>
                <w14:textFill>
                  <w14:solidFill>
                    <w14:schemeClr w14:val="tx1"/>
                  </w14:solidFill>
                </w14:textFill>
              </w:rPr>
            </w:pPr>
            <w:bookmarkStart w:id="3" w:name="_Toc4084"/>
            <w:bookmarkStart w:id="4" w:name="_Toc24246"/>
            <w:r>
              <w:rPr>
                <w:rFonts w:hint="default" w:ascii="Times New Roman" w:hAnsi="Times New Roman" w:eastAsia="宋体" w:cs="Times New Roman"/>
                <w:bCs/>
                <w:color w:val="000000" w:themeColor="text1"/>
                <w:sz w:val="24"/>
                <w:szCs w:val="24"/>
                <w14:textFill>
                  <w14:solidFill>
                    <w14:schemeClr w14:val="tx1"/>
                  </w14:solidFill>
                </w14:textFill>
              </w:rPr>
              <w:t>1、环境保护设施调试效果</w:t>
            </w:r>
            <w:bookmarkEnd w:id="3"/>
            <w:bookmarkEnd w:id="4"/>
          </w:p>
          <w:p>
            <w:pPr>
              <w:widowControl w:val="0"/>
              <w:adjustRightInd/>
              <w:snapToGrid/>
              <w:spacing w:line="360" w:lineRule="auto"/>
              <w:ind w:firstLine="480" w:firstLineChars="200"/>
              <w:jc w:val="both"/>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通过对各类污染物达标排放排放及各类污染治理设施去除效率的监测，来说明环境保护设施调试效果，具体监测内容如下：</w:t>
            </w:r>
          </w:p>
          <w:p>
            <w:pPr>
              <w:widowControl w:val="0"/>
              <w:numPr>
                <w:ilvl w:val="0"/>
                <w:numId w:val="5"/>
              </w:numPr>
              <w:adjustRightInd/>
              <w:snapToGrid/>
              <w:spacing w:line="360" w:lineRule="auto"/>
              <w:ind w:firstLine="480" w:firstLineChars="200"/>
              <w:jc w:val="both"/>
              <w:outlineLvl w:val="2"/>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废水</w:t>
            </w:r>
          </w:p>
          <w:p>
            <w:pPr>
              <w:pStyle w:val="2"/>
              <w:widowControl w:val="0"/>
              <w:spacing w:line="360" w:lineRule="auto"/>
              <w:ind w:firstLine="480" w:firstLineChars="200"/>
              <w:jc w:val="both"/>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本项目外排废水主要为生活污水，生产废水循环使用不外排。由于项目地内有三家企业，废水一同经过三级化粪池处理后排入市政污水管网，最终汇入长泰县东区污水处理厂进行深度处理，因此本次验收不对生活废水进行监测</w:t>
            </w:r>
            <w:r>
              <w:rPr>
                <w:rFonts w:hint="default" w:ascii="Times New Roman" w:hAnsi="Times New Roman" w:eastAsia="宋体" w:cs="Times New Roman"/>
                <w:bCs/>
                <w:color w:val="000000" w:themeColor="text1"/>
                <w:sz w:val="24"/>
                <w:szCs w:val="24"/>
                <w14:textFill>
                  <w14:solidFill>
                    <w14:schemeClr w14:val="tx1"/>
                  </w14:solidFill>
                </w14:textFill>
              </w:rPr>
              <w:t>。</w:t>
            </w:r>
          </w:p>
          <w:p>
            <w:pPr>
              <w:widowControl w:val="0"/>
              <w:adjustRightInd/>
              <w:snapToGrid/>
              <w:spacing w:line="360" w:lineRule="auto"/>
              <w:ind w:firstLine="480" w:firstLineChars="200"/>
              <w:jc w:val="both"/>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（2）废气</w:t>
            </w:r>
          </w:p>
          <w:p>
            <w:pPr>
              <w:widowControl w:val="0"/>
              <w:adjustRightInd/>
              <w:snapToGrid/>
              <w:spacing w:line="360" w:lineRule="auto"/>
              <w:ind w:firstLine="480" w:firstLineChars="200"/>
              <w:jc w:val="both"/>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本次验收废气监测内容明细表见下表。</w:t>
            </w:r>
          </w:p>
          <w:p>
            <w:pPr>
              <w:widowControl w:val="0"/>
              <w:adjustRightInd/>
              <w:snapToGrid/>
              <w:spacing w:beforeLines="50"/>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表6-</w:t>
            </w:r>
            <w:r>
              <w:rPr>
                <w:rFonts w:hint="default" w:ascii="Times New Roman" w:hAnsi="Times New Roman" w:eastAsia="宋体" w:cs="Times New Roman"/>
                <w:b/>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b/>
                <w:color w:val="000000" w:themeColor="text1"/>
                <w:sz w:val="21"/>
                <w:szCs w:val="21"/>
                <w14:textFill>
                  <w14:solidFill>
                    <w14:schemeClr w14:val="tx1"/>
                  </w14:solidFill>
                </w14:textFill>
              </w:rPr>
              <w:t>废气监测明内容细</w:t>
            </w:r>
          </w:p>
          <w:tbl>
            <w:tblPr>
              <w:tblStyle w:val="23"/>
              <w:tblW w:w="7941"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739"/>
              <w:gridCol w:w="3152"/>
              <w:gridCol w:w="1370"/>
              <w:gridCol w:w="1680"/>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739"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监测项目</w:t>
                  </w:r>
                </w:p>
              </w:tc>
              <w:tc>
                <w:tcPr>
                  <w:tcW w:w="3152"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监测点位</w:t>
                  </w:r>
                </w:p>
              </w:tc>
              <w:tc>
                <w:tcPr>
                  <w:tcW w:w="1370"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环保设施</w:t>
                  </w:r>
                </w:p>
              </w:tc>
              <w:tc>
                <w:tcPr>
                  <w:tcW w:w="1680"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监测频次</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39"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非甲烷总烃</w:t>
                  </w:r>
                </w:p>
              </w:tc>
              <w:tc>
                <w:tcPr>
                  <w:tcW w:w="3152"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kern w:val="0"/>
                      <w:szCs w:val="21"/>
                      <w:lang w:val="en-US" w:eastAsia="zh-CN"/>
                    </w:rPr>
                    <w:t>挤出废气处理设施P1进、出口</w:t>
                  </w:r>
                </w:p>
              </w:tc>
              <w:tc>
                <w:tcPr>
                  <w:tcW w:w="1370"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活性炭吸附设施</w:t>
                  </w:r>
                </w:p>
              </w:tc>
              <w:tc>
                <w:tcPr>
                  <w:tcW w:w="1680"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3次/天，2天</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39"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非甲烷总烃</w:t>
                  </w:r>
                </w:p>
              </w:tc>
              <w:tc>
                <w:tcPr>
                  <w:tcW w:w="3152"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kern w:val="0"/>
                      <w:szCs w:val="21"/>
                      <w:lang w:val="en-US" w:eastAsia="zh-CN"/>
                    </w:rPr>
                    <w:t>挤出废气处理设施P2进、出口</w:t>
                  </w:r>
                </w:p>
              </w:tc>
              <w:tc>
                <w:tcPr>
                  <w:tcW w:w="1370"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活性炭吸附设施</w:t>
                  </w:r>
                </w:p>
              </w:tc>
              <w:tc>
                <w:tcPr>
                  <w:tcW w:w="1680"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3次/天，2天</w:t>
                  </w:r>
                </w:p>
              </w:tc>
            </w:tr>
          </w:tbl>
          <w:p>
            <w:pPr>
              <w:widowControl w:val="0"/>
              <w:adjustRightInd/>
              <w:spacing w:line="360" w:lineRule="auto"/>
              <w:ind w:firstLine="480" w:firstLineChars="200"/>
              <w:jc w:val="both"/>
              <w:outlineLvl w:val="2"/>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本次验收无组织废气监测标内容明细见下表。</w:t>
            </w:r>
          </w:p>
          <w:p>
            <w:pPr>
              <w:widowControl w:val="0"/>
              <w:adjustRightInd/>
              <w:snapToGrid/>
              <w:spacing w:beforeLines="50"/>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表6-</w:t>
            </w:r>
            <w:r>
              <w:rPr>
                <w:rFonts w:hint="default" w:ascii="Times New Roman" w:hAnsi="Times New Roman" w:eastAsia="宋体" w:cs="Times New Roman"/>
                <w:b/>
                <w:color w:val="000000" w:themeColor="text1"/>
                <w:sz w:val="21"/>
                <w:szCs w:val="21"/>
                <w:lang w:val="en-US" w:eastAsia="zh-CN"/>
                <w14:textFill>
                  <w14:solidFill>
                    <w14:schemeClr w14:val="tx1"/>
                  </w14:solidFill>
                </w14:textFill>
              </w:rPr>
              <w:t>2无组织</w:t>
            </w:r>
            <w:r>
              <w:rPr>
                <w:rFonts w:hint="default" w:ascii="Times New Roman" w:hAnsi="Times New Roman" w:eastAsia="宋体" w:cs="Times New Roman"/>
                <w:b/>
                <w:color w:val="000000" w:themeColor="text1"/>
                <w:sz w:val="21"/>
                <w:szCs w:val="21"/>
                <w14:textFill>
                  <w14:solidFill>
                    <w14:schemeClr w14:val="tx1"/>
                  </w14:solidFill>
                </w14:textFill>
              </w:rPr>
              <w:t>废气监测明内容细</w:t>
            </w:r>
          </w:p>
          <w:tbl>
            <w:tblPr>
              <w:tblStyle w:val="23"/>
              <w:tblW w:w="7941"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739"/>
              <w:gridCol w:w="3152"/>
              <w:gridCol w:w="1370"/>
              <w:gridCol w:w="1680"/>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739"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监测项目</w:t>
                  </w:r>
                </w:p>
              </w:tc>
              <w:tc>
                <w:tcPr>
                  <w:tcW w:w="3152"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监测点位</w:t>
                  </w:r>
                </w:p>
              </w:tc>
              <w:tc>
                <w:tcPr>
                  <w:tcW w:w="1370"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环保设施</w:t>
                  </w:r>
                </w:p>
              </w:tc>
              <w:tc>
                <w:tcPr>
                  <w:tcW w:w="1680"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监测频次</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39"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lang w:val="en-US" w:eastAsia="zh-CN"/>
                      <w14:textFill>
                        <w14:solidFill>
                          <w14:schemeClr w14:val="tx1"/>
                        </w14:solidFill>
                      </w14:textFill>
                    </w:rPr>
                  </w:pPr>
                  <w:r>
                    <w:rPr>
                      <w:rFonts w:hint="default" w:ascii="Times New Roman" w:hAnsi="Times New Roman" w:eastAsia="宋体" w:cs="Times New Roman"/>
                      <w:color w:val="000000"/>
                      <w:sz w:val="21"/>
                      <w:szCs w:val="21"/>
                      <w:lang w:val="en-US" w:eastAsia="zh-CN"/>
                    </w:rPr>
                    <w:t>颗粒物、</w:t>
                  </w:r>
                  <w:r>
                    <w:rPr>
                      <w:rFonts w:hint="default" w:ascii="Times New Roman" w:hAnsi="Times New Roman" w:eastAsia="宋体" w:cs="Times New Roman"/>
                      <w:kern w:val="0"/>
                      <w:szCs w:val="21"/>
                      <w:lang w:eastAsia="zh-CN"/>
                    </w:rPr>
                    <w:t>非甲烷总烃</w:t>
                  </w:r>
                </w:p>
              </w:tc>
              <w:tc>
                <w:tcPr>
                  <w:tcW w:w="3152"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sz w:val="21"/>
                      <w:szCs w:val="21"/>
                      <w:lang w:val="en-US" w:eastAsia="zh-CN"/>
                    </w:rPr>
                    <w:t>上风向G1,下风向G2-G4</w:t>
                  </w:r>
                </w:p>
              </w:tc>
              <w:tc>
                <w:tcPr>
                  <w:tcW w:w="1370"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w:t>
                  </w:r>
                </w:p>
              </w:tc>
              <w:tc>
                <w:tcPr>
                  <w:tcW w:w="1680"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3次/天，2天</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39"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非甲烷总烃</w:t>
                  </w:r>
                </w:p>
              </w:tc>
              <w:tc>
                <w:tcPr>
                  <w:tcW w:w="31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00" w:lineRule="exact"/>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厂区内1个</w:t>
                  </w:r>
                </w:p>
                <w:p>
                  <w:pPr>
                    <w:widowControl w:val="0"/>
                    <w:adjustRightInd/>
                    <w:snapToGrid/>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sz w:val="21"/>
                      <w:szCs w:val="21"/>
                      <w:lang w:val="en-US" w:eastAsia="zh-CN"/>
                    </w:rPr>
                    <w:t>（溢散口：生产车间外G5）</w:t>
                  </w:r>
                </w:p>
              </w:tc>
              <w:tc>
                <w:tcPr>
                  <w:tcW w:w="1370"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w:t>
                  </w:r>
                </w:p>
              </w:tc>
              <w:tc>
                <w:tcPr>
                  <w:tcW w:w="1680"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3次/天，2天</w:t>
                  </w:r>
                </w:p>
              </w:tc>
            </w:tr>
          </w:tbl>
          <w:p>
            <w:pPr>
              <w:pStyle w:val="2"/>
              <w:widowControl w:val="0"/>
              <w:jc w:val="both"/>
              <w:rPr>
                <w:rFonts w:hint="default" w:ascii="Times New Roman" w:hAnsi="Times New Roman" w:eastAsia="宋体" w:cs="Times New Roman"/>
                <w:lang w:val="en-US" w:eastAsia="zh-CN"/>
              </w:rPr>
            </w:pPr>
          </w:p>
          <w:p>
            <w:pPr>
              <w:widowControl w:val="0"/>
              <w:adjustRightInd/>
              <w:spacing w:line="360" w:lineRule="auto"/>
              <w:ind w:firstLine="480" w:firstLineChars="200"/>
              <w:jc w:val="both"/>
              <w:outlineLvl w:val="2"/>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（3）厂界噪声监测</w:t>
            </w:r>
          </w:p>
          <w:p>
            <w:pPr>
              <w:widowControl w:val="0"/>
              <w:adjustRightInd/>
              <w:spacing w:line="360" w:lineRule="auto"/>
              <w:ind w:firstLine="480" w:firstLineChars="200"/>
              <w:jc w:val="both"/>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本次验收厂界噪声监测明细表见下表。</w:t>
            </w:r>
          </w:p>
          <w:p>
            <w:pPr>
              <w:widowControl w:val="0"/>
              <w:adjustRightInd/>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表6-</w:t>
            </w:r>
            <w:r>
              <w:rPr>
                <w:rFonts w:hint="default" w:ascii="Times New Roman" w:hAnsi="Times New Roman" w:eastAsia="宋体" w:cs="Times New Roman"/>
                <w:b/>
                <w:color w:val="000000" w:themeColor="text1"/>
                <w:sz w:val="21"/>
                <w:szCs w:val="21"/>
                <w:lang w:val="en-US" w:eastAsia="zh-CN"/>
                <w14:textFill>
                  <w14:solidFill>
                    <w14:schemeClr w14:val="tx1"/>
                  </w14:solidFill>
                </w14:textFill>
              </w:rPr>
              <w:t>3</w:t>
            </w:r>
            <w:r>
              <w:rPr>
                <w:rFonts w:hint="default" w:ascii="Times New Roman" w:hAnsi="Times New Roman" w:eastAsia="宋体" w:cs="Times New Roman"/>
                <w:b/>
                <w:color w:val="000000" w:themeColor="text1"/>
                <w:sz w:val="21"/>
                <w:szCs w:val="21"/>
                <w14:textFill>
                  <w14:solidFill>
                    <w14:schemeClr w14:val="tx1"/>
                  </w14:solidFill>
                </w14:textFill>
              </w:rPr>
              <w:t>厂界噪声监测内容明细</w:t>
            </w:r>
          </w:p>
          <w:tbl>
            <w:tblPr>
              <w:tblStyle w:val="23"/>
              <w:tblW w:w="7958"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761"/>
              <w:gridCol w:w="1955"/>
              <w:gridCol w:w="1415"/>
              <w:gridCol w:w="2827"/>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761"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监测项目</w:t>
                  </w:r>
                </w:p>
              </w:tc>
              <w:tc>
                <w:tcPr>
                  <w:tcW w:w="1955"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监测点位</w:t>
                  </w:r>
                </w:p>
              </w:tc>
              <w:tc>
                <w:tcPr>
                  <w:tcW w:w="1415"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环保设施</w:t>
                  </w:r>
                </w:p>
              </w:tc>
              <w:tc>
                <w:tcPr>
                  <w:tcW w:w="2827"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监测频次</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761" w:type="dxa"/>
                  <w:vMerge w:val="restart"/>
                  <w:tcBorders>
                    <w:tl2br w:val="nil"/>
                    <w:tr2bl w:val="nil"/>
                  </w:tcBorders>
                  <w:vAlign w:val="center"/>
                </w:tcPr>
                <w:p>
                  <w:pPr>
                    <w:widowControl w:val="0"/>
                    <w:adjustRightInd/>
                    <w:snapToGrid/>
                    <w:spacing w:line="360" w:lineRule="auto"/>
                    <w:jc w:val="center"/>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厂界噪声</w:t>
                  </w:r>
                </w:p>
              </w:tc>
              <w:tc>
                <w:tcPr>
                  <w:tcW w:w="1955" w:type="dxa"/>
                  <w:tcBorders>
                    <w:tl2br w:val="nil"/>
                    <w:tr2bl w:val="nil"/>
                  </w:tcBorders>
                  <w:vAlign w:val="center"/>
                </w:tcPr>
                <w:p>
                  <w:pPr>
                    <w:widowControl/>
                    <w:jc w:val="center"/>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厂界1</w:t>
                  </w:r>
                </w:p>
              </w:tc>
              <w:tc>
                <w:tcPr>
                  <w:tcW w:w="1415" w:type="dxa"/>
                  <w:vMerge w:val="restart"/>
                  <w:tcBorders>
                    <w:tl2br w:val="nil"/>
                    <w:tr2bl w:val="nil"/>
                  </w:tcBorders>
                  <w:vAlign w:val="center"/>
                </w:tcPr>
                <w:p>
                  <w:pPr>
                    <w:widowControl w:val="0"/>
                    <w:adjustRightInd/>
                    <w:jc w:val="center"/>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隔声、合理布局机台</w:t>
                  </w:r>
                </w:p>
              </w:tc>
              <w:tc>
                <w:tcPr>
                  <w:tcW w:w="2827" w:type="dxa"/>
                  <w:vMerge w:val="restart"/>
                  <w:tcBorders>
                    <w:tl2br w:val="nil"/>
                    <w:tr2bl w:val="nil"/>
                  </w:tcBorders>
                  <w:vAlign w:val="center"/>
                </w:tcPr>
                <w:p>
                  <w:pPr>
                    <w:widowControl w:val="0"/>
                    <w:adjustRightInd/>
                    <w:snapToGrid/>
                    <w:spacing w:line="360" w:lineRule="auto"/>
                    <w:jc w:val="center"/>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昼</w:t>
                  </w:r>
                  <w:r>
                    <w:rPr>
                      <w:rFonts w:hint="default" w:ascii="Times New Roman" w:hAnsi="Times New Roman" w:eastAsia="宋体" w:cs="Times New Roman"/>
                      <w:bCs/>
                      <w:color w:val="000000" w:themeColor="text1"/>
                      <w:sz w:val="21"/>
                      <w:szCs w:val="21"/>
                      <w:lang w:eastAsia="zh-CN"/>
                      <w14:textFill>
                        <w14:solidFill>
                          <w14:schemeClr w14:val="tx1"/>
                        </w14:solidFill>
                      </w14:textFill>
                    </w:rPr>
                    <w:t>、</w:t>
                  </w: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夜</w:t>
                  </w:r>
                  <w:r>
                    <w:rPr>
                      <w:rFonts w:hint="default" w:ascii="Times New Roman" w:hAnsi="Times New Roman" w:eastAsia="宋体" w:cs="Times New Roman"/>
                      <w:bCs/>
                      <w:color w:val="000000" w:themeColor="text1"/>
                      <w:sz w:val="21"/>
                      <w:szCs w:val="21"/>
                      <w14:textFill>
                        <w14:solidFill>
                          <w14:schemeClr w14:val="tx1"/>
                        </w14:solidFill>
                      </w14:textFill>
                    </w:rPr>
                    <w:t>间1次/天，2天</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761" w:type="dxa"/>
                  <w:vMerge w:val="continue"/>
                  <w:tcBorders>
                    <w:tl2br w:val="nil"/>
                    <w:tr2bl w:val="nil"/>
                  </w:tcBorders>
                  <w:vAlign w:val="center"/>
                </w:tcPr>
                <w:p>
                  <w:pPr>
                    <w:widowControl w:val="0"/>
                    <w:adjustRightInd/>
                    <w:snapToGrid/>
                    <w:spacing w:line="360" w:lineRule="auto"/>
                    <w:jc w:val="center"/>
                    <w:rPr>
                      <w:rFonts w:hint="default" w:ascii="Times New Roman" w:hAnsi="Times New Roman" w:eastAsia="宋体" w:cs="Times New Roman"/>
                      <w:bCs/>
                      <w:color w:val="000000" w:themeColor="text1"/>
                      <w:sz w:val="21"/>
                      <w:szCs w:val="21"/>
                      <w14:textFill>
                        <w14:solidFill>
                          <w14:schemeClr w14:val="tx1"/>
                        </w14:solidFill>
                      </w14:textFill>
                    </w:rPr>
                  </w:pPr>
                </w:p>
              </w:tc>
              <w:tc>
                <w:tcPr>
                  <w:tcW w:w="1955" w:type="dxa"/>
                  <w:tcBorders>
                    <w:tl2br w:val="nil"/>
                    <w:tr2bl w:val="nil"/>
                  </w:tcBorders>
                  <w:vAlign w:val="center"/>
                </w:tcPr>
                <w:p>
                  <w:pPr>
                    <w:widowControl/>
                    <w:jc w:val="center"/>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厂界2</w:t>
                  </w:r>
                </w:p>
              </w:tc>
              <w:tc>
                <w:tcPr>
                  <w:tcW w:w="1415" w:type="dxa"/>
                  <w:vMerge w:val="continue"/>
                  <w:tcBorders>
                    <w:tl2br w:val="nil"/>
                    <w:tr2bl w:val="nil"/>
                  </w:tcBorders>
                  <w:vAlign w:val="center"/>
                </w:tcPr>
                <w:p>
                  <w:pPr>
                    <w:widowControl w:val="0"/>
                    <w:adjustRightInd/>
                    <w:snapToGrid/>
                    <w:spacing w:line="360" w:lineRule="auto"/>
                    <w:jc w:val="center"/>
                    <w:rPr>
                      <w:rFonts w:hint="default" w:ascii="Times New Roman" w:hAnsi="Times New Roman" w:eastAsia="宋体" w:cs="Times New Roman"/>
                      <w:bCs/>
                      <w:color w:val="000000" w:themeColor="text1"/>
                      <w:sz w:val="21"/>
                      <w:szCs w:val="21"/>
                      <w14:textFill>
                        <w14:solidFill>
                          <w14:schemeClr w14:val="tx1"/>
                        </w14:solidFill>
                      </w14:textFill>
                    </w:rPr>
                  </w:pPr>
                </w:p>
              </w:tc>
              <w:tc>
                <w:tcPr>
                  <w:tcW w:w="2827" w:type="dxa"/>
                  <w:vMerge w:val="continue"/>
                  <w:tcBorders>
                    <w:tl2br w:val="nil"/>
                    <w:tr2bl w:val="nil"/>
                  </w:tcBorders>
                  <w:vAlign w:val="center"/>
                </w:tcPr>
                <w:p>
                  <w:pPr>
                    <w:widowControl w:val="0"/>
                    <w:adjustRightInd/>
                    <w:snapToGrid/>
                    <w:spacing w:line="360" w:lineRule="auto"/>
                    <w:jc w:val="center"/>
                    <w:rPr>
                      <w:rFonts w:hint="default" w:ascii="Times New Roman" w:hAnsi="Times New Roman" w:eastAsia="宋体" w:cs="Times New Roman"/>
                      <w:bCs/>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761" w:type="dxa"/>
                  <w:vMerge w:val="continue"/>
                  <w:tcBorders>
                    <w:tl2br w:val="nil"/>
                    <w:tr2bl w:val="nil"/>
                  </w:tcBorders>
                  <w:vAlign w:val="center"/>
                </w:tcPr>
                <w:p>
                  <w:pPr>
                    <w:widowControl w:val="0"/>
                    <w:adjustRightInd/>
                    <w:snapToGrid/>
                    <w:spacing w:line="360" w:lineRule="auto"/>
                    <w:jc w:val="center"/>
                    <w:rPr>
                      <w:rFonts w:hint="default" w:ascii="Times New Roman" w:hAnsi="Times New Roman" w:eastAsia="宋体" w:cs="Times New Roman"/>
                      <w:bCs/>
                      <w:color w:val="000000" w:themeColor="text1"/>
                      <w:sz w:val="21"/>
                      <w:szCs w:val="21"/>
                      <w14:textFill>
                        <w14:solidFill>
                          <w14:schemeClr w14:val="tx1"/>
                        </w14:solidFill>
                      </w14:textFill>
                    </w:rPr>
                  </w:pPr>
                </w:p>
              </w:tc>
              <w:tc>
                <w:tcPr>
                  <w:tcW w:w="1955" w:type="dxa"/>
                  <w:tcBorders>
                    <w:tl2br w:val="nil"/>
                    <w:tr2bl w:val="nil"/>
                  </w:tcBorders>
                  <w:vAlign w:val="center"/>
                </w:tcPr>
                <w:p>
                  <w:pPr>
                    <w:widowControl/>
                    <w:jc w:val="center"/>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厂界3</w:t>
                  </w:r>
                </w:p>
              </w:tc>
              <w:tc>
                <w:tcPr>
                  <w:tcW w:w="1415" w:type="dxa"/>
                  <w:vMerge w:val="continue"/>
                  <w:tcBorders>
                    <w:tl2br w:val="nil"/>
                    <w:tr2bl w:val="nil"/>
                  </w:tcBorders>
                  <w:vAlign w:val="center"/>
                </w:tcPr>
                <w:p>
                  <w:pPr>
                    <w:widowControl w:val="0"/>
                    <w:adjustRightInd/>
                    <w:snapToGrid/>
                    <w:spacing w:line="360" w:lineRule="auto"/>
                    <w:jc w:val="center"/>
                    <w:rPr>
                      <w:rFonts w:hint="default" w:ascii="Times New Roman" w:hAnsi="Times New Roman" w:eastAsia="宋体" w:cs="Times New Roman"/>
                      <w:bCs/>
                      <w:color w:val="000000" w:themeColor="text1"/>
                      <w:sz w:val="21"/>
                      <w:szCs w:val="21"/>
                      <w14:textFill>
                        <w14:solidFill>
                          <w14:schemeClr w14:val="tx1"/>
                        </w14:solidFill>
                      </w14:textFill>
                    </w:rPr>
                  </w:pPr>
                </w:p>
              </w:tc>
              <w:tc>
                <w:tcPr>
                  <w:tcW w:w="2827" w:type="dxa"/>
                  <w:vMerge w:val="continue"/>
                  <w:tcBorders>
                    <w:tl2br w:val="nil"/>
                    <w:tr2bl w:val="nil"/>
                  </w:tcBorders>
                  <w:vAlign w:val="center"/>
                </w:tcPr>
                <w:p>
                  <w:pPr>
                    <w:widowControl w:val="0"/>
                    <w:adjustRightInd/>
                    <w:snapToGrid/>
                    <w:spacing w:line="360" w:lineRule="auto"/>
                    <w:jc w:val="center"/>
                    <w:rPr>
                      <w:rFonts w:hint="default" w:ascii="Times New Roman" w:hAnsi="Times New Roman" w:eastAsia="宋体" w:cs="Times New Roman"/>
                      <w:bCs/>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761" w:type="dxa"/>
                  <w:vMerge w:val="continue"/>
                  <w:tcBorders>
                    <w:tl2br w:val="nil"/>
                    <w:tr2bl w:val="nil"/>
                  </w:tcBorders>
                  <w:vAlign w:val="center"/>
                </w:tcPr>
                <w:p>
                  <w:pPr>
                    <w:widowControl w:val="0"/>
                    <w:adjustRightInd/>
                    <w:snapToGrid/>
                    <w:spacing w:line="360" w:lineRule="auto"/>
                    <w:jc w:val="center"/>
                    <w:rPr>
                      <w:rFonts w:hint="default" w:ascii="Times New Roman" w:hAnsi="Times New Roman" w:eastAsia="宋体" w:cs="Times New Roman"/>
                      <w:bCs/>
                      <w:color w:val="000000" w:themeColor="text1"/>
                      <w:sz w:val="21"/>
                      <w:szCs w:val="21"/>
                      <w14:textFill>
                        <w14:solidFill>
                          <w14:schemeClr w14:val="tx1"/>
                        </w14:solidFill>
                      </w14:textFill>
                    </w:rPr>
                  </w:pPr>
                </w:p>
              </w:tc>
              <w:tc>
                <w:tcPr>
                  <w:tcW w:w="1955"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厂界</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4</w:t>
                  </w:r>
                </w:p>
              </w:tc>
              <w:tc>
                <w:tcPr>
                  <w:tcW w:w="1415" w:type="dxa"/>
                  <w:vMerge w:val="continue"/>
                  <w:tcBorders>
                    <w:tl2br w:val="nil"/>
                    <w:tr2bl w:val="nil"/>
                  </w:tcBorders>
                  <w:vAlign w:val="center"/>
                </w:tcPr>
                <w:p>
                  <w:pPr>
                    <w:widowControl w:val="0"/>
                    <w:adjustRightInd/>
                    <w:snapToGrid/>
                    <w:spacing w:line="360" w:lineRule="auto"/>
                    <w:jc w:val="center"/>
                    <w:rPr>
                      <w:rFonts w:hint="default" w:ascii="Times New Roman" w:hAnsi="Times New Roman" w:eastAsia="宋体" w:cs="Times New Roman"/>
                      <w:bCs/>
                      <w:color w:val="000000" w:themeColor="text1"/>
                      <w:sz w:val="21"/>
                      <w:szCs w:val="21"/>
                      <w14:textFill>
                        <w14:solidFill>
                          <w14:schemeClr w14:val="tx1"/>
                        </w14:solidFill>
                      </w14:textFill>
                    </w:rPr>
                  </w:pPr>
                </w:p>
              </w:tc>
              <w:tc>
                <w:tcPr>
                  <w:tcW w:w="2827" w:type="dxa"/>
                  <w:vMerge w:val="continue"/>
                  <w:tcBorders>
                    <w:tl2br w:val="nil"/>
                    <w:tr2bl w:val="nil"/>
                  </w:tcBorders>
                  <w:vAlign w:val="center"/>
                </w:tcPr>
                <w:p>
                  <w:pPr>
                    <w:widowControl w:val="0"/>
                    <w:adjustRightInd/>
                    <w:snapToGrid/>
                    <w:spacing w:line="360" w:lineRule="auto"/>
                    <w:jc w:val="center"/>
                    <w:rPr>
                      <w:rFonts w:hint="default" w:ascii="Times New Roman" w:hAnsi="Times New Roman" w:eastAsia="宋体" w:cs="Times New Roman"/>
                      <w:bCs/>
                      <w:color w:val="000000" w:themeColor="text1"/>
                      <w:sz w:val="21"/>
                      <w:szCs w:val="21"/>
                      <w14:textFill>
                        <w14:solidFill>
                          <w14:schemeClr w14:val="tx1"/>
                        </w14:solidFill>
                      </w14:textFill>
                    </w:rPr>
                  </w:pPr>
                </w:p>
              </w:tc>
            </w:tr>
          </w:tbl>
          <w:p>
            <w:pPr>
              <w:widowControl w:val="0"/>
              <w:spacing w:line="360" w:lineRule="auto"/>
              <w:jc w:val="both"/>
              <w:rPr>
                <w:rFonts w:hint="default" w:ascii="Times New Roman" w:hAnsi="Times New Roman" w:eastAsia="宋体" w:cs="Times New Roman"/>
                <w:color w:val="000000" w:themeColor="text1"/>
                <w:sz w:val="21"/>
                <w:szCs w:val="21"/>
                <w14:textFill>
                  <w14:solidFill>
                    <w14:schemeClr w14:val="tx1"/>
                  </w14:solidFill>
                </w14:textFill>
              </w:rPr>
            </w:pPr>
          </w:p>
          <w:p>
            <w:pPr>
              <w:widowControl w:val="0"/>
              <w:spacing w:line="360" w:lineRule="auto"/>
              <w:ind w:firstLine="480" w:firstLineChars="200"/>
              <w:jc w:val="both"/>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具体监测点位见下图6-1：</w:t>
            </w:r>
          </w:p>
          <w:p>
            <w:pPr>
              <w:pStyle w:val="2"/>
              <w:widowControl w:val="0"/>
              <w:ind w:left="0" w:leftChars="0" w:firstLine="0" w:firstLineChars="0"/>
              <w:jc w:val="both"/>
              <w:rPr>
                <w:rFonts w:hint="default" w:ascii="Times New Roman" w:hAnsi="Times New Roman" w:eastAsia="宋体" w:cs="Times New Roman"/>
                <w:color w:val="0000FF"/>
              </w:rPr>
            </w:pPr>
            <w:r>
              <w:rPr>
                <w:rFonts w:hint="default" w:ascii="Times New Roman" w:hAnsi="Times New Roman" w:eastAsia="宋体" w:cs="Times New Roman"/>
              </w:rPr>
              <w:drawing>
                <wp:inline distT="0" distB="0" distL="114300" distR="114300">
                  <wp:extent cx="5269865" cy="2928620"/>
                  <wp:effectExtent l="0" t="0" r="6985" b="508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4"/>
                          <a:stretch>
                            <a:fillRect/>
                          </a:stretch>
                        </pic:blipFill>
                        <pic:spPr>
                          <a:xfrm>
                            <a:off x="0" y="0"/>
                            <a:ext cx="5269865" cy="2928620"/>
                          </a:xfrm>
                          <a:prstGeom prst="rect">
                            <a:avLst/>
                          </a:prstGeom>
                          <a:noFill/>
                          <a:ln>
                            <a:noFill/>
                          </a:ln>
                        </pic:spPr>
                      </pic:pic>
                    </a:graphicData>
                  </a:graphic>
                </wp:inline>
              </w:drawing>
            </w:r>
          </w:p>
          <w:p>
            <w:pPr>
              <w:pStyle w:val="2"/>
              <w:widowControl w:val="0"/>
              <w:jc w:val="center"/>
              <w:rPr>
                <w:rFonts w:hint="default" w:ascii="Times New Roman" w:hAnsi="Times New Roman" w:eastAsia="宋体" w:cs="Times New Roman"/>
                <w:color w:val="0000FF"/>
              </w:rPr>
            </w:pPr>
            <w:r>
              <w:rPr>
                <w:rFonts w:hint="default" w:ascii="Times New Roman" w:hAnsi="Times New Roman" w:eastAsia="宋体" w:cs="Times New Roman"/>
                <w:b/>
                <w:bCs/>
                <w:color w:val="000000" w:themeColor="text1"/>
                <w:sz w:val="21"/>
                <w:szCs w:val="21"/>
                <w14:textFill>
                  <w14:solidFill>
                    <w14:schemeClr w14:val="tx1"/>
                  </w14:solidFill>
                </w14:textFill>
              </w:rPr>
              <w:t>图6-1监测点位图</w:t>
            </w:r>
          </w:p>
        </w:tc>
      </w:tr>
    </w:tbl>
    <w:p>
      <w:pPr>
        <w:spacing w:line="360" w:lineRule="auto"/>
        <w:outlineLvl w:val="0"/>
        <w:rPr>
          <w:rFonts w:hint="default" w:ascii="Times New Roman" w:hAnsi="Times New Roman" w:eastAsia="宋体" w:cs="Times New Roman"/>
          <w:b/>
          <w:color w:val="0000FF"/>
          <w:sz w:val="21"/>
          <w:szCs w:val="21"/>
        </w:rPr>
        <w:sectPr>
          <w:pgSz w:w="11906" w:h="16838"/>
          <w:pgMar w:top="1440" w:right="1440" w:bottom="1440" w:left="1701" w:header="709" w:footer="709" w:gutter="0"/>
          <w:pgBorders>
            <w:top w:val="none" w:sz="0" w:space="0"/>
            <w:left w:val="none" w:sz="0" w:space="0"/>
            <w:bottom w:val="none" w:sz="0" w:space="0"/>
            <w:right w:val="none" w:sz="0" w:space="0"/>
          </w:pgBorders>
          <w:cols w:space="0" w:num="1"/>
          <w:docGrid w:linePitch="360" w:charSpace="0"/>
        </w:sectPr>
      </w:pPr>
    </w:p>
    <w:p>
      <w:pPr>
        <w:spacing w:line="360" w:lineRule="auto"/>
        <w:outlineLvl w:val="0"/>
        <w:rPr>
          <w:rFonts w:hint="default" w:ascii="Times New Roman" w:hAnsi="Times New Roman" w:eastAsia="宋体" w:cs="Times New Roman"/>
          <w:b/>
          <w:color w:val="0000FF"/>
          <w:sz w:val="21"/>
          <w:szCs w:val="21"/>
        </w:rPr>
      </w:pPr>
      <w:r>
        <w:rPr>
          <w:rFonts w:hint="default" w:ascii="Times New Roman" w:hAnsi="Times New Roman" w:eastAsia="宋体" w:cs="Times New Roman"/>
          <w:b/>
          <w:color w:val="000000" w:themeColor="text1"/>
          <w:sz w:val="21"/>
          <w:szCs w:val="21"/>
          <w14:textFill>
            <w14:solidFill>
              <w14:schemeClr w14:val="tx1"/>
            </w14:solidFill>
          </w14:textFill>
        </w:rPr>
        <w:t>表七</w:t>
      </w:r>
    </w:p>
    <w:tbl>
      <w:tblPr>
        <w:tblStyle w:val="23"/>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75" w:hRule="atLeast"/>
        </w:trPr>
        <w:tc>
          <w:tcPr>
            <w:tcW w:w="8522" w:type="dxa"/>
          </w:tcPr>
          <w:p>
            <w:pPr>
              <w:widowControl/>
              <w:spacing w:line="360" w:lineRule="auto"/>
              <w:jc w:val="both"/>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验收</w:t>
            </w:r>
            <w:r>
              <w:rPr>
                <w:rFonts w:hint="default" w:ascii="Times New Roman" w:hAnsi="Times New Roman" w:eastAsia="宋体" w:cs="Times New Roman"/>
                <w:b/>
                <w:bCs/>
                <w:color w:val="000000" w:themeColor="text1"/>
                <w:sz w:val="24"/>
                <w:szCs w:val="24"/>
                <w:lang w:eastAsia="zh-CN"/>
                <w14:textFill>
                  <w14:solidFill>
                    <w14:schemeClr w14:val="tx1"/>
                  </w14:solidFill>
                </w14:textFill>
              </w:rPr>
              <w:t>期间生产工况记录及</w:t>
            </w:r>
            <w:r>
              <w:rPr>
                <w:rFonts w:hint="default" w:ascii="Times New Roman" w:hAnsi="Times New Roman" w:eastAsia="宋体" w:cs="Times New Roman"/>
                <w:b/>
                <w:bCs/>
                <w:color w:val="000000" w:themeColor="text1"/>
                <w:sz w:val="24"/>
                <w:szCs w:val="24"/>
                <w14:textFill>
                  <w14:solidFill>
                    <w14:schemeClr w14:val="tx1"/>
                  </w14:solidFill>
                </w14:textFill>
              </w:rPr>
              <w:t>监测</w:t>
            </w: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结果</w:t>
            </w:r>
            <w:r>
              <w:rPr>
                <w:rFonts w:hint="default" w:ascii="Times New Roman" w:hAnsi="Times New Roman" w:eastAsia="宋体" w:cs="Times New Roman"/>
                <w:b/>
                <w:bCs/>
                <w:color w:val="000000" w:themeColor="text1"/>
                <w:sz w:val="24"/>
                <w:szCs w:val="24"/>
                <w14:textFill>
                  <w14:solidFill>
                    <w14:schemeClr w14:val="tx1"/>
                  </w14:solidFill>
                </w14:textFill>
              </w:rPr>
              <w:t>：</w:t>
            </w:r>
          </w:p>
          <w:p>
            <w:pPr>
              <w:pStyle w:val="3"/>
              <w:widowControl/>
              <w:numPr>
                <w:ilvl w:val="0"/>
                <w:numId w:val="6"/>
              </w:numPr>
              <w:spacing w:line="360" w:lineRule="auto"/>
              <w:ind w:firstLine="482" w:firstLineChars="200"/>
              <w:jc w:val="both"/>
              <w:outlineLvl w:val="0"/>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生产工况</w:t>
            </w:r>
          </w:p>
          <w:p>
            <w:pPr>
              <w:widowControl w:val="0"/>
              <w:adjustRightInd/>
              <w:snapToGrid/>
              <w:spacing w:line="360" w:lineRule="auto"/>
              <w:ind w:firstLine="480"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福建绿家检测技术有限公司</w:t>
            </w:r>
            <w:r>
              <w:rPr>
                <w:rFonts w:hint="default" w:ascii="Times New Roman" w:hAnsi="Times New Roman" w:eastAsia="宋体" w:cs="Times New Roman"/>
                <w:color w:val="auto"/>
                <w:sz w:val="24"/>
                <w:szCs w:val="24"/>
              </w:rPr>
              <w:t>于</w:t>
            </w:r>
            <w:r>
              <w:rPr>
                <w:rFonts w:hint="default" w:ascii="Times New Roman" w:hAnsi="Times New Roman" w:eastAsia="宋体" w:cs="Times New Roman"/>
                <w:color w:val="auto"/>
                <w:sz w:val="24"/>
                <w:szCs w:val="24"/>
                <w:lang w:eastAsia="zh-CN"/>
              </w:rPr>
              <w:t>202</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eastAsia="zh-CN"/>
              </w:rPr>
              <w:t>年</w:t>
            </w: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lang w:eastAsia="zh-CN"/>
              </w:rPr>
              <w:t>月</w:t>
            </w:r>
            <w:r>
              <w:rPr>
                <w:rFonts w:hint="default" w:ascii="Times New Roman" w:hAnsi="Times New Roman" w:eastAsia="宋体" w:cs="Times New Roman"/>
                <w:color w:val="auto"/>
                <w:sz w:val="24"/>
                <w:szCs w:val="24"/>
                <w:lang w:val="en-US" w:eastAsia="zh-CN"/>
              </w:rPr>
              <w:t>26</w:t>
            </w:r>
            <w:r>
              <w:rPr>
                <w:rFonts w:hint="default" w:ascii="Times New Roman" w:hAnsi="Times New Roman" w:eastAsia="宋体" w:cs="Times New Roman"/>
                <w:color w:val="auto"/>
                <w:sz w:val="24"/>
                <w:szCs w:val="24"/>
                <w:lang w:eastAsia="zh-CN"/>
              </w:rPr>
              <w:t>日至202</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eastAsia="zh-CN"/>
              </w:rPr>
              <w:t>年</w:t>
            </w: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lang w:eastAsia="zh-CN"/>
              </w:rPr>
              <w:t>月</w:t>
            </w:r>
            <w:r>
              <w:rPr>
                <w:rFonts w:hint="default" w:ascii="Times New Roman" w:hAnsi="Times New Roman" w:eastAsia="宋体" w:cs="Times New Roman"/>
                <w:color w:val="auto"/>
                <w:sz w:val="24"/>
                <w:szCs w:val="24"/>
                <w:lang w:val="en-US" w:eastAsia="zh-CN"/>
              </w:rPr>
              <w:t>27</w:t>
            </w:r>
            <w:r>
              <w:rPr>
                <w:rFonts w:hint="default" w:ascii="Times New Roman" w:hAnsi="Times New Roman" w:eastAsia="宋体" w:cs="Times New Roman"/>
                <w:color w:val="auto"/>
                <w:sz w:val="24"/>
                <w:szCs w:val="24"/>
                <w:lang w:eastAsia="zh-CN"/>
              </w:rPr>
              <w:t>日</w:t>
            </w:r>
            <w:r>
              <w:rPr>
                <w:rFonts w:hint="default" w:ascii="Times New Roman" w:hAnsi="Times New Roman" w:eastAsia="宋体" w:cs="Times New Roman"/>
                <w:color w:val="auto"/>
                <w:sz w:val="24"/>
                <w:szCs w:val="24"/>
              </w:rPr>
              <w:t>到</w:t>
            </w:r>
            <w:r>
              <w:rPr>
                <w:rFonts w:hint="default" w:ascii="Times New Roman" w:hAnsi="Times New Roman" w:eastAsia="宋体" w:cs="Times New Roman"/>
                <w:color w:val="auto"/>
                <w:sz w:val="24"/>
                <w:szCs w:val="24"/>
                <w:lang w:val="en-US" w:eastAsia="zh-CN"/>
              </w:rPr>
              <w:t>福建优倍特模塑科技有限公司</w:t>
            </w:r>
            <w:r>
              <w:rPr>
                <w:rFonts w:hint="default" w:ascii="Times New Roman" w:hAnsi="Times New Roman" w:eastAsia="宋体" w:cs="Times New Roman"/>
                <w:color w:val="auto"/>
                <w:sz w:val="24"/>
                <w:szCs w:val="24"/>
              </w:rPr>
              <w:t>进行现场监测</w:t>
            </w:r>
            <w:r>
              <w:rPr>
                <w:rFonts w:hint="default" w:ascii="Times New Roman" w:hAnsi="Times New Roman" w:eastAsia="宋体" w:cs="Times New Roman"/>
                <w:color w:val="auto"/>
                <w:sz w:val="24"/>
                <w:szCs w:val="24"/>
                <w:lang w:val="en-US" w:eastAsia="zh-CN"/>
              </w:rPr>
              <w:t>，项目</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年产各类电器塑料零部件3000t，目前实际生产能力与设计生产能力相符</w:t>
            </w:r>
            <w:r>
              <w:rPr>
                <w:rFonts w:hint="default" w:ascii="Times New Roman" w:hAnsi="Times New Roman" w:eastAsia="宋体" w:cs="Times New Roman"/>
                <w:color w:val="auto"/>
                <w:sz w:val="24"/>
                <w:szCs w:val="24"/>
                <w:lang w:val="en-US" w:eastAsia="zh-CN"/>
              </w:rPr>
              <w:t>。现场监测期间项目生产工况均在75%以上，采样期间的现场工况见下表。</w:t>
            </w:r>
          </w:p>
          <w:p>
            <w:pPr>
              <w:widowControl w:val="0"/>
              <w:adjustRightInd/>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表7-1生产负荷表</w:t>
            </w:r>
          </w:p>
          <w:tbl>
            <w:tblPr>
              <w:tblStyle w:val="23"/>
              <w:tblW w:w="4718"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233"/>
              <w:gridCol w:w="1647"/>
              <w:gridCol w:w="1484"/>
              <w:gridCol w:w="2466"/>
              <w:gridCol w:w="993"/>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788" w:type="pct"/>
                  <w:tcBorders>
                    <w:tl2br w:val="nil"/>
                    <w:tr2bl w:val="nil"/>
                  </w:tcBorders>
                  <w:vAlign w:val="center"/>
                </w:tcPr>
                <w:p>
                  <w:pPr>
                    <w:widowControl w:val="0"/>
                    <w:adjustRightInd/>
                    <w:snapToGrid/>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日期</w:t>
                  </w:r>
                </w:p>
              </w:tc>
              <w:tc>
                <w:tcPr>
                  <w:tcW w:w="1052" w:type="pct"/>
                  <w:tcBorders>
                    <w:tl2br w:val="nil"/>
                    <w:tr2bl w:val="nil"/>
                  </w:tcBorders>
                  <w:vAlign w:val="center"/>
                </w:tcPr>
                <w:p>
                  <w:pPr>
                    <w:widowControl w:val="0"/>
                    <w:adjustRightInd/>
                    <w:snapToGrid/>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环评设计产能</w:t>
                  </w:r>
                </w:p>
              </w:tc>
              <w:tc>
                <w:tcPr>
                  <w:tcW w:w="948" w:type="pct"/>
                  <w:tcBorders>
                    <w:tl2br w:val="nil"/>
                    <w:tr2bl w:val="nil"/>
                  </w:tcBorders>
                  <w:vAlign w:val="center"/>
                </w:tcPr>
                <w:p>
                  <w:pPr>
                    <w:widowControl w:val="0"/>
                    <w:adjustRightInd/>
                    <w:snapToGrid/>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实际产能</w:t>
                  </w:r>
                </w:p>
              </w:tc>
              <w:tc>
                <w:tcPr>
                  <w:tcW w:w="1575" w:type="pct"/>
                  <w:tcBorders>
                    <w:tl2br w:val="nil"/>
                    <w:tr2bl w:val="nil"/>
                  </w:tcBorders>
                  <w:vAlign w:val="center"/>
                </w:tcPr>
                <w:p>
                  <w:pPr>
                    <w:widowControl w:val="0"/>
                    <w:adjustRightInd/>
                    <w:snapToGrid/>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采样当天产能</w:t>
                  </w:r>
                </w:p>
              </w:tc>
              <w:tc>
                <w:tcPr>
                  <w:tcW w:w="634" w:type="pct"/>
                  <w:tcBorders>
                    <w:tl2br w:val="nil"/>
                    <w:tr2bl w:val="nil"/>
                  </w:tcBorders>
                  <w:vAlign w:val="center"/>
                </w:tcPr>
                <w:p>
                  <w:pPr>
                    <w:widowControl w:val="0"/>
                    <w:adjustRightInd/>
                    <w:snapToGrid/>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负荷</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788" w:type="pct"/>
                  <w:tcBorders>
                    <w:tl2br w:val="nil"/>
                    <w:tr2bl w:val="nil"/>
                  </w:tcBorders>
                  <w:vAlign w:val="center"/>
                </w:tcPr>
                <w:p>
                  <w:pPr>
                    <w:widowControl w:val="0"/>
                    <w:adjustRightInd/>
                    <w:snapToGrid/>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2023.04.26</w:t>
                  </w:r>
                </w:p>
              </w:tc>
              <w:tc>
                <w:tcPr>
                  <w:tcW w:w="1052" w:type="pct"/>
                  <w:vMerge w:val="restart"/>
                  <w:tcBorders>
                    <w:tl2br w:val="nil"/>
                    <w:tr2bl w:val="nil"/>
                  </w:tcBorders>
                  <w:vAlign w:val="center"/>
                </w:tcPr>
                <w:p>
                  <w:pPr>
                    <w:widowControl w:val="0"/>
                    <w:adjustRightInd/>
                    <w:snapToGrid/>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年产各类电器塑料零部件3000t</w:t>
                  </w:r>
                </w:p>
              </w:tc>
              <w:tc>
                <w:tcPr>
                  <w:tcW w:w="948" w:type="pct"/>
                  <w:vMerge w:val="restart"/>
                  <w:tcBorders>
                    <w:tl2br w:val="nil"/>
                    <w:tr2bl w:val="nil"/>
                  </w:tcBorders>
                  <w:vAlign w:val="center"/>
                </w:tcPr>
                <w:p>
                  <w:pPr>
                    <w:widowControl w:val="0"/>
                    <w:adjustRightInd/>
                    <w:snapToGrid/>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年产各类电器塑料零部件3000t</w:t>
                  </w:r>
                </w:p>
              </w:tc>
              <w:tc>
                <w:tcPr>
                  <w:tcW w:w="1575" w:type="pct"/>
                  <w:tcBorders>
                    <w:tl2br w:val="nil"/>
                    <w:tr2bl w:val="nil"/>
                  </w:tcBorders>
                  <w:vAlign w:val="center"/>
                </w:tcPr>
                <w:p>
                  <w:pPr>
                    <w:widowControl w:val="0"/>
                    <w:adjustRightInd/>
                    <w:snapToGrid/>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生产各类电器零部件9t</w:t>
                  </w:r>
                </w:p>
              </w:tc>
              <w:tc>
                <w:tcPr>
                  <w:tcW w:w="634" w:type="pct"/>
                  <w:vMerge w:val="restart"/>
                  <w:tcBorders>
                    <w:tl2br w:val="nil"/>
                    <w:tr2bl w:val="nil"/>
                  </w:tcBorders>
                  <w:vAlign w:val="center"/>
                </w:tcPr>
                <w:p>
                  <w:pPr>
                    <w:widowControl w:val="0"/>
                    <w:adjustRightInd/>
                    <w:snapToGrid/>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≥75%</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8" w:type="pct"/>
                  <w:tcBorders>
                    <w:tl2br w:val="nil"/>
                    <w:tr2bl w:val="nil"/>
                  </w:tcBorders>
                  <w:vAlign w:val="center"/>
                </w:tcPr>
                <w:p>
                  <w:pPr>
                    <w:widowControl w:val="0"/>
                    <w:adjustRightInd/>
                    <w:snapToGrid/>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2023.04.27</w:t>
                  </w:r>
                </w:p>
              </w:tc>
              <w:tc>
                <w:tcPr>
                  <w:tcW w:w="1052" w:type="pct"/>
                  <w:vMerge w:val="continue"/>
                  <w:tcBorders>
                    <w:tl2br w:val="nil"/>
                    <w:tr2bl w:val="nil"/>
                  </w:tcBorders>
                  <w:vAlign w:val="center"/>
                </w:tcPr>
                <w:p>
                  <w:pPr>
                    <w:widowControl w:val="0"/>
                    <w:adjustRightInd/>
                    <w:snapToGrid/>
                    <w:jc w:val="center"/>
                    <w:rPr>
                      <w:rFonts w:hint="default" w:ascii="Times New Roman" w:hAnsi="Times New Roman" w:eastAsia="宋体" w:cs="Times New Roman"/>
                      <w:color w:val="auto"/>
                      <w:sz w:val="21"/>
                      <w:szCs w:val="21"/>
                      <w:lang w:val="en-US" w:eastAsia="zh-CN"/>
                    </w:rPr>
                  </w:pPr>
                </w:p>
              </w:tc>
              <w:tc>
                <w:tcPr>
                  <w:tcW w:w="948" w:type="pct"/>
                  <w:vMerge w:val="continue"/>
                  <w:tcBorders>
                    <w:tl2br w:val="nil"/>
                    <w:tr2bl w:val="nil"/>
                  </w:tcBorders>
                  <w:vAlign w:val="center"/>
                </w:tcPr>
                <w:p>
                  <w:pPr>
                    <w:widowControl w:val="0"/>
                    <w:adjustRightInd/>
                    <w:snapToGrid/>
                    <w:jc w:val="center"/>
                    <w:rPr>
                      <w:rFonts w:hint="default" w:ascii="Times New Roman" w:hAnsi="Times New Roman" w:eastAsia="宋体" w:cs="Times New Roman"/>
                      <w:color w:val="auto"/>
                      <w:sz w:val="21"/>
                      <w:szCs w:val="21"/>
                      <w:lang w:val="en-US" w:eastAsia="zh-CN"/>
                    </w:rPr>
                  </w:pPr>
                </w:p>
              </w:tc>
              <w:tc>
                <w:tcPr>
                  <w:tcW w:w="1575" w:type="pct"/>
                  <w:tcBorders>
                    <w:tl2br w:val="nil"/>
                    <w:tr2bl w:val="nil"/>
                  </w:tcBorders>
                  <w:vAlign w:val="center"/>
                </w:tcPr>
                <w:p>
                  <w:pPr>
                    <w:widowControl w:val="0"/>
                    <w:adjustRightInd/>
                    <w:snapToGrid/>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生产各类电器零部件8.5t</w:t>
                  </w:r>
                </w:p>
              </w:tc>
              <w:tc>
                <w:tcPr>
                  <w:tcW w:w="634" w:type="pct"/>
                  <w:vMerge w:val="continue"/>
                  <w:tcBorders>
                    <w:tl2br w:val="nil"/>
                    <w:tr2bl w:val="nil"/>
                  </w:tcBorders>
                  <w:vAlign w:val="center"/>
                </w:tcPr>
                <w:p>
                  <w:pPr>
                    <w:widowControl w:val="0"/>
                    <w:adjustRightInd/>
                    <w:snapToGrid/>
                    <w:jc w:val="center"/>
                    <w:rPr>
                      <w:rFonts w:hint="default" w:ascii="Times New Roman" w:hAnsi="Times New Roman" w:eastAsia="宋体" w:cs="Times New Roman"/>
                      <w:color w:val="auto"/>
                      <w:sz w:val="21"/>
                      <w:szCs w:val="21"/>
                    </w:rPr>
                  </w:pPr>
                </w:p>
              </w:tc>
            </w:tr>
          </w:tbl>
          <w:p>
            <w:pPr>
              <w:pStyle w:val="3"/>
              <w:widowControl/>
              <w:spacing w:line="360" w:lineRule="auto"/>
              <w:ind w:firstLine="482" w:firstLineChars="200"/>
              <w:jc w:val="both"/>
              <w:outlineLvl w:val="0"/>
              <w:rPr>
                <w:rFonts w:hint="default" w:ascii="Times New Roman" w:hAnsi="Times New Roman" w:eastAsia="宋体" w:cs="Times New Roman"/>
                <w:color w:val="0000FF"/>
                <w:sz w:val="24"/>
                <w:szCs w:val="24"/>
                <w:lang w:val="en-US" w:eastAsia="zh-CN"/>
              </w:rPr>
            </w:pP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2、监测结果</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lang w:eastAsia="zh-CN"/>
                <w14:textFill>
                  <w14:solidFill>
                    <w14:schemeClr w14:val="tx1"/>
                  </w14:solidFill>
                </w14:textFill>
              </w:rPr>
              <w:t>（</w:t>
            </w: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1</w:t>
            </w:r>
            <w:r>
              <w:rPr>
                <w:rFonts w:hint="default" w:ascii="Times New Roman" w:hAnsi="Times New Roman" w:eastAsia="宋体" w:cs="Times New Roman"/>
                <w:b/>
                <w:bCs/>
                <w:color w:val="000000" w:themeColor="text1"/>
                <w:sz w:val="24"/>
                <w:szCs w:val="24"/>
                <w:lang w:eastAsia="zh-CN"/>
                <w14:textFill>
                  <w14:solidFill>
                    <w14:schemeClr w14:val="tx1"/>
                  </w14:solidFill>
                </w14:textFill>
              </w:rPr>
              <w:t>）</w:t>
            </w:r>
            <w:r>
              <w:rPr>
                <w:rFonts w:hint="default" w:ascii="Times New Roman" w:hAnsi="Times New Roman" w:eastAsia="宋体" w:cs="Times New Roman"/>
                <w:b/>
                <w:bCs/>
                <w:color w:val="000000" w:themeColor="text1"/>
                <w:sz w:val="24"/>
                <w:szCs w:val="24"/>
                <w14:textFill>
                  <w14:solidFill>
                    <w14:schemeClr w14:val="tx1"/>
                  </w14:solidFill>
                </w14:textFill>
              </w:rPr>
              <w:t>废气</w:t>
            </w:r>
          </w:p>
          <w:p>
            <w:pPr>
              <w:pStyle w:val="21"/>
              <w:widowControl w:val="0"/>
              <w:spacing w:line="360" w:lineRule="auto"/>
              <w:ind w:left="0" w:leftChars="0" w:firstLine="448" w:firstLineChars="200"/>
              <w:jc w:val="both"/>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废气监测结果见下表。</w:t>
            </w:r>
          </w:p>
          <w:p>
            <w:pPr>
              <w:pStyle w:val="21"/>
              <w:widowControl w:val="0"/>
              <w:ind w:left="0" w:leftChars="0" w:firstLine="0" w:firstLineChars="0"/>
              <w:jc w:val="cente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p>
          <w:p>
            <w:pPr>
              <w:pStyle w:val="21"/>
              <w:widowControl w:val="0"/>
              <w:ind w:left="0" w:leftChars="0" w:firstLine="0" w:firstLineChars="0"/>
              <w:jc w:val="cente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表7-2废气监测结果</w:t>
            </w:r>
          </w:p>
          <w:tbl>
            <w:tblPr>
              <w:tblStyle w:val="23"/>
              <w:tblW w:w="8306"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6"/>
              <w:gridCol w:w="659"/>
              <w:gridCol w:w="858"/>
              <w:gridCol w:w="2713"/>
              <w:gridCol w:w="1200"/>
              <w:gridCol w:w="1171"/>
              <w:gridCol w:w="969"/>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6" w:type="dxa"/>
                  <w:vMerge w:val="restart"/>
                  <w:tcBorders>
                    <w:tl2br w:val="nil"/>
                    <w:tr2bl w:val="nil"/>
                  </w:tcBorders>
                  <w:vAlign w:val="center"/>
                </w:tcPr>
                <w:p>
                  <w:pPr>
                    <w:pStyle w:val="29"/>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项目</w:t>
                  </w:r>
                </w:p>
              </w:tc>
              <w:tc>
                <w:tcPr>
                  <w:tcW w:w="659" w:type="dxa"/>
                  <w:vMerge w:val="restart"/>
                  <w:tcBorders>
                    <w:tl2br w:val="nil"/>
                    <w:tr2bl w:val="nil"/>
                  </w:tcBorders>
                  <w:vAlign w:val="center"/>
                </w:tcPr>
                <w:p>
                  <w:pPr>
                    <w:pStyle w:val="29"/>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设施</w:t>
                  </w:r>
                </w:p>
                <w:p>
                  <w:pPr>
                    <w:pStyle w:val="29"/>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名称</w:t>
                  </w:r>
                </w:p>
              </w:tc>
              <w:tc>
                <w:tcPr>
                  <w:tcW w:w="3571" w:type="dxa"/>
                  <w:gridSpan w:val="2"/>
                  <w:vMerge w:val="restart"/>
                  <w:tcBorders>
                    <w:tl2br w:val="nil"/>
                    <w:tr2bl w:val="nil"/>
                  </w:tcBorders>
                  <w:vAlign w:val="center"/>
                </w:tcPr>
                <w:p>
                  <w:pPr>
                    <w:pStyle w:val="29"/>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-68580</wp:posOffset>
                            </wp:positionH>
                            <wp:positionV relativeFrom="paragraph">
                              <wp:posOffset>20955</wp:posOffset>
                            </wp:positionV>
                            <wp:extent cx="2277110" cy="309880"/>
                            <wp:effectExtent l="635" t="4445" r="8255" b="9525"/>
                            <wp:wrapNone/>
                            <wp:docPr id="1" name="直接连接符 1"/>
                            <wp:cNvGraphicFramePr/>
                            <a:graphic xmlns:a="http://schemas.openxmlformats.org/drawingml/2006/main">
                              <a:graphicData uri="http://schemas.microsoft.com/office/word/2010/wordprocessingShape">
                                <wps:wsp>
                                  <wps:cNvCnPr/>
                                  <wps:spPr>
                                    <a:xfrm>
                                      <a:off x="2165985" y="6535420"/>
                                      <a:ext cx="2277110" cy="3098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4pt;margin-top:1.65pt;height:24.4pt;width:179.3pt;z-index:251660288;mso-width-relative:page;mso-height-relative:page;" filled="f" stroked="t" coordsize="21600,21600" o:gfxdata="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svfZk1gAAAAgBAAAPAAAAAAAAAAEAIAAAACIAAABkcnMvZG93bnJldi54bWxQSwECFAAU&#10;AAAACACHTuJAp6x+yvMBAADCAwAADgAAAAAAAAABACAAAAAlAQAAZHJzL2Uyb0RvYy54bWxQSwUG&#10;AAAAAAYABgBZAQAAigUAAAAA&#10;">
                            <v:fill on="f" focussize="0,0"/>
                            <v:stroke weight="0.5pt" color="#000000 [3213]" miterlimit="8" joinstyle="miter"/>
                            <v:imagedata o:title=""/>
                            <o:lock v:ext="edit" aspectratio="f"/>
                          </v:line>
                        </w:pict>
                      </mc:Fallback>
                    </mc:AlternateContent>
                  </w: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监测内容</w:t>
                  </w:r>
                </w:p>
                <w:p>
                  <w:pPr>
                    <w:pStyle w:val="29"/>
                    <w:ind w:firstLine="422" w:firstLineChars="200"/>
                    <w:jc w:val="both"/>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监测点位</w:t>
                  </w:r>
                </w:p>
              </w:tc>
              <w:tc>
                <w:tcPr>
                  <w:tcW w:w="2371" w:type="dxa"/>
                  <w:gridSpan w:val="2"/>
                  <w:tcBorders>
                    <w:tl2br w:val="nil"/>
                    <w:tr2bl w:val="nil"/>
                  </w:tcBorders>
                  <w:vAlign w:val="center"/>
                </w:tcPr>
                <w:p>
                  <w:pPr>
                    <w:pStyle w:val="29"/>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监测结果</w:t>
                  </w:r>
                </w:p>
              </w:tc>
              <w:tc>
                <w:tcPr>
                  <w:tcW w:w="969" w:type="dxa"/>
                  <w:vMerge w:val="restart"/>
                  <w:tcBorders>
                    <w:tl2br w:val="nil"/>
                    <w:tr2bl w:val="nil"/>
                  </w:tcBorders>
                  <w:vAlign w:val="center"/>
                </w:tcPr>
                <w:p>
                  <w:pPr>
                    <w:pStyle w:val="29"/>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标准</w:t>
                  </w:r>
                </w:p>
                <w:p>
                  <w:pPr>
                    <w:pStyle w:val="29"/>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限值</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6" w:type="dxa"/>
                  <w:vMerge w:val="continue"/>
                  <w:tcBorders>
                    <w:tl2br w:val="nil"/>
                    <w:tr2bl w:val="nil"/>
                  </w:tcBorders>
                  <w:vAlign w:val="center"/>
                </w:tcPr>
                <w:p>
                  <w:pPr>
                    <w:pStyle w:val="29"/>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p>
              </w:tc>
              <w:tc>
                <w:tcPr>
                  <w:tcW w:w="659" w:type="dxa"/>
                  <w:vMerge w:val="continue"/>
                  <w:tcBorders>
                    <w:tl2br w:val="nil"/>
                    <w:tr2bl w:val="nil"/>
                  </w:tcBorders>
                  <w:vAlign w:val="center"/>
                </w:tcPr>
                <w:p>
                  <w:pPr>
                    <w:pStyle w:val="29"/>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p>
              </w:tc>
              <w:tc>
                <w:tcPr>
                  <w:tcW w:w="3571" w:type="dxa"/>
                  <w:gridSpan w:val="2"/>
                  <w:vMerge w:val="continue"/>
                  <w:tcBorders>
                    <w:tl2br w:val="nil"/>
                    <w:tr2bl w:val="nil"/>
                  </w:tcBorders>
                  <w:vAlign w:val="center"/>
                </w:tcPr>
                <w:p>
                  <w:pPr>
                    <w:pStyle w:val="29"/>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p>
              </w:tc>
              <w:tc>
                <w:tcPr>
                  <w:tcW w:w="1200" w:type="dxa"/>
                  <w:tcBorders>
                    <w:tl2br w:val="nil"/>
                    <w:tr2bl w:val="nil"/>
                  </w:tcBorders>
                  <w:vAlign w:val="center"/>
                </w:tcPr>
                <w:p>
                  <w:pPr>
                    <w:pStyle w:val="29"/>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2023.04.26</w:t>
                  </w:r>
                </w:p>
              </w:tc>
              <w:tc>
                <w:tcPr>
                  <w:tcW w:w="1171" w:type="dxa"/>
                  <w:tcBorders>
                    <w:tl2br w:val="nil"/>
                    <w:tr2bl w:val="nil"/>
                  </w:tcBorders>
                  <w:vAlign w:val="center"/>
                </w:tcPr>
                <w:p>
                  <w:pPr>
                    <w:pStyle w:val="29"/>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2023.04.27</w:t>
                  </w:r>
                </w:p>
              </w:tc>
              <w:tc>
                <w:tcPr>
                  <w:tcW w:w="969" w:type="dxa"/>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36" w:type="dxa"/>
                  <w:vMerge w:val="restart"/>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有组织废气</w:t>
                  </w:r>
                </w:p>
              </w:tc>
              <w:tc>
                <w:tcPr>
                  <w:tcW w:w="659" w:type="dxa"/>
                  <w:vMerge w:val="restart"/>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w:t>
                  </w:r>
                </w:p>
              </w:tc>
              <w:tc>
                <w:tcPr>
                  <w:tcW w:w="858" w:type="dxa"/>
                  <w:vMerge w:val="restart"/>
                  <w:tcBorders>
                    <w:tl2br w:val="nil"/>
                    <w:tr2bl w:val="nil"/>
                  </w:tcBorders>
                  <w:vAlign w:val="center"/>
                </w:tcPr>
                <w:p>
                  <w:pPr>
                    <w:pStyle w:val="29"/>
                    <w:jc w:val="cente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kern w:val="0"/>
                      <w:sz w:val="21"/>
                      <w:szCs w:val="21"/>
                      <w:lang w:val="en-US" w:eastAsia="zh-CN"/>
                    </w:rPr>
                    <w:t>挤出废气</w:t>
                  </w:r>
                  <w:r>
                    <w:rPr>
                      <w:rFonts w:hint="default" w:ascii="Times New Roman" w:hAnsi="Times New Roman" w:eastAsia="宋体" w:cs="Times New Roman"/>
                      <w:color w:val="000000"/>
                      <w:sz w:val="21"/>
                      <w:szCs w:val="21"/>
                      <w:lang w:val="en-US" w:eastAsia="zh-CN"/>
                    </w:rPr>
                    <w:t>处理设施</w:t>
                  </w:r>
                  <w:r>
                    <w:rPr>
                      <w:rFonts w:hint="default" w:ascii="Times New Roman" w:hAnsi="Times New Roman" w:eastAsia="宋体" w:cs="Times New Roman"/>
                      <w:color w:val="auto"/>
                      <w:sz w:val="21"/>
                      <w:szCs w:val="21"/>
                      <w:lang w:val="en-US" w:eastAsia="zh-CN"/>
                    </w:rPr>
                    <w:t>◎P1进口</w:t>
                  </w:r>
                </w:p>
              </w:tc>
              <w:tc>
                <w:tcPr>
                  <w:tcW w:w="2713" w:type="dxa"/>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sz w:val="21"/>
                      <w:szCs w:val="21"/>
                      <w:vertAlign w:val="baseline"/>
                      <w:lang w:val="en-US" w:eastAsia="zh-CN"/>
                      <w14:textFill>
                        <w14:solidFill>
                          <w14:schemeClr w14:val="tx1"/>
                        </w14:solidFill>
                      </w14:textFill>
                    </w:rPr>
                    <w:t>标杆流量</w:t>
                  </w:r>
                  <w:r>
                    <w:rPr>
                      <w:rFonts w:hint="default" w:ascii="Times New Roman" w:hAnsi="Times New Roman" w:eastAsia="宋体" w:cs="Times New Roman"/>
                      <w:b/>
                      <w:bCs/>
                      <w:color w:val="000000" w:themeColor="text1"/>
                      <w:szCs w:val="21"/>
                      <w14:textFill>
                        <w14:solidFill>
                          <w14:schemeClr w14:val="tx1"/>
                        </w14:solidFill>
                      </w14:textFill>
                    </w:rPr>
                    <w:t>m</w:t>
                  </w:r>
                  <w:r>
                    <w:rPr>
                      <w:rFonts w:hint="default" w:ascii="Times New Roman" w:hAnsi="Times New Roman" w:eastAsia="宋体" w:cs="Times New Roman"/>
                      <w:b/>
                      <w:bCs/>
                      <w:color w:val="000000" w:themeColor="text1"/>
                      <w:szCs w:val="21"/>
                      <w:vertAlign w:val="superscript"/>
                      <w14:textFill>
                        <w14:solidFill>
                          <w14:schemeClr w14:val="tx1"/>
                        </w14:solidFill>
                      </w14:textFill>
                    </w:rPr>
                    <w:t>3</w:t>
                  </w:r>
                  <w:r>
                    <w:rPr>
                      <w:rFonts w:hint="default" w:ascii="Times New Roman" w:hAnsi="Times New Roman" w:eastAsia="宋体" w:cs="Times New Roman"/>
                      <w:b/>
                      <w:bCs/>
                      <w:color w:val="000000" w:themeColor="text1"/>
                      <w:szCs w:val="21"/>
                      <w14:textFill>
                        <w14:solidFill>
                          <w14:schemeClr w14:val="tx1"/>
                        </w14:solidFill>
                      </w14:textFill>
                    </w:rPr>
                    <w:t>/h</w:t>
                  </w:r>
                </w:p>
              </w:tc>
              <w:tc>
                <w:tcPr>
                  <w:tcW w:w="120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kern w:val="0"/>
                      <w:sz w:val="21"/>
                      <w:szCs w:val="21"/>
                      <w:lang w:val="en-US" w:eastAsia="zh-CN"/>
                    </w:rPr>
                    <w:t>11647</w:t>
                  </w:r>
                </w:p>
              </w:tc>
              <w:tc>
                <w:tcPr>
                  <w:tcW w:w="117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rPr>
                    <w:t>11769</w:t>
                  </w:r>
                </w:p>
              </w:tc>
              <w:tc>
                <w:tcPr>
                  <w:tcW w:w="96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36" w:type="dxa"/>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659" w:type="dxa"/>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858" w:type="dxa"/>
                  <w:vMerge w:val="continue"/>
                  <w:tcBorders>
                    <w:tl2br w:val="nil"/>
                    <w:tr2bl w:val="nil"/>
                  </w:tcBorders>
                  <w:vAlign w:val="center"/>
                </w:tcPr>
                <w:p>
                  <w:pPr>
                    <w:pStyle w:val="29"/>
                    <w:jc w:val="cente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p>
              </w:tc>
              <w:tc>
                <w:tcPr>
                  <w:tcW w:w="2713"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非甲烷总烃浓度(mg/m³)</w:t>
                  </w:r>
                </w:p>
              </w:tc>
              <w:tc>
                <w:tcPr>
                  <w:tcW w:w="12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rPr>
                    <w:t>14.1</w:t>
                  </w:r>
                </w:p>
              </w:tc>
              <w:tc>
                <w:tcPr>
                  <w:tcW w:w="117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rPr>
                    <w:t>13.5</w:t>
                  </w:r>
                </w:p>
              </w:tc>
              <w:tc>
                <w:tcPr>
                  <w:tcW w:w="96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736" w:type="dxa"/>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659" w:type="dxa"/>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858" w:type="dxa"/>
                  <w:vMerge w:val="continue"/>
                  <w:tcBorders>
                    <w:tl2br w:val="nil"/>
                    <w:tr2bl w:val="nil"/>
                  </w:tcBorders>
                  <w:vAlign w:val="center"/>
                </w:tcPr>
                <w:p>
                  <w:pPr>
                    <w:pStyle w:val="29"/>
                    <w:jc w:val="cente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p>
              </w:tc>
              <w:tc>
                <w:tcPr>
                  <w:tcW w:w="2713"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非甲烷总烃排放速率(kg/h）</w:t>
                  </w:r>
                </w:p>
              </w:tc>
              <w:tc>
                <w:tcPr>
                  <w:tcW w:w="12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rPr>
                    <w:t>0.164</w:t>
                  </w:r>
                </w:p>
              </w:tc>
              <w:tc>
                <w:tcPr>
                  <w:tcW w:w="117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rPr>
                    <w:t>0.159</w:t>
                  </w:r>
                </w:p>
              </w:tc>
              <w:tc>
                <w:tcPr>
                  <w:tcW w:w="96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736" w:type="dxa"/>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659" w:type="dxa"/>
                  <w:vMerge w:val="restart"/>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活性炭吸附设施</w:t>
                  </w:r>
                </w:p>
              </w:tc>
              <w:tc>
                <w:tcPr>
                  <w:tcW w:w="858" w:type="dxa"/>
                  <w:vMerge w:val="restart"/>
                  <w:tcBorders>
                    <w:tl2br w:val="nil"/>
                    <w:tr2bl w:val="nil"/>
                  </w:tcBorders>
                  <w:vAlign w:val="center"/>
                </w:tcPr>
                <w:p>
                  <w:pPr>
                    <w:pStyle w:val="29"/>
                    <w:jc w:val="cente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kern w:val="0"/>
                      <w:sz w:val="21"/>
                      <w:szCs w:val="21"/>
                      <w:lang w:val="en-US" w:eastAsia="zh-CN"/>
                    </w:rPr>
                    <w:t>挤出废气</w:t>
                  </w:r>
                  <w:r>
                    <w:rPr>
                      <w:rFonts w:hint="default" w:ascii="Times New Roman" w:hAnsi="Times New Roman" w:eastAsia="宋体" w:cs="Times New Roman"/>
                      <w:color w:val="000000"/>
                      <w:sz w:val="21"/>
                      <w:szCs w:val="21"/>
                      <w:lang w:val="en-US" w:eastAsia="zh-CN"/>
                    </w:rPr>
                    <w:t>处理设施</w:t>
                  </w:r>
                  <w:r>
                    <w:rPr>
                      <w:rFonts w:hint="default" w:ascii="Times New Roman" w:hAnsi="Times New Roman" w:eastAsia="宋体" w:cs="Times New Roman"/>
                      <w:color w:val="auto"/>
                      <w:sz w:val="21"/>
                      <w:szCs w:val="21"/>
                      <w:lang w:val="en-US" w:eastAsia="zh-CN"/>
                    </w:rPr>
                    <w:t>◎P1出口</w:t>
                  </w:r>
                </w:p>
              </w:tc>
              <w:tc>
                <w:tcPr>
                  <w:tcW w:w="2713" w:type="dxa"/>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b/>
                      <w:bCs/>
                      <w:i w:val="0"/>
                      <w:iCs w:val="0"/>
                      <w:color w:val="000000" w:themeColor="text1"/>
                      <w:sz w:val="21"/>
                      <w:szCs w:val="21"/>
                      <w:vertAlign w:val="baseline"/>
                      <w:lang w:val="en-US" w:eastAsia="zh-CN"/>
                      <w14:textFill>
                        <w14:solidFill>
                          <w14:schemeClr w14:val="tx1"/>
                        </w14:solidFill>
                      </w14:textFill>
                    </w:rPr>
                    <w:t>标杆流量</w:t>
                  </w:r>
                  <w:r>
                    <w:rPr>
                      <w:rFonts w:hint="default" w:ascii="Times New Roman" w:hAnsi="Times New Roman" w:eastAsia="宋体" w:cs="Times New Roman"/>
                      <w:b/>
                      <w:bCs/>
                      <w:color w:val="000000" w:themeColor="text1"/>
                      <w:szCs w:val="21"/>
                      <w14:textFill>
                        <w14:solidFill>
                          <w14:schemeClr w14:val="tx1"/>
                        </w14:solidFill>
                      </w14:textFill>
                    </w:rPr>
                    <w:t>m</w:t>
                  </w:r>
                  <w:r>
                    <w:rPr>
                      <w:rFonts w:hint="default" w:ascii="Times New Roman" w:hAnsi="Times New Roman" w:eastAsia="宋体" w:cs="Times New Roman"/>
                      <w:b/>
                      <w:bCs/>
                      <w:color w:val="000000" w:themeColor="text1"/>
                      <w:szCs w:val="21"/>
                      <w:vertAlign w:val="superscript"/>
                      <w14:textFill>
                        <w14:solidFill>
                          <w14:schemeClr w14:val="tx1"/>
                        </w14:solidFill>
                      </w14:textFill>
                    </w:rPr>
                    <w:t>3</w:t>
                  </w:r>
                  <w:r>
                    <w:rPr>
                      <w:rFonts w:hint="default" w:ascii="Times New Roman" w:hAnsi="Times New Roman" w:eastAsia="宋体" w:cs="Times New Roman"/>
                      <w:b/>
                      <w:bCs/>
                      <w:color w:val="000000" w:themeColor="text1"/>
                      <w:szCs w:val="21"/>
                      <w14:textFill>
                        <w14:solidFill>
                          <w14:schemeClr w14:val="tx1"/>
                        </w14:solidFill>
                      </w14:textFill>
                    </w:rPr>
                    <w:t>/h</w:t>
                  </w:r>
                </w:p>
              </w:tc>
              <w:tc>
                <w:tcPr>
                  <w:tcW w:w="12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kern w:val="0"/>
                      <w:sz w:val="21"/>
                      <w:szCs w:val="21"/>
                      <w:lang w:val="en-US" w:eastAsia="zh-CN"/>
                    </w:rPr>
                    <w:t>10235</w:t>
                  </w:r>
                </w:p>
              </w:tc>
              <w:tc>
                <w:tcPr>
                  <w:tcW w:w="117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rPr>
                    <w:t>10295</w:t>
                  </w:r>
                </w:p>
              </w:tc>
              <w:tc>
                <w:tcPr>
                  <w:tcW w:w="96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36" w:type="dxa"/>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659" w:type="dxa"/>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858" w:type="dxa"/>
                  <w:vMerge w:val="continue"/>
                  <w:tcBorders>
                    <w:tl2br w:val="nil"/>
                    <w:tr2bl w:val="nil"/>
                  </w:tcBorders>
                  <w:vAlign w:val="center"/>
                </w:tcPr>
                <w:p>
                  <w:pPr>
                    <w:pStyle w:val="29"/>
                    <w:jc w:val="cente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p>
              </w:tc>
              <w:tc>
                <w:tcPr>
                  <w:tcW w:w="2713"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非甲烷总烃浓度(mg/m³)</w:t>
                  </w:r>
                </w:p>
              </w:tc>
              <w:tc>
                <w:tcPr>
                  <w:tcW w:w="12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kern w:val="0"/>
                      <w:sz w:val="21"/>
                      <w:szCs w:val="21"/>
                      <w:lang w:val="en-US" w:eastAsia="zh-CN"/>
                    </w:rPr>
                    <w:t>4.79</w:t>
                  </w:r>
                </w:p>
              </w:tc>
              <w:tc>
                <w:tcPr>
                  <w:tcW w:w="117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rPr>
                    <w:t>4.63</w:t>
                  </w:r>
                </w:p>
              </w:tc>
              <w:tc>
                <w:tcPr>
                  <w:tcW w:w="96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100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36" w:type="dxa"/>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659" w:type="dxa"/>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858" w:type="dxa"/>
                  <w:vMerge w:val="continue"/>
                  <w:tcBorders>
                    <w:tl2br w:val="nil"/>
                    <w:tr2bl w:val="nil"/>
                  </w:tcBorders>
                  <w:vAlign w:val="center"/>
                </w:tcPr>
                <w:p>
                  <w:pPr>
                    <w:pStyle w:val="29"/>
                    <w:jc w:val="cente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p>
              </w:tc>
              <w:tc>
                <w:tcPr>
                  <w:tcW w:w="2713"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非甲烷总烃排放速率(kg/h）</w:t>
                  </w:r>
                </w:p>
              </w:tc>
              <w:tc>
                <w:tcPr>
                  <w:tcW w:w="12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kern w:val="0"/>
                      <w:sz w:val="21"/>
                      <w:szCs w:val="21"/>
                      <w:lang w:val="en-US" w:eastAsia="zh-CN"/>
                    </w:rPr>
                    <w:t>4.90×10</w:t>
                  </w:r>
                  <w:r>
                    <w:rPr>
                      <w:rFonts w:hint="default" w:ascii="Times New Roman" w:hAnsi="Times New Roman" w:eastAsia="宋体" w:cs="Times New Roman"/>
                      <w:color w:val="000000"/>
                      <w:kern w:val="0"/>
                      <w:sz w:val="21"/>
                      <w:szCs w:val="21"/>
                      <w:vertAlign w:val="superscript"/>
                      <w:lang w:val="en-US" w:eastAsia="zh-CN"/>
                    </w:rPr>
                    <w:t>-2</w:t>
                  </w:r>
                </w:p>
              </w:tc>
              <w:tc>
                <w:tcPr>
                  <w:tcW w:w="117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rPr>
                    <w:t>4.77×10</w:t>
                  </w:r>
                  <w:r>
                    <w:rPr>
                      <w:rFonts w:hint="default" w:ascii="Times New Roman" w:hAnsi="Times New Roman" w:eastAsia="宋体" w:cs="Times New Roman"/>
                      <w:color w:val="000000"/>
                      <w:kern w:val="0"/>
                      <w:sz w:val="21"/>
                      <w:szCs w:val="21"/>
                      <w:vertAlign w:val="superscript"/>
                      <w:lang w:val="en-US" w:eastAsia="zh-CN"/>
                    </w:rPr>
                    <w:t>-2</w:t>
                  </w:r>
                </w:p>
              </w:tc>
              <w:tc>
                <w:tcPr>
                  <w:tcW w:w="96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736" w:type="dxa"/>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659" w:type="dxa"/>
                  <w:vMerge w:val="restart"/>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w:t>
                  </w:r>
                </w:p>
              </w:tc>
              <w:tc>
                <w:tcPr>
                  <w:tcW w:w="858" w:type="dxa"/>
                  <w:vMerge w:val="restart"/>
                  <w:tcBorders>
                    <w:tl2br w:val="nil"/>
                    <w:tr2bl w:val="nil"/>
                  </w:tcBorders>
                  <w:vAlign w:val="center"/>
                </w:tcPr>
                <w:p>
                  <w:pPr>
                    <w:pStyle w:val="29"/>
                    <w:jc w:val="cente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kern w:val="0"/>
                      <w:sz w:val="21"/>
                      <w:szCs w:val="21"/>
                      <w:lang w:val="en-US" w:eastAsia="zh-CN"/>
                    </w:rPr>
                    <w:t>挤出废气</w:t>
                  </w:r>
                  <w:r>
                    <w:rPr>
                      <w:rFonts w:hint="default" w:ascii="Times New Roman" w:hAnsi="Times New Roman" w:eastAsia="宋体" w:cs="Times New Roman"/>
                      <w:color w:val="000000"/>
                      <w:sz w:val="21"/>
                      <w:szCs w:val="21"/>
                      <w:lang w:val="en-US" w:eastAsia="zh-CN"/>
                    </w:rPr>
                    <w:t>处理设施</w:t>
                  </w:r>
                  <w:r>
                    <w:rPr>
                      <w:rFonts w:hint="default" w:ascii="Times New Roman" w:hAnsi="Times New Roman" w:eastAsia="宋体" w:cs="Times New Roman"/>
                      <w:color w:val="auto"/>
                      <w:sz w:val="21"/>
                      <w:szCs w:val="21"/>
                      <w:lang w:val="en-US" w:eastAsia="zh-CN"/>
                    </w:rPr>
                    <w:t>◎P2进口</w:t>
                  </w:r>
                </w:p>
              </w:tc>
              <w:tc>
                <w:tcPr>
                  <w:tcW w:w="2713" w:type="dxa"/>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b/>
                      <w:bCs/>
                      <w:i w:val="0"/>
                      <w:iCs w:val="0"/>
                      <w:color w:val="000000" w:themeColor="text1"/>
                      <w:sz w:val="21"/>
                      <w:szCs w:val="21"/>
                      <w:vertAlign w:val="baseline"/>
                      <w:lang w:val="en-US" w:eastAsia="zh-CN"/>
                      <w14:textFill>
                        <w14:solidFill>
                          <w14:schemeClr w14:val="tx1"/>
                        </w14:solidFill>
                      </w14:textFill>
                    </w:rPr>
                    <w:t>标杆流量</w:t>
                  </w:r>
                  <w:r>
                    <w:rPr>
                      <w:rFonts w:hint="default" w:ascii="Times New Roman" w:hAnsi="Times New Roman" w:eastAsia="宋体" w:cs="Times New Roman"/>
                      <w:b/>
                      <w:bCs/>
                      <w:color w:val="000000" w:themeColor="text1"/>
                      <w:szCs w:val="21"/>
                      <w14:textFill>
                        <w14:solidFill>
                          <w14:schemeClr w14:val="tx1"/>
                        </w14:solidFill>
                      </w14:textFill>
                    </w:rPr>
                    <w:t>m</w:t>
                  </w:r>
                  <w:r>
                    <w:rPr>
                      <w:rFonts w:hint="default" w:ascii="Times New Roman" w:hAnsi="Times New Roman" w:eastAsia="宋体" w:cs="Times New Roman"/>
                      <w:b/>
                      <w:bCs/>
                      <w:color w:val="000000" w:themeColor="text1"/>
                      <w:szCs w:val="21"/>
                      <w:vertAlign w:val="superscript"/>
                      <w14:textFill>
                        <w14:solidFill>
                          <w14:schemeClr w14:val="tx1"/>
                        </w14:solidFill>
                      </w14:textFill>
                    </w:rPr>
                    <w:t>3</w:t>
                  </w:r>
                  <w:r>
                    <w:rPr>
                      <w:rFonts w:hint="default" w:ascii="Times New Roman" w:hAnsi="Times New Roman" w:eastAsia="宋体" w:cs="Times New Roman"/>
                      <w:b/>
                      <w:bCs/>
                      <w:color w:val="000000" w:themeColor="text1"/>
                      <w:szCs w:val="21"/>
                      <w14:textFill>
                        <w14:solidFill>
                          <w14:schemeClr w14:val="tx1"/>
                        </w14:solidFill>
                      </w14:textFill>
                    </w:rPr>
                    <w:t>/h</w:t>
                  </w:r>
                </w:p>
              </w:tc>
              <w:tc>
                <w:tcPr>
                  <w:tcW w:w="12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rPr>
                    <w:t>8910</w:t>
                  </w:r>
                </w:p>
              </w:tc>
              <w:tc>
                <w:tcPr>
                  <w:tcW w:w="117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rPr>
                    <w:t>8535</w:t>
                  </w:r>
                </w:p>
              </w:tc>
              <w:tc>
                <w:tcPr>
                  <w:tcW w:w="96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736" w:type="dxa"/>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659" w:type="dxa"/>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858" w:type="dxa"/>
                  <w:vMerge w:val="continue"/>
                  <w:tcBorders>
                    <w:tl2br w:val="nil"/>
                    <w:tr2bl w:val="nil"/>
                  </w:tcBorders>
                  <w:vAlign w:val="center"/>
                </w:tcPr>
                <w:p>
                  <w:pPr>
                    <w:pStyle w:val="29"/>
                    <w:jc w:val="cente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p>
              </w:tc>
              <w:tc>
                <w:tcPr>
                  <w:tcW w:w="2713"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非甲烷总烃浓度(mg/m³)</w:t>
                  </w:r>
                </w:p>
              </w:tc>
              <w:tc>
                <w:tcPr>
                  <w:tcW w:w="12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rPr>
                    <w:t>8.85</w:t>
                  </w:r>
                </w:p>
              </w:tc>
              <w:tc>
                <w:tcPr>
                  <w:tcW w:w="117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rPr>
                    <w:t>8.69</w:t>
                  </w:r>
                </w:p>
              </w:tc>
              <w:tc>
                <w:tcPr>
                  <w:tcW w:w="96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36" w:type="dxa"/>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659" w:type="dxa"/>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858" w:type="dxa"/>
                  <w:vMerge w:val="continue"/>
                  <w:tcBorders>
                    <w:tl2br w:val="nil"/>
                    <w:tr2bl w:val="nil"/>
                  </w:tcBorders>
                  <w:vAlign w:val="center"/>
                </w:tcPr>
                <w:p>
                  <w:pPr>
                    <w:pStyle w:val="29"/>
                    <w:jc w:val="cente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p>
              </w:tc>
              <w:tc>
                <w:tcPr>
                  <w:tcW w:w="2713"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非甲烷总烃排放速率(kg/h）</w:t>
                  </w:r>
                </w:p>
              </w:tc>
              <w:tc>
                <w:tcPr>
                  <w:tcW w:w="12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rPr>
                    <w:t>7.89×10</w:t>
                  </w:r>
                  <w:r>
                    <w:rPr>
                      <w:rFonts w:hint="default" w:ascii="Times New Roman" w:hAnsi="Times New Roman" w:eastAsia="宋体" w:cs="Times New Roman"/>
                      <w:color w:val="000000"/>
                      <w:kern w:val="0"/>
                      <w:sz w:val="21"/>
                      <w:szCs w:val="21"/>
                      <w:vertAlign w:val="superscript"/>
                      <w:lang w:val="en-US" w:eastAsia="zh-CN"/>
                    </w:rPr>
                    <w:t>-2</w:t>
                  </w:r>
                </w:p>
              </w:tc>
              <w:tc>
                <w:tcPr>
                  <w:tcW w:w="117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rPr>
                    <w:t>7.41×10</w:t>
                  </w:r>
                  <w:r>
                    <w:rPr>
                      <w:rFonts w:hint="default" w:ascii="Times New Roman" w:hAnsi="Times New Roman" w:eastAsia="宋体" w:cs="Times New Roman"/>
                      <w:color w:val="000000"/>
                      <w:kern w:val="0"/>
                      <w:sz w:val="21"/>
                      <w:szCs w:val="21"/>
                      <w:vertAlign w:val="superscript"/>
                      <w:lang w:val="en-US" w:eastAsia="zh-CN"/>
                    </w:rPr>
                    <w:t>-2</w:t>
                  </w:r>
                </w:p>
              </w:tc>
              <w:tc>
                <w:tcPr>
                  <w:tcW w:w="96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736" w:type="dxa"/>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659" w:type="dxa"/>
                  <w:vMerge w:val="restart"/>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活性炭吸附设施</w:t>
                  </w:r>
                </w:p>
              </w:tc>
              <w:tc>
                <w:tcPr>
                  <w:tcW w:w="858" w:type="dxa"/>
                  <w:vMerge w:val="restart"/>
                  <w:tcBorders>
                    <w:tl2br w:val="nil"/>
                    <w:tr2bl w:val="nil"/>
                  </w:tcBorders>
                  <w:vAlign w:val="center"/>
                </w:tcPr>
                <w:p>
                  <w:pPr>
                    <w:pStyle w:val="29"/>
                    <w:jc w:val="cente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kern w:val="0"/>
                      <w:sz w:val="21"/>
                      <w:szCs w:val="21"/>
                      <w:lang w:val="en-US" w:eastAsia="zh-CN"/>
                    </w:rPr>
                    <w:t>挤出废气</w:t>
                  </w:r>
                  <w:r>
                    <w:rPr>
                      <w:rFonts w:hint="default" w:ascii="Times New Roman" w:hAnsi="Times New Roman" w:eastAsia="宋体" w:cs="Times New Roman"/>
                      <w:color w:val="000000"/>
                      <w:sz w:val="21"/>
                      <w:szCs w:val="21"/>
                      <w:lang w:val="en-US" w:eastAsia="zh-CN"/>
                    </w:rPr>
                    <w:t>处理设施</w:t>
                  </w:r>
                  <w:r>
                    <w:rPr>
                      <w:rFonts w:hint="default" w:ascii="Times New Roman" w:hAnsi="Times New Roman" w:eastAsia="宋体" w:cs="Times New Roman"/>
                      <w:color w:val="auto"/>
                      <w:sz w:val="21"/>
                      <w:szCs w:val="21"/>
                      <w:lang w:val="en-US" w:eastAsia="zh-CN"/>
                    </w:rPr>
                    <w:t>◎P2出口</w:t>
                  </w:r>
                </w:p>
              </w:tc>
              <w:tc>
                <w:tcPr>
                  <w:tcW w:w="2713" w:type="dxa"/>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b/>
                      <w:bCs/>
                      <w:i w:val="0"/>
                      <w:iCs w:val="0"/>
                      <w:color w:val="000000" w:themeColor="text1"/>
                      <w:sz w:val="21"/>
                      <w:szCs w:val="21"/>
                      <w:vertAlign w:val="baseline"/>
                      <w:lang w:val="en-US" w:eastAsia="zh-CN"/>
                      <w14:textFill>
                        <w14:solidFill>
                          <w14:schemeClr w14:val="tx1"/>
                        </w14:solidFill>
                      </w14:textFill>
                    </w:rPr>
                    <w:t>标杆流量</w:t>
                  </w:r>
                  <w:r>
                    <w:rPr>
                      <w:rFonts w:hint="default" w:ascii="Times New Roman" w:hAnsi="Times New Roman" w:eastAsia="宋体" w:cs="Times New Roman"/>
                      <w:b/>
                      <w:bCs/>
                      <w:color w:val="000000" w:themeColor="text1"/>
                      <w:szCs w:val="21"/>
                      <w14:textFill>
                        <w14:solidFill>
                          <w14:schemeClr w14:val="tx1"/>
                        </w14:solidFill>
                      </w14:textFill>
                    </w:rPr>
                    <w:t>m</w:t>
                  </w:r>
                  <w:r>
                    <w:rPr>
                      <w:rFonts w:hint="default" w:ascii="Times New Roman" w:hAnsi="Times New Roman" w:eastAsia="宋体" w:cs="Times New Roman"/>
                      <w:b/>
                      <w:bCs/>
                      <w:color w:val="000000" w:themeColor="text1"/>
                      <w:szCs w:val="21"/>
                      <w:vertAlign w:val="superscript"/>
                      <w14:textFill>
                        <w14:solidFill>
                          <w14:schemeClr w14:val="tx1"/>
                        </w14:solidFill>
                      </w14:textFill>
                    </w:rPr>
                    <w:t>3</w:t>
                  </w:r>
                  <w:r>
                    <w:rPr>
                      <w:rFonts w:hint="default" w:ascii="Times New Roman" w:hAnsi="Times New Roman" w:eastAsia="宋体" w:cs="Times New Roman"/>
                      <w:b/>
                      <w:bCs/>
                      <w:color w:val="000000" w:themeColor="text1"/>
                      <w:szCs w:val="21"/>
                      <w14:textFill>
                        <w14:solidFill>
                          <w14:schemeClr w14:val="tx1"/>
                        </w14:solidFill>
                      </w14:textFill>
                    </w:rPr>
                    <w:t>/h</w:t>
                  </w:r>
                </w:p>
              </w:tc>
              <w:tc>
                <w:tcPr>
                  <w:tcW w:w="12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rPr>
                    <w:t>7497</w:t>
                  </w:r>
                </w:p>
              </w:tc>
              <w:tc>
                <w:tcPr>
                  <w:tcW w:w="117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rPr>
                    <w:t>7438</w:t>
                  </w:r>
                </w:p>
              </w:tc>
              <w:tc>
                <w:tcPr>
                  <w:tcW w:w="96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736" w:type="dxa"/>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659" w:type="dxa"/>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858" w:type="dxa"/>
                  <w:vMerge w:val="continue"/>
                  <w:tcBorders>
                    <w:tl2br w:val="nil"/>
                    <w:tr2bl w:val="nil"/>
                  </w:tcBorders>
                  <w:vAlign w:val="center"/>
                </w:tcPr>
                <w:p>
                  <w:pPr>
                    <w:pStyle w:val="29"/>
                    <w:jc w:val="cente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p>
              </w:tc>
              <w:tc>
                <w:tcPr>
                  <w:tcW w:w="2713"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非甲烷总烃浓度(mg/m³)</w:t>
                  </w:r>
                </w:p>
              </w:tc>
              <w:tc>
                <w:tcPr>
                  <w:tcW w:w="12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rPr>
                    <w:t>3.60</w:t>
                  </w:r>
                </w:p>
              </w:tc>
              <w:tc>
                <w:tcPr>
                  <w:tcW w:w="117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rPr>
                    <w:t>3.81</w:t>
                  </w:r>
                </w:p>
              </w:tc>
              <w:tc>
                <w:tcPr>
                  <w:tcW w:w="96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100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36" w:type="dxa"/>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659" w:type="dxa"/>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858" w:type="dxa"/>
                  <w:vMerge w:val="continue"/>
                  <w:tcBorders>
                    <w:tl2br w:val="nil"/>
                    <w:tr2bl w:val="nil"/>
                  </w:tcBorders>
                  <w:vAlign w:val="center"/>
                </w:tcPr>
                <w:p>
                  <w:pPr>
                    <w:pStyle w:val="29"/>
                    <w:jc w:val="cente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p>
              </w:tc>
              <w:tc>
                <w:tcPr>
                  <w:tcW w:w="2713"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非甲烷总烃排放速率(kg/h）</w:t>
                  </w:r>
                </w:p>
              </w:tc>
              <w:tc>
                <w:tcPr>
                  <w:tcW w:w="12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rPr>
                    <w:t>2.70×10</w:t>
                  </w:r>
                  <w:r>
                    <w:rPr>
                      <w:rFonts w:hint="default" w:ascii="Times New Roman" w:hAnsi="Times New Roman" w:eastAsia="宋体" w:cs="Times New Roman"/>
                      <w:color w:val="000000"/>
                      <w:kern w:val="0"/>
                      <w:sz w:val="21"/>
                      <w:szCs w:val="21"/>
                      <w:vertAlign w:val="superscript"/>
                      <w:lang w:val="en-US" w:eastAsia="zh-CN"/>
                    </w:rPr>
                    <w:t>-2</w:t>
                  </w:r>
                </w:p>
              </w:tc>
              <w:tc>
                <w:tcPr>
                  <w:tcW w:w="117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rPr>
                    <w:t>2.83×10</w:t>
                  </w:r>
                  <w:r>
                    <w:rPr>
                      <w:rFonts w:hint="default" w:ascii="Times New Roman" w:hAnsi="Times New Roman" w:eastAsia="宋体" w:cs="Times New Roman"/>
                      <w:color w:val="000000"/>
                      <w:kern w:val="0"/>
                      <w:sz w:val="21"/>
                      <w:szCs w:val="21"/>
                      <w:vertAlign w:val="superscript"/>
                      <w:lang w:val="en-US" w:eastAsia="zh-CN"/>
                    </w:rPr>
                    <w:t>-2</w:t>
                  </w:r>
                </w:p>
              </w:tc>
              <w:tc>
                <w:tcPr>
                  <w:tcW w:w="96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w:t>
                  </w:r>
                </w:p>
              </w:tc>
            </w:tr>
          </w:tbl>
          <w:p>
            <w:pPr>
              <w:pStyle w:val="29"/>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由上表7-</w:t>
            </w:r>
            <w:r>
              <w:rPr>
                <w:rFonts w:hint="default" w:ascii="Times New Roman" w:hAnsi="Times New Roman" w:eastAsia="宋体" w:cs="Times New Roman"/>
                <w:color w:val="000000" w:themeColor="text1"/>
                <w:lang w:val="en-US" w:eastAsia="zh-CN"/>
                <w14:textFill>
                  <w14:solidFill>
                    <w14:schemeClr w14:val="tx1"/>
                  </w14:solidFill>
                </w14:textFill>
              </w:rPr>
              <w:t>2</w:t>
            </w:r>
            <w:r>
              <w:rPr>
                <w:rFonts w:hint="default" w:ascii="Times New Roman" w:hAnsi="Times New Roman" w:eastAsia="宋体" w:cs="Times New Roman"/>
                <w:color w:val="000000" w:themeColor="text1"/>
                <w14:textFill>
                  <w14:solidFill>
                    <w14:schemeClr w14:val="tx1"/>
                  </w14:solidFill>
                </w14:textFill>
              </w:rPr>
              <w:t>监测结果可知，本项</w:t>
            </w:r>
            <w:r>
              <w:rPr>
                <w:rFonts w:hint="default" w:ascii="Times New Roman" w:hAnsi="Times New Roman" w:eastAsia="宋体" w:cs="Times New Roman"/>
                <w:color w:val="000000" w:themeColor="text1"/>
                <w:lang w:val="en-US" w:eastAsia="zh-CN"/>
                <w14:textFill>
                  <w14:solidFill>
                    <w14:schemeClr w14:val="tx1"/>
                  </w14:solidFill>
                </w14:textFill>
              </w:rPr>
              <w:t>目挤出工艺产生的有机废气非甲烷总烃</w:t>
            </w:r>
            <w:r>
              <w:rPr>
                <w:rFonts w:hint="default" w:ascii="Times New Roman" w:hAnsi="Times New Roman" w:eastAsia="宋体" w:cs="Times New Roman"/>
                <w:color w:val="000000" w:themeColor="text1"/>
                <w:lang w:eastAsia="zh-CN"/>
                <w14:textFill>
                  <w14:solidFill>
                    <w14:schemeClr w14:val="tx1"/>
                  </w14:solidFill>
                </w14:textFill>
              </w:rPr>
              <w:t>排放</w:t>
            </w:r>
            <w:r>
              <w:rPr>
                <w:rFonts w:hint="default" w:ascii="Times New Roman" w:hAnsi="Times New Roman" w:eastAsia="宋体" w:cs="Times New Roman"/>
                <w:color w:val="000000"/>
                <w:lang w:eastAsia="zh-CN"/>
              </w:rPr>
              <w:t>《</w:t>
            </w:r>
            <w:r>
              <w:rPr>
                <w:rFonts w:hint="default" w:ascii="Times New Roman" w:hAnsi="Times New Roman" w:eastAsia="宋体" w:cs="Times New Roman"/>
                <w:bCs/>
                <w:color w:val="000000"/>
                <w:lang w:eastAsia="zh-CN"/>
              </w:rPr>
              <w:t>合成树脂工业污染物排放标准</w:t>
            </w:r>
            <w:r>
              <w:rPr>
                <w:rFonts w:hint="default" w:ascii="Times New Roman" w:hAnsi="Times New Roman" w:eastAsia="宋体" w:cs="Times New Roman"/>
                <w:color w:val="000000"/>
                <w:lang w:eastAsia="zh-CN"/>
              </w:rPr>
              <w:t>》（</w:t>
            </w:r>
            <w:r>
              <w:rPr>
                <w:rFonts w:hint="default" w:ascii="Times New Roman" w:hAnsi="Times New Roman" w:eastAsia="宋体" w:cs="Times New Roman"/>
                <w:bCs/>
                <w:color w:val="000000"/>
                <w:lang w:eastAsia="zh-CN"/>
              </w:rPr>
              <w:t>GB31572-2015</w:t>
            </w:r>
            <w:r>
              <w:rPr>
                <w:rFonts w:hint="default" w:ascii="Times New Roman" w:hAnsi="Times New Roman" w:eastAsia="宋体" w:cs="Times New Roman"/>
                <w:color w:val="000000"/>
                <w:lang w:eastAsia="zh-CN"/>
              </w:rPr>
              <w:t>）</w:t>
            </w:r>
            <w:r>
              <w:rPr>
                <w:rFonts w:hint="default" w:ascii="Times New Roman" w:hAnsi="Times New Roman" w:eastAsia="宋体" w:cs="Times New Roman"/>
                <w:bCs/>
                <w:color w:val="000000"/>
                <w:lang w:eastAsia="zh-CN"/>
              </w:rPr>
              <w:t>表4大气污染物排放限值要求</w:t>
            </w:r>
            <w:r>
              <w:rPr>
                <w:rFonts w:hint="default" w:ascii="Times New Roman" w:hAnsi="Times New Roman" w:eastAsia="宋体" w:cs="Times New Roman"/>
                <w:color w:val="000000" w:themeColor="text1"/>
                <w:highlight w:val="none"/>
                <w14:textFill>
                  <w14:solidFill>
                    <w14:schemeClr w14:val="tx1"/>
                  </w14:solidFill>
                </w14:textFill>
              </w:rPr>
              <w:t>。</w:t>
            </w:r>
          </w:p>
          <w:p>
            <w:pPr>
              <w:pStyle w:val="29"/>
              <w:ind w:firstLine="422" w:firstLineChars="200"/>
              <w:jc w:val="center"/>
              <w:rPr>
                <w:rFonts w:hint="default" w:ascii="Times New Roman" w:hAnsi="Times New Roman" w:eastAsia="宋体" w:cs="Times New Roman"/>
                <w:b/>
                <w:bCs/>
                <w:color w:val="auto"/>
                <w:sz w:val="21"/>
                <w:szCs w:val="21"/>
                <w:highlight w:val="none"/>
              </w:rPr>
            </w:pPr>
          </w:p>
          <w:p>
            <w:pPr>
              <w:pStyle w:val="29"/>
              <w:ind w:firstLine="422" w:firstLineChars="200"/>
              <w:jc w:val="center"/>
              <w:rPr>
                <w:rFonts w:hint="default" w:ascii="Times New Roman" w:hAnsi="Times New Roman" w:eastAsia="宋体" w:cs="Times New Roman"/>
                <w:b/>
                <w:bCs/>
                <w:color w:val="auto"/>
                <w:sz w:val="21"/>
                <w:szCs w:val="21"/>
                <w:highlight w:val="none"/>
              </w:rPr>
            </w:pPr>
          </w:p>
          <w:p>
            <w:pPr>
              <w:pStyle w:val="29"/>
              <w:ind w:firstLine="422" w:firstLineChars="200"/>
              <w:jc w:val="center"/>
              <w:rPr>
                <w:rFonts w:hint="default" w:ascii="Times New Roman" w:hAnsi="Times New Roman" w:eastAsia="宋体" w:cs="Times New Roman"/>
                <w:b/>
                <w:bCs/>
                <w:color w:val="auto"/>
                <w:sz w:val="21"/>
                <w:szCs w:val="21"/>
                <w:highlight w:val="none"/>
              </w:rPr>
            </w:pPr>
          </w:p>
          <w:p>
            <w:pPr>
              <w:pStyle w:val="29"/>
              <w:ind w:firstLine="422" w:firstLineChars="200"/>
              <w:jc w:val="center"/>
              <w:rPr>
                <w:rFonts w:hint="default" w:ascii="Times New Roman" w:hAnsi="Times New Roman" w:eastAsia="宋体" w:cs="Times New Roman"/>
                <w:b/>
                <w:bCs/>
                <w:color w:val="auto"/>
                <w:sz w:val="21"/>
                <w:szCs w:val="21"/>
                <w:highlight w:val="none"/>
              </w:rPr>
            </w:pPr>
          </w:p>
          <w:p>
            <w:pPr>
              <w:pStyle w:val="29"/>
              <w:ind w:firstLine="422" w:firstLineChars="20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表7-</w:t>
            </w:r>
            <w:r>
              <w:rPr>
                <w:rFonts w:hint="default" w:ascii="Times New Roman" w:hAnsi="Times New Roman" w:eastAsia="宋体" w:cs="Times New Roman"/>
                <w:b/>
                <w:bCs/>
                <w:color w:val="auto"/>
                <w:sz w:val="21"/>
                <w:szCs w:val="21"/>
                <w:highlight w:val="none"/>
                <w:lang w:val="en-US" w:eastAsia="zh-CN"/>
              </w:rPr>
              <w:t>3</w:t>
            </w:r>
            <w:r>
              <w:rPr>
                <w:rFonts w:hint="default" w:ascii="Times New Roman" w:hAnsi="Times New Roman" w:eastAsia="宋体" w:cs="Times New Roman"/>
                <w:b/>
                <w:bCs/>
                <w:color w:val="auto"/>
                <w:sz w:val="21"/>
                <w:szCs w:val="21"/>
                <w:highlight w:val="none"/>
              </w:rPr>
              <w:t>无组织废气监测结果</w:t>
            </w:r>
          </w:p>
          <w:tbl>
            <w:tblPr>
              <w:tblStyle w:val="23"/>
              <w:tblW w:w="4924" w:type="pct"/>
              <w:tblInd w:w="7"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95"/>
              <w:gridCol w:w="1349"/>
              <w:gridCol w:w="1327"/>
              <w:gridCol w:w="1072"/>
              <w:gridCol w:w="1016"/>
              <w:gridCol w:w="1046"/>
              <w:gridCol w:w="117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0" w:type="pct"/>
                  <w:vMerge w:val="restart"/>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监测</w:t>
                  </w:r>
                </w:p>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时间</w:t>
                  </w:r>
                </w:p>
              </w:tc>
              <w:tc>
                <w:tcPr>
                  <w:tcW w:w="824" w:type="pct"/>
                  <w:vMerge w:val="restart"/>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监测点位</w:t>
                  </w:r>
                </w:p>
              </w:tc>
              <w:tc>
                <w:tcPr>
                  <w:tcW w:w="811" w:type="pct"/>
                  <w:vMerge w:val="restart"/>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分析</w:t>
                  </w:r>
                </w:p>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项目</w:t>
                  </w:r>
                </w:p>
              </w:tc>
              <w:tc>
                <w:tcPr>
                  <w:tcW w:w="2633" w:type="pct"/>
                  <w:gridSpan w:val="4"/>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监测结果</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730" w:type="pct"/>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24" w:type="pct"/>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11" w:type="pct"/>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55" w:type="pct"/>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621" w:type="pct"/>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c>
                <w:tcPr>
                  <w:tcW w:w="639" w:type="pct"/>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w:t>
                  </w:r>
                </w:p>
              </w:tc>
              <w:tc>
                <w:tcPr>
                  <w:tcW w:w="718" w:type="pct"/>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最大值</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730" w:type="pct"/>
                  <w:vMerge w:val="restart"/>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2023.04.26</w:t>
                  </w:r>
                </w:p>
              </w:tc>
              <w:tc>
                <w:tcPr>
                  <w:tcW w:w="824" w:type="pct"/>
                  <w:vMerge w:val="restart"/>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上风向〇</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G1</w:t>
                  </w:r>
                </w:p>
              </w:tc>
              <w:tc>
                <w:tcPr>
                  <w:tcW w:w="81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t>颗粒物</w:t>
                  </w:r>
                </w:p>
              </w:tc>
              <w:tc>
                <w:tcPr>
                  <w:tcW w:w="655"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0.122</w:t>
                  </w:r>
                </w:p>
              </w:tc>
              <w:tc>
                <w:tcPr>
                  <w:tcW w:w="621"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0.119</w:t>
                  </w:r>
                </w:p>
              </w:tc>
              <w:tc>
                <w:tcPr>
                  <w:tcW w:w="639"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0.125</w:t>
                  </w:r>
                </w:p>
              </w:tc>
              <w:tc>
                <w:tcPr>
                  <w:tcW w:w="718" w:type="pct"/>
                  <w:tcBorders>
                    <w:tl2br w:val="nil"/>
                    <w:tr2bl w:val="nil"/>
                  </w:tcBorders>
                  <w:vAlign w:val="center"/>
                </w:tcPr>
                <w:p>
                  <w:pPr>
                    <w:widowControl/>
                    <w:jc w:val="center"/>
                    <w:textAlignment w:val="center"/>
                    <w:rPr>
                      <w:rFonts w:hint="default" w:ascii="Times New Roman" w:hAnsi="Times New Roman" w:eastAsia="宋体" w:cs="Times New Roman"/>
                      <w:b/>
                      <w:bCs/>
                      <w:color w:val="000000" w:themeColor="text1"/>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ar-SA"/>
                      <w14:textFill>
                        <w14:solidFill>
                          <w14:schemeClr w14:val="tx1"/>
                        </w14:solidFill>
                      </w14:textFill>
                    </w:rPr>
                    <w:t>0.125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0" w:hRule="atLeast"/>
              </w:trPr>
              <w:tc>
                <w:tcPr>
                  <w:tcW w:w="730" w:type="pct"/>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824" w:type="pct"/>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1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t>非甲烷总烃</w:t>
                  </w:r>
                </w:p>
              </w:tc>
              <w:tc>
                <w:tcPr>
                  <w:tcW w:w="655"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0.69</w:t>
                  </w:r>
                </w:p>
              </w:tc>
              <w:tc>
                <w:tcPr>
                  <w:tcW w:w="621"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0.66</w:t>
                  </w:r>
                </w:p>
              </w:tc>
              <w:tc>
                <w:tcPr>
                  <w:tcW w:w="639"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0.72</w:t>
                  </w:r>
                </w:p>
              </w:tc>
              <w:tc>
                <w:tcPr>
                  <w:tcW w:w="718" w:type="pct"/>
                  <w:tcBorders>
                    <w:tl2br w:val="nil"/>
                    <w:tr2bl w:val="nil"/>
                  </w:tcBorders>
                  <w:vAlign w:val="center"/>
                </w:tcPr>
                <w:p>
                  <w:pPr>
                    <w:widowControl/>
                    <w:jc w:val="center"/>
                    <w:textAlignment w:val="center"/>
                    <w:rPr>
                      <w:rFonts w:hint="default" w:ascii="Times New Roman" w:hAnsi="Times New Roman" w:eastAsia="宋体" w:cs="Times New Roman"/>
                      <w:b/>
                      <w:bCs/>
                      <w:color w:val="000000" w:themeColor="text1"/>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ar-SA"/>
                      <w14:textFill>
                        <w14:solidFill>
                          <w14:schemeClr w14:val="tx1"/>
                        </w14:solidFill>
                      </w14:textFill>
                    </w:rPr>
                    <w:t>0.72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0" w:type="pct"/>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24" w:type="pct"/>
                  <w:vMerge w:val="restart"/>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上风向〇</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G3</w:t>
                  </w:r>
                </w:p>
              </w:tc>
              <w:tc>
                <w:tcPr>
                  <w:tcW w:w="81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t>颗粒物</w:t>
                  </w:r>
                </w:p>
              </w:tc>
              <w:tc>
                <w:tcPr>
                  <w:tcW w:w="655"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0.162</w:t>
                  </w:r>
                </w:p>
              </w:tc>
              <w:tc>
                <w:tcPr>
                  <w:tcW w:w="621"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0.169</w:t>
                  </w:r>
                </w:p>
              </w:tc>
              <w:tc>
                <w:tcPr>
                  <w:tcW w:w="639"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0.165</w:t>
                  </w:r>
                </w:p>
              </w:tc>
              <w:tc>
                <w:tcPr>
                  <w:tcW w:w="718" w:type="pct"/>
                  <w:tcBorders>
                    <w:tl2br w:val="nil"/>
                    <w:tr2bl w:val="nil"/>
                  </w:tcBorders>
                  <w:vAlign w:val="center"/>
                </w:tcPr>
                <w:p>
                  <w:pPr>
                    <w:widowControl/>
                    <w:jc w:val="center"/>
                    <w:textAlignment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0.169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0" w:type="pct"/>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24" w:type="pct"/>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1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t>非甲烷总烃</w:t>
                  </w:r>
                </w:p>
              </w:tc>
              <w:tc>
                <w:tcPr>
                  <w:tcW w:w="655"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0.96</w:t>
                  </w:r>
                </w:p>
              </w:tc>
              <w:tc>
                <w:tcPr>
                  <w:tcW w:w="621"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0.89</w:t>
                  </w:r>
                </w:p>
              </w:tc>
              <w:tc>
                <w:tcPr>
                  <w:tcW w:w="639"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0.92</w:t>
                  </w:r>
                </w:p>
              </w:tc>
              <w:tc>
                <w:tcPr>
                  <w:tcW w:w="718" w:type="pct"/>
                  <w:tcBorders>
                    <w:tl2br w:val="nil"/>
                    <w:tr2bl w:val="nil"/>
                  </w:tcBorders>
                  <w:vAlign w:val="center"/>
                </w:tcPr>
                <w:p>
                  <w:pPr>
                    <w:widowControl/>
                    <w:jc w:val="center"/>
                    <w:textAlignment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0.96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730" w:type="pct"/>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24" w:type="pct"/>
                  <w:vMerge w:val="restart"/>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上风向〇</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G3</w:t>
                  </w:r>
                </w:p>
              </w:tc>
              <w:tc>
                <w:tcPr>
                  <w:tcW w:w="81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t>颗粒物</w:t>
                  </w:r>
                </w:p>
              </w:tc>
              <w:tc>
                <w:tcPr>
                  <w:tcW w:w="655"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0.177</w:t>
                  </w:r>
                </w:p>
              </w:tc>
              <w:tc>
                <w:tcPr>
                  <w:tcW w:w="621"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0.179</w:t>
                  </w:r>
                </w:p>
              </w:tc>
              <w:tc>
                <w:tcPr>
                  <w:tcW w:w="639"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0.174</w:t>
                  </w:r>
                </w:p>
              </w:tc>
              <w:tc>
                <w:tcPr>
                  <w:tcW w:w="718" w:type="pct"/>
                  <w:tcBorders>
                    <w:tl2br w:val="nil"/>
                    <w:tr2bl w:val="nil"/>
                  </w:tcBorders>
                  <w:vAlign w:val="center"/>
                </w:tcPr>
                <w:p>
                  <w:pPr>
                    <w:widowControl/>
                    <w:jc w:val="center"/>
                    <w:textAlignment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0.179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730" w:type="pct"/>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24" w:type="pct"/>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1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t>非甲烷总烃</w:t>
                  </w:r>
                </w:p>
              </w:tc>
              <w:tc>
                <w:tcPr>
                  <w:tcW w:w="655"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0.97</w:t>
                  </w:r>
                </w:p>
              </w:tc>
              <w:tc>
                <w:tcPr>
                  <w:tcW w:w="621"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0.88</w:t>
                  </w:r>
                </w:p>
              </w:tc>
              <w:tc>
                <w:tcPr>
                  <w:tcW w:w="639"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0.87</w:t>
                  </w:r>
                </w:p>
              </w:tc>
              <w:tc>
                <w:tcPr>
                  <w:tcW w:w="718" w:type="pct"/>
                  <w:tcBorders>
                    <w:tl2br w:val="nil"/>
                    <w:tr2bl w:val="nil"/>
                  </w:tcBorders>
                  <w:vAlign w:val="center"/>
                </w:tcPr>
                <w:p>
                  <w:pPr>
                    <w:widowControl/>
                    <w:jc w:val="center"/>
                    <w:textAlignment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0.97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730" w:type="pct"/>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24" w:type="pct"/>
                  <w:vMerge w:val="restart"/>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上风向〇</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G4</w:t>
                  </w:r>
                </w:p>
              </w:tc>
              <w:tc>
                <w:tcPr>
                  <w:tcW w:w="81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t>颗粒物</w:t>
                  </w:r>
                </w:p>
              </w:tc>
              <w:tc>
                <w:tcPr>
                  <w:tcW w:w="655"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0.177</w:t>
                  </w:r>
                </w:p>
              </w:tc>
              <w:tc>
                <w:tcPr>
                  <w:tcW w:w="621"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0.179</w:t>
                  </w:r>
                </w:p>
              </w:tc>
              <w:tc>
                <w:tcPr>
                  <w:tcW w:w="639"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0.174</w:t>
                  </w:r>
                </w:p>
              </w:tc>
              <w:tc>
                <w:tcPr>
                  <w:tcW w:w="718" w:type="pct"/>
                  <w:tcBorders>
                    <w:tl2br w:val="nil"/>
                    <w:tr2bl w:val="nil"/>
                  </w:tcBorders>
                  <w:vAlign w:val="center"/>
                </w:tcPr>
                <w:p>
                  <w:pPr>
                    <w:widowControl/>
                    <w:jc w:val="center"/>
                    <w:textAlignment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0.179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730" w:type="pct"/>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24" w:type="pct"/>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1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t>非甲烷总烃</w:t>
                  </w:r>
                </w:p>
              </w:tc>
              <w:tc>
                <w:tcPr>
                  <w:tcW w:w="655"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0.92</w:t>
                  </w:r>
                </w:p>
              </w:tc>
              <w:tc>
                <w:tcPr>
                  <w:tcW w:w="621"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0.99</w:t>
                  </w:r>
                </w:p>
              </w:tc>
              <w:tc>
                <w:tcPr>
                  <w:tcW w:w="639"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0.98</w:t>
                  </w:r>
                </w:p>
              </w:tc>
              <w:tc>
                <w:tcPr>
                  <w:tcW w:w="718" w:type="pct"/>
                  <w:tcBorders>
                    <w:tl2br w:val="nil"/>
                    <w:tr2bl w:val="nil"/>
                  </w:tcBorders>
                  <w:vAlign w:val="center"/>
                </w:tcPr>
                <w:p>
                  <w:pPr>
                    <w:widowControl/>
                    <w:jc w:val="center"/>
                    <w:textAlignment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0.99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730" w:type="pct"/>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24" w:type="pct"/>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厂界内</w:t>
                  </w:r>
                  <w:r>
                    <w:rPr>
                      <w:rFonts w:hint="default" w:ascii="Times New Roman" w:hAnsi="Times New Roman" w:eastAsia="宋体" w:cs="Times New Roman"/>
                      <w:color w:val="000000" w:themeColor="text1"/>
                      <w:sz w:val="21"/>
                      <w:szCs w:val="21"/>
                      <w:highlight w:val="none"/>
                      <w14:textFill>
                        <w14:solidFill>
                          <w14:schemeClr w14:val="tx1"/>
                        </w14:solidFill>
                      </w14:textFill>
                    </w:rPr>
                    <w:t>〇</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G5</w:t>
                  </w:r>
                </w:p>
              </w:tc>
              <w:tc>
                <w:tcPr>
                  <w:tcW w:w="81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t>非甲烷总烃</w:t>
                  </w:r>
                </w:p>
              </w:tc>
              <w:tc>
                <w:tcPr>
                  <w:tcW w:w="655"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1.24</w:t>
                  </w:r>
                </w:p>
              </w:tc>
              <w:tc>
                <w:tcPr>
                  <w:tcW w:w="621"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1.28</w:t>
                  </w:r>
                </w:p>
              </w:tc>
              <w:tc>
                <w:tcPr>
                  <w:tcW w:w="639"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1.24</w:t>
                  </w:r>
                </w:p>
              </w:tc>
              <w:tc>
                <w:tcPr>
                  <w:tcW w:w="718" w:type="pct"/>
                  <w:tcBorders>
                    <w:tl2br w:val="nil"/>
                    <w:tr2bl w:val="nil"/>
                  </w:tcBorders>
                  <w:vAlign w:val="center"/>
                </w:tcPr>
                <w:p>
                  <w:pPr>
                    <w:widowControl/>
                    <w:jc w:val="center"/>
                    <w:textAlignment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1.28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730" w:type="pct"/>
                  <w:vMerge w:val="restart"/>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2023.04.27</w:t>
                  </w:r>
                </w:p>
              </w:tc>
              <w:tc>
                <w:tcPr>
                  <w:tcW w:w="824" w:type="pct"/>
                  <w:vMerge w:val="restart"/>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上风向〇</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G1</w:t>
                  </w:r>
                </w:p>
              </w:tc>
              <w:tc>
                <w:tcPr>
                  <w:tcW w:w="81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t>颗粒物</w:t>
                  </w:r>
                </w:p>
              </w:tc>
              <w:tc>
                <w:tcPr>
                  <w:tcW w:w="655"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0.127</w:t>
                  </w:r>
                </w:p>
              </w:tc>
              <w:tc>
                <w:tcPr>
                  <w:tcW w:w="621"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0.122</w:t>
                  </w:r>
                </w:p>
              </w:tc>
              <w:tc>
                <w:tcPr>
                  <w:tcW w:w="639"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0.119</w:t>
                  </w:r>
                </w:p>
              </w:tc>
              <w:tc>
                <w:tcPr>
                  <w:tcW w:w="718" w:type="pct"/>
                  <w:tcBorders>
                    <w:tl2br w:val="nil"/>
                    <w:tr2bl w:val="nil"/>
                  </w:tcBorders>
                  <w:vAlign w:val="center"/>
                </w:tcPr>
                <w:p>
                  <w:pPr>
                    <w:widowControl/>
                    <w:jc w:val="center"/>
                    <w:textAlignment w:val="center"/>
                    <w:rPr>
                      <w:rFonts w:hint="default" w:ascii="Times New Roman" w:hAnsi="Times New Roman" w:eastAsia="宋体" w:cs="Times New Roman"/>
                      <w:b/>
                      <w:bCs/>
                      <w:color w:val="000000" w:themeColor="text1"/>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ar-SA"/>
                      <w14:textFill>
                        <w14:solidFill>
                          <w14:schemeClr w14:val="tx1"/>
                        </w14:solidFill>
                      </w14:textFill>
                    </w:rPr>
                    <w:t>0.127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730" w:type="pct"/>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824" w:type="pct"/>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1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t>非甲烷总烃</w:t>
                  </w:r>
                </w:p>
              </w:tc>
              <w:tc>
                <w:tcPr>
                  <w:tcW w:w="655"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0.74</w:t>
                  </w:r>
                </w:p>
              </w:tc>
              <w:tc>
                <w:tcPr>
                  <w:tcW w:w="621"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0.76</w:t>
                  </w:r>
                </w:p>
              </w:tc>
              <w:tc>
                <w:tcPr>
                  <w:tcW w:w="639"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0.73</w:t>
                  </w:r>
                </w:p>
              </w:tc>
              <w:tc>
                <w:tcPr>
                  <w:tcW w:w="718" w:type="pct"/>
                  <w:tcBorders>
                    <w:tl2br w:val="nil"/>
                    <w:tr2bl w:val="nil"/>
                  </w:tcBorders>
                  <w:vAlign w:val="center"/>
                </w:tcPr>
                <w:p>
                  <w:pPr>
                    <w:widowControl/>
                    <w:jc w:val="center"/>
                    <w:textAlignment w:val="center"/>
                    <w:rPr>
                      <w:rFonts w:hint="default" w:ascii="Times New Roman" w:hAnsi="Times New Roman" w:eastAsia="宋体" w:cs="Times New Roman"/>
                      <w:b/>
                      <w:bCs/>
                      <w:color w:val="000000" w:themeColor="text1"/>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ar-SA"/>
                      <w14:textFill>
                        <w14:solidFill>
                          <w14:schemeClr w14:val="tx1"/>
                        </w14:solidFill>
                      </w14:textFill>
                    </w:rPr>
                    <w:t>0.76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0" w:type="pct"/>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24" w:type="pct"/>
                  <w:vMerge w:val="restart"/>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上风向〇</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G3</w:t>
                  </w:r>
                </w:p>
              </w:tc>
              <w:tc>
                <w:tcPr>
                  <w:tcW w:w="81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t>颗粒物</w:t>
                  </w:r>
                </w:p>
              </w:tc>
              <w:tc>
                <w:tcPr>
                  <w:tcW w:w="655"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0.172</w:t>
                  </w:r>
                </w:p>
              </w:tc>
              <w:tc>
                <w:tcPr>
                  <w:tcW w:w="621"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0.174</w:t>
                  </w:r>
                </w:p>
              </w:tc>
              <w:tc>
                <w:tcPr>
                  <w:tcW w:w="639"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0.169</w:t>
                  </w:r>
                </w:p>
              </w:tc>
              <w:tc>
                <w:tcPr>
                  <w:tcW w:w="718" w:type="pct"/>
                  <w:tcBorders>
                    <w:tl2br w:val="nil"/>
                    <w:tr2bl w:val="nil"/>
                  </w:tcBorders>
                  <w:vAlign w:val="center"/>
                </w:tcPr>
                <w:p>
                  <w:pPr>
                    <w:widowControl/>
                    <w:jc w:val="center"/>
                    <w:textAlignment w:val="center"/>
                    <w:rPr>
                      <w:rFonts w:hint="default" w:ascii="Times New Roman" w:hAnsi="Times New Roman" w:eastAsia="宋体" w:cs="Times New Roman"/>
                      <w:b/>
                      <w:bCs/>
                      <w:color w:val="000000" w:themeColor="text1"/>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ar-SA"/>
                      <w14:textFill>
                        <w14:solidFill>
                          <w14:schemeClr w14:val="tx1"/>
                        </w14:solidFill>
                      </w14:textFill>
                    </w:rPr>
                    <w:t>0.174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0" w:type="pct"/>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24" w:type="pct"/>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1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t>非甲烷总烃</w:t>
                  </w:r>
                </w:p>
              </w:tc>
              <w:tc>
                <w:tcPr>
                  <w:tcW w:w="655"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0.91</w:t>
                  </w:r>
                </w:p>
              </w:tc>
              <w:tc>
                <w:tcPr>
                  <w:tcW w:w="621"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0.99</w:t>
                  </w:r>
                </w:p>
              </w:tc>
              <w:tc>
                <w:tcPr>
                  <w:tcW w:w="639"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0.93</w:t>
                  </w:r>
                </w:p>
              </w:tc>
              <w:tc>
                <w:tcPr>
                  <w:tcW w:w="718" w:type="pct"/>
                  <w:tcBorders>
                    <w:tl2br w:val="nil"/>
                    <w:tr2bl w:val="nil"/>
                  </w:tcBorders>
                  <w:vAlign w:val="center"/>
                </w:tcPr>
                <w:p>
                  <w:pPr>
                    <w:widowControl/>
                    <w:jc w:val="center"/>
                    <w:textAlignment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0.99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730" w:type="pct"/>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24" w:type="pct"/>
                  <w:vMerge w:val="restart"/>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上风向〇</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G3</w:t>
                  </w:r>
                </w:p>
              </w:tc>
              <w:tc>
                <w:tcPr>
                  <w:tcW w:w="81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t>颗粒物</w:t>
                  </w:r>
                </w:p>
              </w:tc>
              <w:tc>
                <w:tcPr>
                  <w:tcW w:w="655"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0.172</w:t>
                  </w:r>
                </w:p>
              </w:tc>
              <w:tc>
                <w:tcPr>
                  <w:tcW w:w="621"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0.174</w:t>
                  </w:r>
                </w:p>
              </w:tc>
              <w:tc>
                <w:tcPr>
                  <w:tcW w:w="639"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0.169</w:t>
                  </w:r>
                </w:p>
              </w:tc>
              <w:tc>
                <w:tcPr>
                  <w:tcW w:w="718" w:type="pct"/>
                  <w:tcBorders>
                    <w:tl2br w:val="nil"/>
                    <w:tr2bl w:val="nil"/>
                  </w:tcBorders>
                  <w:vAlign w:val="center"/>
                </w:tcPr>
                <w:p>
                  <w:pPr>
                    <w:widowControl/>
                    <w:jc w:val="center"/>
                    <w:textAlignment w:val="center"/>
                    <w:rPr>
                      <w:rFonts w:hint="default" w:ascii="Times New Roman" w:hAnsi="Times New Roman" w:eastAsia="宋体" w:cs="Times New Roman"/>
                      <w:b/>
                      <w:bCs/>
                      <w:color w:val="000000" w:themeColor="text1"/>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ar-SA"/>
                      <w14:textFill>
                        <w14:solidFill>
                          <w14:schemeClr w14:val="tx1"/>
                        </w14:solidFill>
                      </w14:textFill>
                    </w:rPr>
                    <w:t>0.174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730" w:type="pct"/>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24" w:type="pct"/>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1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t>非甲烷总烃</w:t>
                  </w:r>
                </w:p>
              </w:tc>
              <w:tc>
                <w:tcPr>
                  <w:tcW w:w="655"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0.92</w:t>
                  </w:r>
                </w:p>
              </w:tc>
              <w:tc>
                <w:tcPr>
                  <w:tcW w:w="621"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0.95</w:t>
                  </w:r>
                </w:p>
              </w:tc>
              <w:tc>
                <w:tcPr>
                  <w:tcW w:w="639"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0.91</w:t>
                  </w:r>
                </w:p>
              </w:tc>
              <w:tc>
                <w:tcPr>
                  <w:tcW w:w="718" w:type="pct"/>
                  <w:tcBorders>
                    <w:tl2br w:val="nil"/>
                    <w:tr2bl w:val="nil"/>
                  </w:tcBorders>
                  <w:vAlign w:val="center"/>
                </w:tcPr>
                <w:p>
                  <w:pPr>
                    <w:widowControl/>
                    <w:jc w:val="center"/>
                    <w:textAlignment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0.95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730" w:type="pct"/>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24" w:type="pct"/>
                  <w:vMerge w:val="restart"/>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上风向〇</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G4</w:t>
                  </w:r>
                </w:p>
              </w:tc>
              <w:tc>
                <w:tcPr>
                  <w:tcW w:w="81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t>颗粒物</w:t>
                  </w:r>
                </w:p>
              </w:tc>
              <w:tc>
                <w:tcPr>
                  <w:tcW w:w="655"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0.184</w:t>
                  </w:r>
                </w:p>
              </w:tc>
              <w:tc>
                <w:tcPr>
                  <w:tcW w:w="621"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0.179</w:t>
                  </w:r>
                </w:p>
              </w:tc>
              <w:tc>
                <w:tcPr>
                  <w:tcW w:w="639"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0.180</w:t>
                  </w:r>
                </w:p>
              </w:tc>
              <w:tc>
                <w:tcPr>
                  <w:tcW w:w="718" w:type="pct"/>
                  <w:tcBorders>
                    <w:tl2br w:val="nil"/>
                    <w:tr2bl w:val="nil"/>
                  </w:tcBorders>
                  <w:vAlign w:val="center"/>
                </w:tcPr>
                <w:p>
                  <w:pPr>
                    <w:widowControl/>
                    <w:jc w:val="center"/>
                    <w:textAlignment w:val="center"/>
                    <w:rPr>
                      <w:rFonts w:hint="default" w:ascii="Times New Roman" w:hAnsi="Times New Roman" w:eastAsia="宋体" w:cs="Times New Roman"/>
                      <w:b/>
                      <w:bCs/>
                      <w:color w:val="000000" w:themeColor="text1"/>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ar-SA"/>
                      <w14:textFill>
                        <w14:solidFill>
                          <w14:schemeClr w14:val="tx1"/>
                        </w14:solidFill>
                      </w14:textFill>
                    </w:rPr>
                    <w:t>0.184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730" w:type="pct"/>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24" w:type="pct"/>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1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t>非甲烷总烃</w:t>
                  </w:r>
                </w:p>
              </w:tc>
              <w:tc>
                <w:tcPr>
                  <w:tcW w:w="655"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0.97</w:t>
                  </w:r>
                </w:p>
              </w:tc>
              <w:tc>
                <w:tcPr>
                  <w:tcW w:w="621"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0.96</w:t>
                  </w:r>
                </w:p>
              </w:tc>
              <w:tc>
                <w:tcPr>
                  <w:tcW w:w="639"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0.90</w:t>
                  </w:r>
                </w:p>
              </w:tc>
              <w:tc>
                <w:tcPr>
                  <w:tcW w:w="718" w:type="pct"/>
                  <w:tcBorders>
                    <w:tl2br w:val="nil"/>
                    <w:tr2bl w:val="nil"/>
                  </w:tcBorders>
                  <w:vAlign w:val="center"/>
                </w:tcPr>
                <w:p>
                  <w:pPr>
                    <w:widowControl/>
                    <w:jc w:val="center"/>
                    <w:textAlignment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0.97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730" w:type="pct"/>
                  <w:vMerge w:val="continue"/>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24" w:type="pct"/>
                  <w:tcBorders>
                    <w:tl2br w:val="nil"/>
                    <w:tr2bl w:val="nil"/>
                  </w:tcBorders>
                  <w:vAlign w:val="center"/>
                </w:tcPr>
                <w:p>
                  <w:pPr>
                    <w:pStyle w:val="29"/>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厂界内</w:t>
                  </w:r>
                  <w:r>
                    <w:rPr>
                      <w:rFonts w:hint="default" w:ascii="Times New Roman" w:hAnsi="Times New Roman" w:eastAsia="宋体" w:cs="Times New Roman"/>
                      <w:color w:val="000000" w:themeColor="text1"/>
                      <w:sz w:val="21"/>
                      <w:szCs w:val="21"/>
                      <w:highlight w:val="none"/>
                      <w14:textFill>
                        <w14:solidFill>
                          <w14:schemeClr w14:val="tx1"/>
                        </w14:solidFill>
                      </w14:textFill>
                    </w:rPr>
                    <w:t>〇</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G5</w:t>
                  </w:r>
                </w:p>
              </w:tc>
              <w:tc>
                <w:tcPr>
                  <w:tcW w:w="81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t>非甲烷总烃</w:t>
                  </w:r>
                </w:p>
              </w:tc>
              <w:tc>
                <w:tcPr>
                  <w:tcW w:w="655"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1.19</w:t>
                  </w:r>
                </w:p>
              </w:tc>
              <w:tc>
                <w:tcPr>
                  <w:tcW w:w="621"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1.22</w:t>
                  </w:r>
                </w:p>
              </w:tc>
              <w:tc>
                <w:tcPr>
                  <w:tcW w:w="639" w:type="pct"/>
                  <w:tcBorders>
                    <w:tl2br w:val="nil"/>
                    <w:tr2bl w:val="nil"/>
                  </w:tcBorders>
                  <w:vAlign w:val="center"/>
                </w:tcPr>
                <w:p>
                  <w:pPr>
                    <w:widowControl w:val="0"/>
                    <w:jc w:val="center"/>
                    <w:rPr>
                      <w:rFonts w:hint="default" w:ascii="Times New Roman" w:hAnsi="Times New Roman" w:eastAsia="宋体" w:cs="Times New Roman"/>
                      <w:color w:val="000000"/>
                      <w:sz w:val="22"/>
                      <w:szCs w:val="21"/>
                      <w:lang w:val="en-US" w:eastAsia="zh-CN" w:bidi="ar-SA"/>
                    </w:rPr>
                  </w:pPr>
                  <w:r>
                    <w:rPr>
                      <w:rFonts w:hint="default" w:ascii="Times New Roman" w:hAnsi="Times New Roman" w:eastAsia="宋体" w:cs="Times New Roman"/>
                      <w:color w:val="000000"/>
                      <w:szCs w:val="21"/>
                      <w:lang w:val="en-US" w:eastAsia="zh-CN"/>
                    </w:rPr>
                    <w:t>1.29</w:t>
                  </w:r>
                </w:p>
              </w:tc>
              <w:tc>
                <w:tcPr>
                  <w:tcW w:w="718" w:type="pct"/>
                  <w:tcBorders>
                    <w:tl2br w:val="nil"/>
                    <w:tr2bl w:val="nil"/>
                  </w:tcBorders>
                  <w:vAlign w:val="center"/>
                </w:tcPr>
                <w:p>
                  <w:pPr>
                    <w:widowControl/>
                    <w:jc w:val="center"/>
                    <w:textAlignment w:val="cente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1.29</w:t>
                  </w:r>
                </w:p>
              </w:tc>
            </w:tr>
          </w:tbl>
          <w:p>
            <w:pPr>
              <w:pStyle w:val="29"/>
              <w:spacing w:line="360" w:lineRule="auto"/>
              <w:ind w:firstLine="480" w:firstLineChars="200"/>
              <w:jc w:val="both"/>
              <w:rPr>
                <w:rFonts w:hint="default" w:ascii="Times New Roman" w:hAnsi="Times New Roman" w:eastAsia="宋体" w:cs="Times New Roman"/>
                <w:color w:val="0000FF"/>
                <w:highlight w:val="none"/>
              </w:rPr>
            </w:pPr>
            <w:r>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t>由上表7-3监测结果可知，本项目无组织废气颗粒物排放满足《</w:t>
            </w:r>
            <w:r>
              <w:rPr>
                <w:rFonts w:hint="default" w:ascii="Times New Roman" w:hAnsi="Times New Roman" w:eastAsia="宋体" w:cs="Times New Roman"/>
                <w:color w:val="000000"/>
                <w:szCs w:val="22"/>
                <w:lang w:eastAsia="zh-CN"/>
              </w:rPr>
              <w:t>《大气污染物综合排放标准》（GB GB16297-1996）表2无组织排放监控浓度限值</w:t>
            </w:r>
            <w:r>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t>；无组织废气非甲烷总体排放满足</w:t>
            </w:r>
            <w:r>
              <w:rPr>
                <w:rFonts w:hint="default" w:ascii="Times New Roman" w:hAnsi="Times New Roman" w:eastAsia="宋体" w:cs="Times New Roman"/>
                <w:color w:val="000000"/>
                <w:lang w:eastAsia="zh-CN"/>
              </w:rPr>
              <w:t>《</w:t>
            </w:r>
            <w:r>
              <w:rPr>
                <w:rFonts w:hint="default" w:ascii="Times New Roman" w:hAnsi="Times New Roman" w:eastAsia="宋体" w:cs="Times New Roman"/>
                <w:bCs/>
                <w:color w:val="000000"/>
                <w:lang w:eastAsia="zh-CN"/>
              </w:rPr>
              <w:t>合成树脂工业污染物排放标准</w:t>
            </w:r>
            <w:r>
              <w:rPr>
                <w:rFonts w:hint="default" w:ascii="Times New Roman" w:hAnsi="Times New Roman" w:eastAsia="宋体" w:cs="Times New Roman"/>
                <w:color w:val="000000"/>
                <w:lang w:eastAsia="zh-CN"/>
              </w:rPr>
              <w:t>》（</w:t>
            </w:r>
            <w:r>
              <w:rPr>
                <w:rFonts w:hint="default" w:ascii="Times New Roman" w:hAnsi="Times New Roman" w:eastAsia="宋体" w:cs="Times New Roman"/>
                <w:bCs/>
                <w:color w:val="000000"/>
                <w:lang w:eastAsia="zh-CN"/>
              </w:rPr>
              <w:t>GB31572-2015</w:t>
            </w:r>
            <w:r>
              <w:rPr>
                <w:rFonts w:hint="default" w:ascii="Times New Roman" w:hAnsi="Times New Roman" w:eastAsia="宋体" w:cs="Times New Roman"/>
                <w:color w:val="000000"/>
                <w:lang w:eastAsia="zh-CN"/>
              </w:rPr>
              <w:t>）</w:t>
            </w:r>
            <w:r>
              <w:rPr>
                <w:rFonts w:hint="default" w:ascii="Times New Roman" w:hAnsi="Times New Roman" w:eastAsia="宋体" w:cs="Times New Roman"/>
                <w:bCs/>
                <w:color w:val="000000"/>
                <w:lang w:eastAsia="zh-CN"/>
              </w:rPr>
              <w:t>表9无组织排放控制要求；</w:t>
            </w:r>
            <w:r>
              <w:rPr>
                <w:rFonts w:hint="default" w:ascii="Times New Roman" w:hAnsi="Times New Roman" w:eastAsia="宋体" w:cs="Times New Roman"/>
                <w:bCs/>
                <w:color w:val="000000"/>
                <w:lang w:val="en-US" w:eastAsia="zh-CN"/>
              </w:rPr>
              <w:t>厂内无组织非甲烷总烃排放满足</w:t>
            </w:r>
            <w:r>
              <w:rPr>
                <w:rFonts w:hint="default" w:ascii="Times New Roman" w:hAnsi="Times New Roman" w:eastAsia="宋体" w:cs="Times New Roman"/>
                <w:color w:val="000000"/>
                <w:spacing w:val="-2"/>
                <w:lang w:eastAsia="zh-CN"/>
              </w:rPr>
              <w:t>《</w:t>
            </w:r>
            <w:r>
              <w:rPr>
                <w:rFonts w:hint="default" w:ascii="Times New Roman" w:hAnsi="Times New Roman" w:eastAsia="宋体" w:cs="Times New Roman"/>
                <w:color w:val="000000"/>
                <w:lang w:eastAsia="zh-CN"/>
              </w:rPr>
              <w:t>挥发性有机物无组织排放控制标准》（GB 37822-2019）附录A表A.1中相关浓度限值</w:t>
            </w:r>
            <w:r>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t>。</w:t>
            </w:r>
          </w:p>
          <w:p>
            <w:pPr>
              <w:pStyle w:val="29"/>
              <w:keepNext w:val="0"/>
              <w:keepLines w:val="0"/>
              <w:pageBreakBefore w:val="0"/>
              <w:widowControl w:val="0"/>
              <w:numPr>
                <w:ilvl w:val="0"/>
                <w:numId w:val="7"/>
              </w:numPr>
              <w:kinsoku/>
              <w:wordWrap/>
              <w:overflowPunct/>
              <w:topLinePunct w:val="0"/>
              <w:autoSpaceDE w:val="0"/>
              <w:autoSpaceDN w:val="0"/>
              <w:bidi w:val="0"/>
              <w:adjustRightInd w:val="0"/>
              <w:snapToGrid/>
              <w:spacing w:line="360" w:lineRule="auto"/>
              <w:ind w:firstLine="482" w:firstLineChars="200"/>
              <w:jc w:val="both"/>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噪声</w:t>
            </w:r>
          </w:p>
          <w:p>
            <w:pPr>
              <w:pStyle w:val="29"/>
              <w:ind w:firstLine="480" w:firstLineChars="200"/>
              <w:jc w:val="both"/>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厂界噪声监测结果见下表。</w:t>
            </w:r>
          </w:p>
          <w:p>
            <w:pPr>
              <w:pStyle w:val="29"/>
              <w:ind w:firstLine="422" w:firstLineChars="20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表7-</w:t>
            </w: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4</w:t>
            </w:r>
            <w:r>
              <w:rPr>
                <w:rFonts w:hint="default" w:ascii="Times New Roman" w:hAnsi="Times New Roman" w:eastAsia="宋体" w:cs="Times New Roman"/>
                <w:b/>
                <w:bCs/>
                <w:color w:val="000000" w:themeColor="text1"/>
                <w:sz w:val="21"/>
                <w:szCs w:val="21"/>
                <w14:textFill>
                  <w14:solidFill>
                    <w14:schemeClr w14:val="tx1"/>
                  </w14:solidFill>
                </w14:textFill>
              </w:rPr>
              <w:t>噪声监测结果</w:t>
            </w:r>
          </w:p>
          <w:tbl>
            <w:tblPr>
              <w:tblStyle w:val="23"/>
              <w:tblW w:w="6959"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5"/>
              <w:gridCol w:w="71"/>
              <w:gridCol w:w="645"/>
              <w:gridCol w:w="1294"/>
              <w:gridCol w:w="1065"/>
              <w:gridCol w:w="1090"/>
              <w:gridCol w:w="953"/>
              <w:gridCol w:w="1126"/>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31" w:type="dxa"/>
                  <w:gridSpan w:val="3"/>
                  <w:vMerge w:val="restart"/>
                  <w:tcBorders>
                    <w:tl2br w:val="nil"/>
                    <w:tr2bl w:val="nil"/>
                  </w:tcBorders>
                  <w:vAlign w:val="center"/>
                </w:tcPr>
                <w:p>
                  <w:pPr>
                    <w:pStyle w:val="33"/>
                    <w:widowControl/>
                    <w:jc w:val="center"/>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监测日期</w:t>
                  </w:r>
                </w:p>
              </w:tc>
              <w:tc>
                <w:tcPr>
                  <w:tcW w:w="1294" w:type="dxa"/>
                  <w:vMerge w:val="restart"/>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监测点位</w:t>
                  </w:r>
                </w:p>
              </w:tc>
              <w:tc>
                <w:tcPr>
                  <w:tcW w:w="3108" w:type="dxa"/>
                  <w:gridSpan w:val="3"/>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昼间</w:t>
                  </w:r>
                  <w:r>
                    <w:rPr>
                      <w:rFonts w:hint="default" w:ascii="Times New Roman" w:hAnsi="Times New Roman" w:eastAsia="宋体" w:cs="Times New Roman"/>
                      <w:color w:val="000000" w:themeColor="text1"/>
                      <w:sz w:val="21"/>
                      <w:szCs w:val="21"/>
                      <w14:textFill>
                        <w14:solidFill>
                          <w14:schemeClr w14:val="tx1"/>
                        </w14:solidFill>
                      </w14:textFill>
                    </w:rPr>
                    <w:t>检测结果dB(A)</w:t>
                  </w:r>
                </w:p>
              </w:tc>
              <w:tc>
                <w:tcPr>
                  <w:tcW w:w="1126" w:type="dxa"/>
                  <w:vMerge w:val="restart"/>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主要</w:t>
                  </w:r>
                </w:p>
                <w:p>
                  <w:pPr>
                    <w:widowControl/>
                    <w:tabs>
                      <w:tab w:val="left" w:pos="0"/>
                    </w:tabs>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声源</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31" w:type="dxa"/>
                  <w:gridSpan w:val="3"/>
                  <w:vMerge w:val="continue"/>
                  <w:tcBorders>
                    <w:tl2br w:val="nil"/>
                    <w:tr2bl w:val="nil"/>
                  </w:tcBorders>
                  <w:vAlign w:val="center"/>
                </w:tcPr>
                <w:p>
                  <w:pPr>
                    <w:pStyle w:val="33"/>
                    <w:widowControl/>
                    <w:jc w:val="center"/>
                    <w:rPr>
                      <w:rFonts w:hint="default" w:ascii="Times New Roman" w:hAnsi="Times New Roman" w:eastAsia="宋体" w:cs="Times New Roman"/>
                      <w:color w:val="000000" w:themeColor="text1"/>
                      <w:sz w:val="21"/>
                      <w14:textFill>
                        <w14:solidFill>
                          <w14:schemeClr w14:val="tx1"/>
                        </w14:solidFill>
                      </w14:textFill>
                    </w:rPr>
                  </w:pPr>
                </w:p>
              </w:tc>
              <w:tc>
                <w:tcPr>
                  <w:tcW w:w="1294" w:type="dxa"/>
                  <w:vMerge w:val="continue"/>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065"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测量值</w:t>
                  </w:r>
                </w:p>
              </w:tc>
              <w:tc>
                <w:tcPr>
                  <w:tcW w:w="109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背景值</w:t>
                  </w:r>
                </w:p>
              </w:tc>
              <w:tc>
                <w:tcPr>
                  <w:tcW w:w="953"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实际值</w:t>
                  </w:r>
                </w:p>
              </w:tc>
              <w:tc>
                <w:tcPr>
                  <w:tcW w:w="1126" w:type="dxa"/>
                  <w:vMerge w:val="continue"/>
                  <w:tcBorders>
                    <w:tl2br w:val="nil"/>
                    <w:tr2bl w:val="nil"/>
                  </w:tcBorders>
                  <w:vAlign w:val="center"/>
                </w:tcPr>
                <w:p>
                  <w:pPr>
                    <w:widowControl/>
                    <w:tabs>
                      <w:tab w:val="left" w:pos="0"/>
                    </w:tabs>
                    <w:jc w:val="center"/>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6" w:type="dxa"/>
                  <w:gridSpan w:val="2"/>
                  <w:vMerge w:val="restart"/>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2023.04.26</w:t>
                  </w:r>
                </w:p>
              </w:tc>
              <w:tc>
                <w:tcPr>
                  <w:tcW w:w="645" w:type="dxa"/>
                  <w:vMerge w:val="restart"/>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昼间</w:t>
                  </w:r>
                </w:p>
              </w:tc>
              <w:tc>
                <w:tcPr>
                  <w:tcW w:w="1294"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1065" w:type="dxa"/>
                  <w:tcBorders>
                    <w:tl2br w:val="nil"/>
                    <w:tr2bl w:val="nil"/>
                  </w:tcBorders>
                  <w:vAlign w:val="center"/>
                </w:tcPr>
                <w:p>
                  <w:pPr>
                    <w:widowControl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59.6</w:t>
                  </w:r>
                </w:p>
              </w:tc>
              <w:tc>
                <w:tcPr>
                  <w:tcW w:w="109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953" w:type="dxa"/>
                  <w:tcBorders>
                    <w:tl2br w:val="nil"/>
                    <w:tr2bl w:val="nil"/>
                  </w:tcBorders>
                  <w:vAlign w:val="center"/>
                </w:tcPr>
                <w:p>
                  <w:pPr>
                    <w:widowControl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59.6</w:t>
                  </w:r>
                </w:p>
              </w:tc>
              <w:tc>
                <w:tcPr>
                  <w:tcW w:w="1126"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生产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6" w:type="dxa"/>
                  <w:gridSpan w:val="2"/>
                  <w:vMerge w:val="continue"/>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645" w:type="dxa"/>
                  <w:vMerge w:val="continue"/>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94"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c>
                <w:tcPr>
                  <w:tcW w:w="1065" w:type="dxa"/>
                  <w:tcBorders>
                    <w:tl2br w:val="nil"/>
                    <w:tr2bl w:val="nil"/>
                  </w:tcBorders>
                  <w:vAlign w:val="center"/>
                </w:tcPr>
                <w:p>
                  <w:pPr>
                    <w:widowControl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58.3</w:t>
                  </w:r>
                </w:p>
              </w:tc>
              <w:tc>
                <w:tcPr>
                  <w:tcW w:w="109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953" w:type="dxa"/>
                  <w:tcBorders>
                    <w:tl2br w:val="nil"/>
                    <w:tr2bl w:val="nil"/>
                  </w:tcBorders>
                  <w:vAlign w:val="center"/>
                </w:tcPr>
                <w:p>
                  <w:pPr>
                    <w:widowControl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58.3</w:t>
                  </w:r>
                </w:p>
              </w:tc>
              <w:tc>
                <w:tcPr>
                  <w:tcW w:w="1126"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生产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6" w:type="dxa"/>
                  <w:gridSpan w:val="2"/>
                  <w:vMerge w:val="continue"/>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645" w:type="dxa"/>
                  <w:vMerge w:val="continue"/>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94"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p>
              </w:tc>
              <w:tc>
                <w:tcPr>
                  <w:tcW w:w="1065" w:type="dxa"/>
                  <w:tcBorders>
                    <w:tl2br w:val="nil"/>
                    <w:tr2bl w:val="nil"/>
                  </w:tcBorders>
                  <w:vAlign w:val="center"/>
                </w:tcPr>
                <w:p>
                  <w:pPr>
                    <w:widowControl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60.3</w:t>
                  </w:r>
                </w:p>
              </w:tc>
              <w:tc>
                <w:tcPr>
                  <w:tcW w:w="109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953" w:type="dxa"/>
                  <w:tcBorders>
                    <w:tl2br w:val="nil"/>
                    <w:tr2bl w:val="nil"/>
                  </w:tcBorders>
                  <w:vAlign w:val="center"/>
                </w:tcPr>
                <w:p>
                  <w:pPr>
                    <w:widowControl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60.3</w:t>
                  </w:r>
                </w:p>
              </w:tc>
              <w:tc>
                <w:tcPr>
                  <w:tcW w:w="1126"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生产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86" w:type="dxa"/>
                  <w:gridSpan w:val="2"/>
                  <w:vMerge w:val="continue"/>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645" w:type="dxa"/>
                  <w:vMerge w:val="continue"/>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94"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4</w:t>
                  </w:r>
                </w:p>
              </w:tc>
              <w:tc>
                <w:tcPr>
                  <w:tcW w:w="1065" w:type="dxa"/>
                  <w:tcBorders>
                    <w:tl2br w:val="nil"/>
                    <w:tr2bl w:val="nil"/>
                  </w:tcBorders>
                  <w:vAlign w:val="center"/>
                </w:tcPr>
                <w:p>
                  <w:pPr>
                    <w:widowControl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58.7</w:t>
                  </w:r>
                </w:p>
              </w:tc>
              <w:tc>
                <w:tcPr>
                  <w:tcW w:w="109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953" w:type="dxa"/>
                  <w:tcBorders>
                    <w:tl2br w:val="nil"/>
                    <w:tr2bl w:val="nil"/>
                  </w:tcBorders>
                  <w:vAlign w:val="center"/>
                </w:tcPr>
                <w:p>
                  <w:pPr>
                    <w:widowControl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58.7</w:t>
                  </w:r>
                </w:p>
              </w:tc>
              <w:tc>
                <w:tcPr>
                  <w:tcW w:w="1126"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生产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31" w:type="dxa"/>
                  <w:gridSpan w:val="3"/>
                  <w:vMerge w:val="restart"/>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监测日期</w:t>
                  </w:r>
                </w:p>
              </w:tc>
              <w:tc>
                <w:tcPr>
                  <w:tcW w:w="1294" w:type="dxa"/>
                  <w:vMerge w:val="restart"/>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监测点位</w:t>
                  </w:r>
                </w:p>
              </w:tc>
              <w:tc>
                <w:tcPr>
                  <w:tcW w:w="3108" w:type="dxa"/>
                  <w:gridSpan w:val="3"/>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昼间</w:t>
                  </w:r>
                  <w:r>
                    <w:rPr>
                      <w:rFonts w:hint="default" w:ascii="Times New Roman" w:hAnsi="Times New Roman" w:eastAsia="宋体" w:cs="Times New Roman"/>
                      <w:color w:val="000000" w:themeColor="text1"/>
                      <w:sz w:val="21"/>
                      <w:szCs w:val="21"/>
                      <w14:textFill>
                        <w14:solidFill>
                          <w14:schemeClr w14:val="tx1"/>
                        </w14:solidFill>
                      </w14:textFill>
                    </w:rPr>
                    <w:t>检测结果dB(A)</w:t>
                  </w:r>
                </w:p>
              </w:tc>
              <w:tc>
                <w:tcPr>
                  <w:tcW w:w="1126" w:type="dxa"/>
                  <w:vMerge w:val="restart"/>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主要</w:t>
                  </w:r>
                </w:p>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声源</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31" w:type="dxa"/>
                  <w:gridSpan w:val="3"/>
                  <w:vMerge w:val="continue"/>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94" w:type="dxa"/>
                  <w:vMerge w:val="continue"/>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65"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测量值</w:t>
                  </w:r>
                </w:p>
              </w:tc>
              <w:tc>
                <w:tcPr>
                  <w:tcW w:w="109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背景值</w:t>
                  </w:r>
                </w:p>
              </w:tc>
              <w:tc>
                <w:tcPr>
                  <w:tcW w:w="953"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实际值</w:t>
                  </w:r>
                </w:p>
              </w:tc>
              <w:tc>
                <w:tcPr>
                  <w:tcW w:w="1126" w:type="dxa"/>
                  <w:vMerge w:val="continue"/>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715" w:type="dxa"/>
                  <w:vMerge w:val="restart"/>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2023.04.27</w:t>
                  </w:r>
                </w:p>
              </w:tc>
              <w:tc>
                <w:tcPr>
                  <w:tcW w:w="716" w:type="dxa"/>
                  <w:gridSpan w:val="2"/>
                  <w:vMerge w:val="restart"/>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昼间</w:t>
                  </w:r>
                </w:p>
              </w:tc>
              <w:tc>
                <w:tcPr>
                  <w:tcW w:w="1294"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1065" w:type="dxa"/>
                  <w:tcBorders>
                    <w:tl2br w:val="nil"/>
                    <w:tr2bl w:val="nil"/>
                  </w:tcBorders>
                  <w:vAlign w:val="center"/>
                </w:tcPr>
                <w:p>
                  <w:pPr>
                    <w:widowControl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58.4</w:t>
                  </w:r>
                </w:p>
              </w:tc>
              <w:tc>
                <w:tcPr>
                  <w:tcW w:w="109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953" w:type="dxa"/>
                  <w:tcBorders>
                    <w:tl2br w:val="nil"/>
                    <w:tr2bl w:val="nil"/>
                  </w:tcBorders>
                  <w:vAlign w:val="center"/>
                </w:tcPr>
                <w:p>
                  <w:pPr>
                    <w:widowControl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58.4</w:t>
                  </w:r>
                </w:p>
              </w:tc>
              <w:tc>
                <w:tcPr>
                  <w:tcW w:w="1126"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生产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5" w:type="dxa"/>
                  <w:vMerge w:val="continue"/>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716" w:type="dxa"/>
                  <w:gridSpan w:val="2"/>
                  <w:vMerge w:val="continue"/>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94"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c>
                <w:tcPr>
                  <w:tcW w:w="1065" w:type="dxa"/>
                  <w:tcBorders>
                    <w:tl2br w:val="nil"/>
                    <w:tr2bl w:val="nil"/>
                  </w:tcBorders>
                  <w:vAlign w:val="center"/>
                </w:tcPr>
                <w:p>
                  <w:pPr>
                    <w:widowControl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58.2</w:t>
                  </w:r>
                </w:p>
              </w:tc>
              <w:tc>
                <w:tcPr>
                  <w:tcW w:w="109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953" w:type="dxa"/>
                  <w:tcBorders>
                    <w:tl2br w:val="nil"/>
                    <w:tr2bl w:val="nil"/>
                  </w:tcBorders>
                  <w:vAlign w:val="center"/>
                </w:tcPr>
                <w:p>
                  <w:pPr>
                    <w:widowControl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58.2</w:t>
                  </w:r>
                </w:p>
              </w:tc>
              <w:tc>
                <w:tcPr>
                  <w:tcW w:w="1126"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生产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5" w:type="dxa"/>
                  <w:vMerge w:val="continue"/>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716" w:type="dxa"/>
                  <w:gridSpan w:val="2"/>
                  <w:vMerge w:val="continue"/>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94"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p>
              </w:tc>
              <w:tc>
                <w:tcPr>
                  <w:tcW w:w="1065" w:type="dxa"/>
                  <w:tcBorders>
                    <w:tl2br w:val="nil"/>
                    <w:tr2bl w:val="nil"/>
                  </w:tcBorders>
                  <w:vAlign w:val="center"/>
                </w:tcPr>
                <w:p>
                  <w:pPr>
                    <w:widowControl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60.0</w:t>
                  </w:r>
                </w:p>
              </w:tc>
              <w:tc>
                <w:tcPr>
                  <w:tcW w:w="109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953" w:type="dxa"/>
                  <w:tcBorders>
                    <w:tl2br w:val="nil"/>
                    <w:tr2bl w:val="nil"/>
                  </w:tcBorders>
                  <w:vAlign w:val="center"/>
                </w:tcPr>
                <w:p>
                  <w:pPr>
                    <w:widowControl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60.0</w:t>
                  </w:r>
                </w:p>
              </w:tc>
              <w:tc>
                <w:tcPr>
                  <w:tcW w:w="1126"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生产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5" w:type="dxa"/>
                  <w:vMerge w:val="continue"/>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716" w:type="dxa"/>
                  <w:gridSpan w:val="2"/>
                  <w:vMerge w:val="continue"/>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94"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4</w:t>
                  </w:r>
                </w:p>
              </w:tc>
              <w:tc>
                <w:tcPr>
                  <w:tcW w:w="1065" w:type="dxa"/>
                  <w:tcBorders>
                    <w:tl2br w:val="nil"/>
                    <w:tr2bl w:val="nil"/>
                  </w:tcBorders>
                  <w:vAlign w:val="center"/>
                </w:tcPr>
                <w:p>
                  <w:pPr>
                    <w:widowControl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58.0</w:t>
                  </w:r>
                </w:p>
              </w:tc>
              <w:tc>
                <w:tcPr>
                  <w:tcW w:w="109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953" w:type="dxa"/>
                  <w:tcBorders>
                    <w:tl2br w:val="nil"/>
                    <w:tr2bl w:val="nil"/>
                  </w:tcBorders>
                  <w:vAlign w:val="center"/>
                </w:tcPr>
                <w:p>
                  <w:pPr>
                    <w:widowControl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58.0</w:t>
                  </w:r>
                </w:p>
              </w:tc>
              <w:tc>
                <w:tcPr>
                  <w:tcW w:w="1126"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生产</w:t>
                  </w:r>
                </w:p>
              </w:tc>
            </w:tr>
          </w:tbl>
          <w:p>
            <w:pPr>
              <w:pStyle w:val="2"/>
              <w:widowControl w:val="0"/>
              <w:spacing w:line="360" w:lineRule="auto"/>
              <w:ind w:left="0" w:leftChars="0" w:firstLine="480" w:firstLineChars="200"/>
              <w:jc w:val="both"/>
              <w:rPr>
                <w:rFonts w:hint="default" w:ascii="Times New Roman" w:hAnsi="Times New Roman" w:eastAsia="宋体" w:cs="Times New Roman"/>
                <w:b/>
                <w:bCs/>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由7-4噪声监测结果可知，本项目噪声排放符合《工业企业厂界环境噪声排放标准》（GB12348-2008）的3类标准；即：3类昼间≤65dB（A），夜间≤55dB（A</w:t>
            </w:r>
            <w:r>
              <w:rPr>
                <w:rFonts w:hint="default" w:ascii="Times New Roman" w:hAnsi="Times New Roman" w:eastAsia="宋体" w:cs="Times New Roman"/>
                <w:b w:val="0"/>
                <w:bCs w:val="0"/>
                <w:color w:val="000000" w:themeColor="text1"/>
                <w:sz w:val="24"/>
                <w:szCs w:val="24"/>
                <w:lang w:val="en-US" w:eastAsia="zh-CN" w:bidi="ar-SA"/>
                <w14:textFill>
                  <w14:solidFill>
                    <w14:schemeClr w14:val="tx1"/>
                  </w14:solidFill>
                </w14:textFill>
              </w:rPr>
              <w:t>）。</w:t>
            </w:r>
          </w:p>
          <w:p>
            <w:pPr>
              <w:pStyle w:val="2"/>
              <w:widowControl w:val="0"/>
              <w:numPr>
                <w:ilvl w:val="0"/>
                <w:numId w:val="7"/>
              </w:numPr>
              <w:spacing w:line="360" w:lineRule="auto"/>
              <w:ind w:left="0" w:leftChars="0" w:firstLine="482" w:firstLineChars="200"/>
              <w:jc w:val="both"/>
              <w:rPr>
                <w:rFonts w:hint="default" w:ascii="Times New Roman" w:hAnsi="Times New Roman" w:eastAsia="宋体" w:cs="Times New Roman"/>
                <w:b/>
                <w:bCs/>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4"/>
                <w:szCs w:val="24"/>
                <w:lang w:val="en-US" w:eastAsia="zh-CN" w:bidi="ar-SA"/>
                <w14:textFill>
                  <w14:solidFill>
                    <w14:schemeClr w14:val="tx1"/>
                  </w14:solidFill>
                </w14:textFill>
              </w:rPr>
              <w:t>气象条件</w:t>
            </w:r>
          </w:p>
          <w:p>
            <w:pPr>
              <w:pStyle w:val="2"/>
              <w:widowControl w:val="0"/>
              <w:numPr>
                <w:ilvl w:val="0"/>
                <w:numId w:val="0"/>
              </w:numPr>
              <w:spacing w:line="360" w:lineRule="auto"/>
              <w:ind w:leftChars="200"/>
              <w:jc w:val="both"/>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本次验收监测气象条件见下表。</w:t>
            </w:r>
          </w:p>
          <w:p>
            <w:pPr>
              <w:pStyle w:val="29"/>
              <w:ind w:firstLine="422" w:firstLineChars="200"/>
              <w:jc w:val="cente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表7-</w:t>
            </w: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5 监测期间气象条件</w:t>
            </w:r>
          </w:p>
          <w:tbl>
            <w:tblPr>
              <w:tblStyle w:val="22"/>
              <w:tblW w:w="7887"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142"/>
              <w:gridCol w:w="778"/>
              <w:gridCol w:w="762"/>
              <w:gridCol w:w="907"/>
              <w:gridCol w:w="1245"/>
              <w:gridCol w:w="848"/>
              <w:gridCol w:w="945"/>
              <w:gridCol w:w="1260"/>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42" w:hRule="atLeast"/>
                <w:jc w:val="center"/>
              </w:trPr>
              <w:tc>
                <w:tcPr>
                  <w:tcW w:w="1142" w:type="dxa"/>
                  <w:tcBorders>
                    <w:tl2br w:val="nil"/>
                    <w:tr2bl w:val="nil"/>
                  </w:tcBorders>
                  <w:noWrap w:val="0"/>
                  <w:tcMar>
                    <w:top w:w="0" w:type="dxa"/>
                    <w:left w:w="0" w:type="dxa"/>
                    <w:bottom w:w="0" w:type="dxa"/>
                    <w:right w:w="0" w:type="dxa"/>
                  </w:tcMar>
                  <w:vAlign w:val="center"/>
                </w:tcPr>
                <w:p>
                  <w:pPr>
                    <w:snapToGrid w:val="0"/>
                    <w:spacing w:line="240" w:lineRule="atLeast"/>
                    <w:jc w:val="center"/>
                    <w:rPr>
                      <w:rFonts w:hint="default" w:ascii="Times New Roman" w:hAnsi="Times New Roman" w:eastAsia="宋体" w:cs="Times New Roman"/>
                      <w:b/>
                      <w:bCs/>
                      <w:color w:val="000000"/>
                      <w:szCs w:val="21"/>
                    </w:rPr>
                  </w:pPr>
                  <w:r>
                    <w:rPr>
                      <w:rFonts w:hint="default" w:ascii="Times New Roman" w:hAnsi="Times New Roman" w:eastAsia="宋体" w:cs="Times New Roman"/>
                      <w:b/>
                      <w:bCs/>
                      <w:color w:val="000000"/>
                      <w:szCs w:val="21"/>
                    </w:rPr>
                    <w:t>采样日期</w:t>
                  </w:r>
                </w:p>
              </w:tc>
              <w:tc>
                <w:tcPr>
                  <w:tcW w:w="778" w:type="dxa"/>
                  <w:tcBorders>
                    <w:tl2br w:val="nil"/>
                    <w:tr2bl w:val="nil"/>
                  </w:tcBorders>
                  <w:noWrap w:val="0"/>
                  <w:vAlign w:val="center"/>
                </w:tcPr>
                <w:p>
                  <w:pPr>
                    <w:snapToGrid w:val="0"/>
                    <w:spacing w:line="240" w:lineRule="atLeast"/>
                    <w:jc w:val="center"/>
                    <w:rPr>
                      <w:rFonts w:hint="default" w:ascii="Times New Roman" w:hAnsi="Times New Roman" w:eastAsia="宋体" w:cs="Times New Roman"/>
                      <w:b/>
                      <w:bCs/>
                      <w:color w:val="000000"/>
                      <w:szCs w:val="21"/>
                    </w:rPr>
                  </w:pPr>
                  <w:r>
                    <w:rPr>
                      <w:rFonts w:hint="default" w:ascii="Times New Roman" w:hAnsi="Times New Roman" w:eastAsia="宋体" w:cs="Times New Roman"/>
                      <w:b/>
                      <w:bCs/>
                      <w:color w:val="000000"/>
                      <w:szCs w:val="21"/>
                    </w:rPr>
                    <w:t>频次</w:t>
                  </w:r>
                </w:p>
              </w:tc>
              <w:tc>
                <w:tcPr>
                  <w:tcW w:w="762" w:type="dxa"/>
                  <w:tcBorders>
                    <w:tl2br w:val="nil"/>
                    <w:tr2bl w:val="nil"/>
                  </w:tcBorders>
                  <w:noWrap w:val="0"/>
                  <w:vAlign w:val="center"/>
                </w:tcPr>
                <w:p>
                  <w:pPr>
                    <w:snapToGrid w:val="0"/>
                    <w:spacing w:line="240" w:lineRule="atLeast"/>
                    <w:jc w:val="center"/>
                    <w:rPr>
                      <w:rFonts w:hint="default" w:ascii="Times New Roman" w:hAnsi="Times New Roman" w:eastAsia="宋体" w:cs="Times New Roman"/>
                      <w:b/>
                      <w:bCs/>
                      <w:color w:val="000000"/>
                      <w:szCs w:val="21"/>
                    </w:rPr>
                  </w:pPr>
                  <w:r>
                    <w:rPr>
                      <w:rFonts w:hint="default" w:ascii="Times New Roman" w:hAnsi="Times New Roman" w:eastAsia="宋体" w:cs="Times New Roman"/>
                      <w:b/>
                      <w:bCs/>
                      <w:color w:val="000000"/>
                      <w:szCs w:val="21"/>
                    </w:rPr>
                    <w:t>天气</w:t>
                  </w:r>
                </w:p>
              </w:tc>
              <w:tc>
                <w:tcPr>
                  <w:tcW w:w="907" w:type="dxa"/>
                  <w:tcBorders>
                    <w:tl2br w:val="nil"/>
                    <w:tr2bl w:val="nil"/>
                  </w:tcBorders>
                  <w:noWrap w:val="0"/>
                  <w:vAlign w:val="center"/>
                </w:tcPr>
                <w:p>
                  <w:pPr>
                    <w:snapToGrid w:val="0"/>
                    <w:spacing w:line="240" w:lineRule="atLeast"/>
                    <w:jc w:val="center"/>
                    <w:rPr>
                      <w:rFonts w:hint="default" w:ascii="Times New Roman" w:hAnsi="Times New Roman" w:eastAsia="宋体" w:cs="Times New Roman"/>
                      <w:b/>
                      <w:bCs/>
                      <w:color w:val="000000"/>
                      <w:szCs w:val="21"/>
                    </w:rPr>
                  </w:pPr>
                  <w:r>
                    <w:rPr>
                      <w:rFonts w:hint="default" w:ascii="Times New Roman" w:hAnsi="Times New Roman" w:eastAsia="宋体" w:cs="Times New Roman"/>
                      <w:b/>
                      <w:bCs/>
                      <w:color w:val="000000"/>
                      <w:szCs w:val="21"/>
                    </w:rPr>
                    <w:t>气温℃</w:t>
                  </w:r>
                </w:p>
              </w:tc>
              <w:tc>
                <w:tcPr>
                  <w:tcW w:w="1245" w:type="dxa"/>
                  <w:tcBorders>
                    <w:tl2br w:val="nil"/>
                    <w:tr2bl w:val="nil"/>
                  </w:tcBorders>
                  <w:noWrap w:val="0"/>
                  <w:vAlign w:val="center"/>
                </w:tcPr>
                <w:p>
                  <w:pPr>
                    <w:snapToGrid w:val="0"/>
                    <w:spacing w:line="240" w:lineRule="atLeast"/>
                    <w:jc w:val="center"/>
                    <w:rPr>
                      <w:rFonts w:hint="default" w:ascii="Times New Roman" w:hAnsi="Times New Roman" w:eastAsia="宋体" w:cs="Times New Roman"/>
                      <w:b/>
                      <w:bCs/>
                      <w:color w:val="000000"/>
                      <w:szCs w:val="21"/>
                    </w:rPr>
                  </w:pPr>
                  <w:r>
                    <w:rPr>
                      <w:rFonts w:hint="default" w:ascii="Times New Roman" w:hAnsi="Times New Roman" w:eastAsia="宋体" w:cs="Times New Roman"/>
                      <w:b/>
                      <w:bCs/>
                      <w:color w:val="000000"/>
                      <w:szCs w:val="21"/>
                    </w:rPr>
                    <w:t>大气压kPa</w:t>
                  </w:r>
                </w:p>
              </w:tc>
              <w:tc>
                <w:tcPr>
                  <w:tcW w:w="848" w:type="dxa"/>
                  <w:tcBorders>
                    <w:tl2br w:val="nil"/>
                    <w:tr2bl w:val="nil"/>
                  </w:tcBorders>
                  <w:noWrap w:val="0"/>
                  <w:vAlign w:val="center"/>
                </w:tcPr>
                <w:p>
                  <w:pPr>
                    <w:snapToGrid w:val="0"/>
                    <w:spacing w:line="240" w:lineRule="atLeast"/>
                    <w:jc w:val="center"/>
                    <w:rPr>
                      <w:rFonts w:hint="default" w:ascii="Times New Roman" w:hAnsi="Times New Roman" w:eastAsia="宋体" w:cs="Times New Roman"/>
                      <w:b/>
                      <w:bCs/>
                      <w:color w:val="000000"/>
                      <w:szCs w:val="21"/>
                    </w:rPr>
                  </w:pPr>
                  <w:r>
                    <w:rPr>
                      <w:rFonts w:hint="default" w:ascii="Times New Roman" w:hAnsi="Times New Roman" w:eastAsia="宋体" w:cs="Times New Roman"/>
                      <w:b/>
                      <w:bCs/>
                      <w:color w:val="000000"/>
                      <w:szCs w:val="21"/>
                    </w:rPr>
                    <w:t>风向</w:t>
                  </w:r>
                </w:p>
              </w:tc>
              <w:tc>
                <w:tcPr>
                  <w:tcW w:w="945" w:type="dxa"/>
                  <w:tcBorders>
                    <w:tl2br w:val="nil"/>
                    <w:tr2bl w:val="nil"/>
                  </w:tcBorders>
                  <w:noWrap w:val="0"/>
                  <w:vAlign w:val="center"/>
                </w:tcPr>
                <w:p>
                  <w:pPr>
                    <w:snapToGrid w:val="0"/>
                    <w:spacing w:line="240" w:lineRule="atLeast"/>
                    <w:jc w:val="center"/>
                    <w:rPr>
                      <w:rFonts w:hint="default" w:ascii="Times New Roman" w:hAnsi="Times New Roman" w:eastAsia="宋体" w:cs="Times New Roman"/>
                      <w:b/>
                      <w:bCs/>
                      <w:color w:val="000000"/>
                      <w:szCs w:val="21"/>
                    </w:rPr>
                  </w:pPr>
                  <w:r>
                    <w:rPr>
                      <w:rFonts w:hint="default" w:ascii="Times New Roman" w:hAnsi="Times New Roman" w:eastAsia="宋体" w:cs="Times New Roman"/>
                      <w:b/>
                      <w:bCs/>
                      <w:color w:val="000000"/>
                      <w:szCs w:val="21"/>
                    </w:rPr>
                    <w:t>风速m/s</w:t>
                  </w:r>
                </w:p>
              </w:tc>
              <w:tc>
                <w:tcPr>
                  <w:tcW w:w="1260" w:type="dxa"/>
                  <w:tcBorders>
                    <w:tl2br w:val="nil"/>
                    <w:tr2bl w:val="nil"/>
                  </w:tcBorders>
                  <w:noWrap w:val="0"/>
                  <w:vAlign w:val="center"/>
                </w:tcPr>
                <w:p>
                  <w:pPr>
                    <w:snapToGrid w:val="0"/>
                    <w:spacing w:line="240" w:lineRule="atLeast"/>
                    <w:jc w:val="center"/>
                    <w:rPr>
                      <w:rFonts w:hint="default" w:ascii="Times New Roman" w:hAnsi="Times New Roman" w:eastAsia="宋体" w:cs="Times New Roman"/>
                      <w:b/>
                      <w:bCs/>
                      <w:color w:val="000000"/>
                      <w:szCs w:val="21"/>
                    </w:rPr>
                  </w:pPr>
                  <w:r>
                    <w:rPr>
                      <w:rFonts w:hint="default" w:ascii="Times New Roman" w:hAnsi="Times New Roman" w:eastAsia="宋体" w:cs="Times New Roman"/>
                      <w:b/>
                      <w:bCs/>
                      <w:color w:val="000000"/>
                      <w:szCs w:val="21"/>
                    </w:rPr>
                    <w:t>相对湿度%</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42" w:hRule="atLeast"/>
                <w:jc w:val="center"/>
              </w:trPr>
              <w:tc>
                <w:tcPr>
                  <w:tcW w:w="1142" w:type="dxa"/>
                  <w:vMerge w:val="restart"/>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2023.04.26</w:t>
                  </w:r>
                </w:p>
              </w:tc>
              <w:tc>
                <w:tcPr>
                  <w:tcW w:w="778"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w:t>
                  </w:r>
                </w:p>
              </w:tc>
              <w:tc>
                <w:tcPr>
                  <w:tcW w:w="762" w:type="dxa"/>
                  <w:tcBorders>
                    <w:tl2br w:val="nil"/>
                    <w:tr2bl w:val="nil"/>
                  </w:tcBorders>
                  <w:noWrap w:val="0"/>
                  <w:vAlign w:val="center"/>
                </w:tcPr>
                <w:p>
                  <w:pPr>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Cs w:val="21"/>
                      <w:lang w:val="en-US" w:eastAsia="zh-CN"/>
                    </w:rPr>
                    <w:t>晴</w:t>
                  </w:r>
                </w:p>
              </w:tc>
              <w:tc>
                <w:tcPr>
                  <w:tcW w:w="907" w:type="dxa"/>
                  <w:tcBorders>
                    <w:tl2br w:val="nil"/>
                    <w:tr2bl w:val="nil"/>
                  </w:tcBorders>
                  <w:noWrap w:val="0"/>
                  <w:vAlign w:val="center"/>
                </w:tcPr>
                <w:p>
                  <w:pPr>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Cs w:val="21"/>
                      <w:lang w:val="en-US" w:eastAsia="zh-CN"/>
                    </w:rPr>
                    <w:t>27.2</w:t>
                  </w:r>
                </w:p>
              </w:tc>
              <w:tc>
                <w:tcPr>
                  <w:tcW w:w="1245" w:type="dxa"/>
                  <w:tcBorders>
                    <w:tl2br w:val="nil"/>
                    <w:tr2bl w:val="nil"/>
                  </w:tcBorders>
                  <w:noWrap w:val="0"/>
                  <w:vAlign w:val="center"/>
                </w:tcPr>
                <w:p>
                  <w:pPr>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Cs w:val="21"/>
                      <w:lang w:val="en-US" w:eastAsia="zh-CN"/>
                    </w:rPr>
                    <w:t>100.6</w:t>
                  </w:r>
                </w:p>
              </w:tc>
              <w:tc>
                <w:tcPr>
                  <w:tcW w:w="848" w:type="dxa"/>
                  <w:tcBorders>
                    <w:tl2br w:val="nil"/>
                    <w:tr2bl w:val="nil"/>
                  </w:tcBorders>
                  <w:noWrap w:val="0"/>
                  <w:vAlign w:val="center"/>
                </w:tcPr>
                <w:p>
                  <w:pPr>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Cs w:val="21"/>
                      <w:lang w:val="en-US" w:eastAsia="zh-CN"/>
                    </w:rPr>
                    <w:t>东北</w:t>
                  </w:r>
                </w:p>
              </w:tc>
              <w:tc>
                <w:tcPr>
                  <w:tcW w:w="945" w:type="dxa"/>
                  <w:tcBorders>
                    <w:tl2br w:val="nil"/>
                    <w:tr2bl w:val="nil"/>
                  </w:tcBorders>
                  <w:noWrap w:val="0"/>
                  <w:vAlign w:val="center"/>
                </w:tcPr>
                <w:p>
                  <w:pPr>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Cs w:val="21"/>
                      <w:lang w:val="en-US" w:eastAsia="zh-CN"/>
                    </w:rPr>
                    <w:t>1.8</w:t>
                  </w:r>
                </w:p>
              </w:tc>
              <w:tc>
                <w:tcPr>
                  <w:tcW w:w="1260" w:type="dxa"/>
                  <w:tcBorders>
                    <w:tl2br w:val="nil"/>
                    <w:tr2bl w:val="nil"/>
                  </w:tcBorders>
                  <w:noWrap w:val="0"/>
                  <w:vAlign w:val="center"/>
                </w:tcPr>
                <w:p>
                  <w:pPr>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Cs w:val="21"/>
                      <w:lang w:val="en-US" w:eastAsia="zh-CN"/>
                    </w:rPr>
                    <w:t>54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42" w:hRule="atLeast"/>
                <w:jc w:val="center"/>
              </w:trPr>
              <w:tc>
                <w:tcPr>
                  <w:tcW w:w="1142" w:type="dxa"/>
                  <w:vMerge w:val="continue"/>
                  <w:tcBorders>
                    <w:tl2br w:val="nil"/>
                    <w:tr2bl w:val="nil"/>
                  </w:tcBorders>
                  <w:noWrap w:val="0"/>
                  <w:vAlign w:val="center"/>
                </w:tcPr>
                <w:p>
                  <w:pPr>
                    <w:jc w:val="center"/>
                    <w:rPr>
                      <w:rFonts w:hint="default" w:ascii="Times New Roman" w:hAnsi="Times New Roman" w:eastAsia="宋体" w:cs="Times New Roman"/>
                      <w:color w:val="auto"/>
                      <w:szCs w:val="21"/>
                    </w:rPr>
                  </w:pPr>
                </w:p>
              </w:tc>
              <w:tc>
                <w:tcPr>
                  <w:tcW w:w="778"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2</w:t>
                  </w:r>
                </w:p>
              </w:tc>
              <w:tc>
                <w:tcPr>
                  <w:tcW w:w="762"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lang w:val="en-US" w:eastAsia="zh-CN"/>
                    </w:rPr>
                    <w:t>晴</w:t>
                  </w:r>
                </w:p>
              </w:tc>
              <w:tc>
                <w:tcPr>
                  <w:tcW w:w="907" w:type="dxa"/>
                  <w:tcBorders>
                    <w:tl2br w:val="nil"/>
                    <w:tr2bl w:val="nil"/>
                  </w:tcBorders>
                  <w:noWrap w:val="0"/>
                  <w:vAlign w:val="center"/>
                </w:tcPr>
                <w:p>
                  <w:pPr>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Cs w:val="21"/>
                      <w:lang w:val="en-US" w:eastAsia="zh-CN"/>
                    </w:rPr>
                    <w:t>25.8</w:t>
                  </w:r>
                </w:p>
              </w:tc>
              <w:tc>
                <w:tcPr>
                  <w:tcW w:w="1245" w:type="dxa"/>
                  <w:tcBorders>
                    <w:tl2br w:val="nil"/>
                    <w:tr2bl w:val="nil"/>
                  </w:tcBorders>
                  <w:noWrap w:val="0"/>
                  <w:vAlign w:val="center"/>
                </w:tcPr>
                <w:p>
                  <w:pPr>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Cs w:val="21"/>
                      <w:lang w:val="en-US" w:eastAsia="zh-CN"/>
                    </w:rPr>
                    <w:t>100.6</w:t>
                  </w:r>
                </w:p>
              </w:tc>
              <w:tc>
                <w:tcPr>
                  <w:tcW w:w="848"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lang w:val="en-US" w:eastAsia="zh-CN"/>
                    </w:rPr>
                    <w:t>东北</w:t>
                  </w:r>
                </w:p>
              </w:tc>
              <w:tc>
                <w:tcPr>
                  <w:tcW w:w="945" w:type="dxa"/>
                  <w:tcBorders>
                    <w:tl2br w:val="nil"/>
                    <w:tr2bl w:val="nil"/>
                  </w:tcBorders>
                  <w:noWrap w:val="0"/>
                  <w:vAlign w:val="center"/>
                </w:tcPr>
                <w:p>
                  <w:pPr>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Cs w:val="21"/>
                      <w:lang w:val="en-US" w:eastAsia="zh-CN"/>
                    </w:rPr>
                    <w:t>2.1</w:t>
                  </w:r>
                </w:p>
              </w:tc>
              <w:tc>
                <w:tcPr>
                  <w:tcW w:w="1260" w:type="dxa"/>
                  <w:tcBorders>
                    <w:tl2br w:val="nil"/>
                    <w:tr2bl w:val="nil"/>
                  </w:tcBorders>
                  <w:noWrap w:val="0"/>
                  <w:vAlign w:val="center"/>
                </w:tcPr>
                <w:p>
                  <w:pPr>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Cs w:val="21"/>
                      <w:lang w:val="en-US" w:eastAsia="zh-CN"/>
                    </w:rPr>
                    <w:t>57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42" w:hRule="atLeast"/>
                <w:jc w:val="center"/>
              </w:trPr>
              <w:tc>
                <w:tcPr>
                  <w:tcW w:w="1142" w:type="dxa"/>
                  <w:vMerge w:val="continue"/>
                  <w:tcBorders>
                    <w:tl2br w:val="nil"/>
                    <w:tr2bl w:val="nil"/>
                  </w:tcBorders>
                  <w:noWrap w:val="0"/>
                  <w:vAlign w:val="center"/>
                </w:tcPr>
                <w:p>
                  <w:pPr>
                    <w:jc w:val="center"/>
                    <w:rPr>
                      <w:rFonts w:hint="default" w:ascii="Times New Roman" w:hAnsi="Times New Roman" w:eastAsia="宋体" w:cs="Times New Roman"/>
                      <w:color w:val="auto"/>
                      <w:szCs w:val="21"/>
                    </w:rPr>
                  </w:pPr>
                </w:p>
              </w:tc>
              <w:tc>
                <w:tcPr>
                  <w:tcW w:w="778"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3</w:t>
                  </w:r>
                </w:p>
              </w:tc>
              <w:tc>
                <w:tcPr>
                  <w:tcW w:w="762"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lang w:val="en-US" w:eastAsia="zh-CN"/>
                    </w:rPr>
                    <w:t>晴</w:t>
                  </w:r>
                </w:p>
              </w:tc>
              <w:tc>
                <w:tcPr>
                  <w:tcW w:w="907" w:type="dxa"/>
                  <w:tcBorders>
                    <w:tl2br w:val="nil"/>
                    <w:tr2bl w:val="nil"/>
                  </w:tcBorders>
                  <w:noWrap w:val="0"/>
                  <w:vAlign w:val="center"/>
                </w:tcPr>
                <w:p>
                  <w:pPr>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Cs w:val="21"/>
                      <w:lang w:val="en-US" w:eastAsia="zh-CN"/>
                    </w:rPr>
                    <w:t>23.9</w:t>
                  </w:r>
                </w:p>
              </w:tc>
              <w:tc>
                <w:tcPr>
                  <w:tcW w:w="1245" w:type="dxa"/>
                  <w:tcBorders>
                    <w:tl2br w:val="nil"/>
                    <w:tr2bl w:val="nil"/>
                  </w:tcBorders>
                  <w:noWrap w:val="0"/>
                  <w:vAlign w:val="center"/>
                </w:tcPr>
                <w:p>
                  <w:pPr>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Cs w:val="21"/>
                      <w:lang w:val="en-US" w:eastAsia="zh-CN"/>
                    </w:rPr>
                    <w:t>100.5</w:t>
                  </w:r>
                </w:p>
              </w:tc>
              <w:tc>
                <w:tcPr>
                  <w:tcW w:w="848"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lang w:val="en-US" w:eastAsia="zh-CN"/>
                    </w:rPr>
                    <w:t>东北</w:t>
                  </w:r>
                </w:p>
              </w:tc>
              <w:tc>
                <w:tcPr>
                  <w:tcW w:w="945" w:type="dxa"/>
                  <w:tcBorders>
                    <w:tl2br w:val="nil"/>
                    <w:tr2bl w:val="nil"/>
                  </w:tcBorders>
                  <w:noWrap w:val="0"/>
                  <w:vAlign w:val="center"/>
                </w:tcPr>
                <w:p>
                  <w:pPr>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Cs w:val="21"/>
                      <w:lang w:val="en-US" w:eastAsia="zh-CN"/>
                    </w:rPr>
                    <w:t>2.4</w:t>
                  </w:r>
                </w:p>
              </w:tc>
              <w:tc>
                <w:tcPr>
                  <w:tcW w:w="1260" w:type="dxa"/>
                  <w:tcBorders>
                    <w:tl2br w:val="nil"/>
                    <w:tr2bl w:val="nil"/>
                  </w:tcBorders>
                  <w:noWrap w:val="0"/>
                  <w:vAlign w:val="center"/>
                </w:tcPr>
                <w:p>
                  <w:pPr>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Cs w:val="21"/>
                      <w:lang w:val="en-US" w:eastAsia="zh-CN"/>
                    </w:rPr>
                    <w:t>58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42" w:hRule="atLeast"/>
                <w:jc w:val="center"/>
              </w:trPr>
              <w:tc>
                <w:tcPr>
                  <w:tcW w:w="1142" w:type="dxa"/>
                  <w:vMerge w:val="restart"/>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2023.04.27</w:t>
                  </w:r>
                </w:p>
              </w:tc>
              <w:tc>
                <w:tcPr>
                  <w:tcW w:w="778"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w:t>
                  </w:r>
                </w:p>
              </w:tc>
              <w:tc>
                <w:tcPr>
                  <w:tcW w:w="762" w:type="dxa"/>
                  <w:tcBorders>
                    <w:tl2br w:val="nil"/>
                    <w:tr2bl w:val="nil"/>
                  </w:tcBorders>
                  <w:noWrap w:val="0"/>
                  <w:vAlign w:val="center"/>
                </w:tcPr>
                <w:p>
                  <w:pPr>
                    <w:jc w:val="center"/>
                    <w:rPr>
                      <w:rFonts w:hint="default" w:ascii="Times New Roman" w:hAnsi="Times New Roman" w:eastAsia="宋体" w:cs="Times New Roman"/>
                      <w:color w:val="000000"/>
                      <w:szCs w:val="21"/>
                      <w:lang w:eastAsia="zh-CN"/>
                    </w:rPr>
                  </w:pPr>
                  <w:r>
                    <w:rPr>
                      <w:rFonts w:hint="default" w:ascii="Times New Roman" w:hAnsi="Times New Roman" w:eastAsia="宋体" w:cs="Times New Roman"/>
                      <w:color w:val="000000"/>
                      <w:szCs w:val="21"/>
                      <w:lang w:val="en-US" w:eastAsia="zh-CN"/>
                    </w:rPr>
                    <w:t>晴</w:t>
                  </w:r>
                </w:p>
              </w:tc>
              <w:tc>
                <w:tcPr>
                  <w:tcW w:w="907" w:type="dxa"/>
                  <w:tcBorders>
                    <w:tl2br w:val="nil"/>
                    <w:tr2bl w:val="nil"/>
                  </w:tcBorders>
                  <w:noWrap w:val="0"/>
                  <w:vAlign w:val="center"/>
                </w:tcPr>
                <w:p>
                  <w:pPr>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Cs w:val="21"/>
                      <w:lang w:val="en-US" w:eastAsia="zh-CN"/>
                    </w:rPr>
                    <w:t>26.9</w:t>
                  </w:r>
                </w:p>
              </w:tc>
              <w:tc>
                <w:tcPr>
                  <w:tcW w:w="1245" w:type="dxa"/>
                  <w:tcBorders>
                    <w:tl2br w:val="nil"/>
                    <w:tr2bl w:val="nil"/>
                  </w:tcBorders>
                  <w:noWrap w:val="0"/>
                  <w:vAlign w:val="center"/>
                </w:tcPr>
                <w:p>
                  <w:pPr>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Cs w:val="21"/>
                      <w:lang w:val="en-US" w:eastAsia="zh-CN"/>
                    </w:rPr>
                    <w:t>100.6</w:t>
                  </w:r>
                </w:p>
              </w:tc>
              <w:tc>
                <w:tcPr>
                  <w:tcW w:w="848" w:type="dxa"/>
                  <w:tcBorders>
                    <w:tl2br w:val="nil"/>
                    <w:tr2bl w:val="nil"/>
                  </w:tcBorders>
                  <w:noWrap w:val="0"/>
                  <w:vAlign w:val="center"/>
                </w:tcPr>
                <w:p>
                  <w:pPr>
                    <w:jc w:val="center"/>
                    <w:rPr>
                      <w:rFonts w:hint="default" w:ascii="Times New Roman" w:hAnsi="Times New Roman" w:eastAsia="宋体" w:cs="Times New Roman"/>
                      <w:color w:val="000000"/>
                      <w:szCs w:val="21"/>
                      <w:lang w:eastAsia="zh-CN"/>
                    </w:rPr>
                  </w:pPr>
                  <w:r>
                    <w:rPr>
                      <w:rFonts w:hint="default" w:ascii="Times New Roman" w:hAnsi="Times New Roman" w:eastAsia="宋体" w:cs="Times New Roman"/>
                      <w:color w:val="000000"/>
                      <w:szCs w:val="21"/>
                      <w:lang w:val="en-US" w:eastAsia="zh-CN"/>
                    </w:rPr>
                    <w:t>东北</w:t>
                  </w:r>
                </w:p>
              </w:tc>
              <w:tc>
                <w:tcPr>
                  <w:tcW w:w="945" w:type="dxa"/>
                  <w:tcBorders>
                    <w:tl2br w:val="nil"/>
                    <w:tr2bl w:val="nil"/>
                  </w:tcBorders>
                  <w:noWrap w:val="0"/>
                  <w:vAlign w:val="center"/>
                </w:tcPr>
                <w:p>
                  <w:pPr>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Cs w:val="21"/>
                      <w:lang w:val="en-US" w:eastAsia="zh-CN"/>
                    </w:rPr>
                    <w:t>1.7</w:t>
                  </w:r>
                </w:p>
              </w:tc>
              <w:tc>
                <w:tcPr>
                  <w:tcW w:w="1260" w:type="dxa"/>
                  <w:tcBorders>
                    <w:tl2br w:val="nil"/>
                    <w:tr2bl w:val="nil"/>
                  </w:tcBorders>
                  <w:noWrap w:val="0"/>
                  <w:vAlign w:val="center"/>
                </w:tcPr>
                <w:p>
                  <w:pPr>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Cs w:val="21"/>
                      <w:lang w:val="en-US" w:eastAsia="zh-CN"/>
                    </w:rPr>
                    <w:t>56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42" w:hRule="atLeast"/>
                <w:jc w:val="center"/>
              </w:trPr>
              <w:tc>
                <w:tcPr>
                  <w:tcW w:w="1142" w:type="dxa"/>
                  <w:vMerge w:val="continue"/>
                  <w:tcBorders>
                    <w:tl2br w:val="nil"/>
                    <w:tr2bl w:val="nil"/>
                  </w:tcBorders>
                  <w:noWrap w:val="0"/>
                  <w:vAlign w:val="center"/>
                </w:tcPr>
                <w:p>
                  <w:pPr>
                    <w:jc w:val="center"/>
                    <w:rPr>
                      <w:rFonts w:hint="default" w:ascii="Times New Roman" w:hAnsi="Times New Roman" w:eastAsia="宋体" w:cs="Times New Roman"/>
                      <w:color w:val="auto"/>
                      <w:szCs w:val="21"/>
                    </w:rPr>
                  </w:pPr>
                </w:p>
              </w:tc>
              <w:tc>
                <w:tcPr>
                  <w:tcW w:w="778"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2</w:t>
                  </w:r>
                </w:p>
              </w:tc>
              <w:tc>
                <w:tcPr>
                  <w:tcW w:w="762"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lang w:val="en-US" w:eastAsia="zh-CN"/>
                    </w:rPr>
                    <w:t>晴</w:t>
                  </w:r>
                </w:p>
              </w:tc>
              <w:tc>
                <w:tcPr>
                  <w:tcW w:w="907" w:type="dxa"/>
                  <w:tcBorders>
                    <w:tl2br w:val="nil"/>
                    <w:tr2bl w:val="nil"/>
                  </w:tcBorders>
                  <w:noWrap w:val="0"/>
                  <w:vAlign w:val="center"/>
                </w:tcPr>
                <w:p>
                  <w:pPr>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Cs w:val="21"/>
                      <w:lang w:val="en-US" w:eastAsia="zh-CN"/>
                    </w:rPr>
                    <w:t>25.4</w:t>
                  </w:r>
                </w:p>
              </w:tc>
              <w:tc>
                <w:tcPr>
                  <w:tcW w:w="1245" w:type="dxa"/>
                  <w:tcBorders>
                    <w:tl2br w:val="nil"/>
                    <w:tr2bl w:val="nil"/>
                  </w:tcBorders>
                  <w:noWrap w:val="0"/>
                  <w:vAlign w:val="center"/>
                </w:tcPr>
                <w:p>
                  <w:pPr>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Cs w:val="21"/>
                      <w:lang w:val="en-US" w:eastAsia="zh-CN"/>
                    </w:rPr>
                    <w:t>100.5</w:t>
                  </w:r>
                </w:p>
              </w:tc>
              <w:tc>
                <w:tcPr>
                  <w:tcW w:w="848"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lang w:val="en-US" w:eastAsia="zh-CN"/>
                    </w:rPr>
                    <w:t>东北</w:t>
                  </w:r>
                </w:p>
              </w:tc>
              <w:tc>
                <w:tcPr>
                  <w:tcW w:w="945" w:type="dxa"/>
                  <w:tcBorders>
                    <w:tl2br w:val="nil"/>
                    <w:tr2bl w:val="nil"/>
                  </w:tcBorders>
                  <w:noWrap w:val="0"/>
                  <w:vAlign w:val="center"/>
                </w:tcPr>
                <w:p>
                  <w:pPr>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Cs w:val="21"/>
                      <w:lang w:val="en-US" w:eastAsia="zh-CN"/>
                    </w:rPr>
                    <w:t>1.9</w:t>
                  </w:r>
                </w:p>
              </w:tc>
              <w:tc>
                <w:tcPr>
                  <w:tcW w:w="1260" w:type="dxa"/>
                  <w:tcBorders>
                    <w:tl2br w:val="nil"/>
                    <w:tr2bl w:val="nil"/>
                  </w:tcBorders>
                  <w:noWrap w:val="0"/>
                  <w:vAlign w:val="center"/>
                </w:tcPr>
                <w:p>
                  <w:pPr>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Cs w:val="21"/>
                      <w:lang w:val="en-US" w:eastAsia="zh-CN"/>
                    </w:rPr>
                    <w:t>57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42" w:hRule="atLeast"/>
                <w:jc w:val="center"/>
              </w:trPr>
              <w:tc>
                <w:tcPr>
                  <w:tcW w:w="1142" w:type="dxa"/>
                  <w:vMerge w:val="continue"/>
                  <w:tcBorders>
                    <w:tl2br w:val="nil"/>
                    <w:tr2bl w:val="nil"/>
                  </w:tcBorders>
                  <w:noWrap w:val="0"/>
                  <w:vAlign w:val="center"/>
                </w:tcPr>
                <w:p>
                  <w:pPr>
                    <w:jc w:val="center"/>
                    <w:rPr>
                      <w:rFonts w:hint="default" w:ascii="Times New Roman" w:hAnsi="Times New Roman" w:eastAsia="宋体" w:cs="Times New Roman"/>
                      <w:color w:val="auto"/>
                      <w:szCs w:val="21"/>
                    </w:rPr>
                  </w:pPr>
                </w:p>
              </w:tc>
              <w:tc>
                <w:tcPr>
                  <w:tcW w:w="778"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3</w:t>
                  </w:r>
                </w:p>
              </w:tc>
              <w:tc>
                <w:tcPr>
                  <w:tcW w:w="762"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lang w:val="en-US" w:eastAsia="zh-CN"/>
                    </w:rPr>
                    <w:t>晴</w:t>
                  </w:r>
                </w:p>
              </w:tc>
              <w:tc>
                <w:tcPr>
                  <w:tcW w:w="907" w:type="dxa"/>
                  <w:tcBorders>
                    <w:tl2br w:val="nil"/>
                    <w:tr2bl w:val="nil"/>
                  </w:tcBorders>
                  <w:noWrap w:val="0"/>
                  <w:vAlign w:val="center"/>
                </w:tcPr>
                <w:p>
                  <w:pPr>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Cs w:val="21"/>
                      <w:lang w:val="en-US" w:eastAsia="zh-CN"/>
                    </w:rPr>
                    <w:t>24.1</w:t>
                  </w:r>
                </w:p>
              </w:tc>
              <w:tc>
                <w:tcPr>
                  <w:tcW w:w="1245" w:type="dxa"/>
                  <w:tcBorders>
                    <w:tl2br w:val="nil"/>
                    <w:tr2bl w:val="nil"/>
                  </w:tcBorders>
                  <w:noWrap w:val="0"/>
                  <w:vAlign w:val="center"/>
                </w:tcPr>
                <w:p>
                  <w:pPr>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Cs w:val="21"/>
                      <w:lang w:val="en-US" w:eastAsia="zh-CN"/>
                    </w:rPr>
                    <w:t>100.5</w:t>
                  </w:r>
                </w:p>
              </w:tc>
              <w:tc>
                <w:tcPr>
                  <w:tcW w:w="848"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lang w:val="en-US" w:eastAsia="zh-CN"/>
                    </w:rPr>
                    <w:t>东北</w:t>
                  </w:r>
                </w:p>
              </w:tc>
              <w:tc>
                <w:tcPr>
                  <w:tcW w:w="945" w:type="dxa"/>
                  <w:tcBorders>
                    <w:tl2br w:val="nil"/>
                    <w:tr2bl w:val="nil"/>
                  </w:tcBorders>
                  <w:noWrap w:val="0"/>
                  <w:vAlign w:val="center"/>
                </w:tcPr>
                <w:p>
                  <w:pPr>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Cs w:val="21"/>
                      <w:lang w:val="en-US" w:eastAsia="zh-CN"/>
                    </w:rPr>
                    <w:t>2.2</w:t>
                  </w:r>
                </w:p>
              </w:tc>
              <w:tc>
                <w:tcPr>
                  <w:tcW w:w="1260" w:type="dxa"/>
                  <w:tcBorders>
                    <w:tl2br w:val="nil"/>
                    <w:tr2bl w:val="nil"/>
                  </w:tcBorders>
                  <w:noWrap w:val="0"/>
                  <w:vAlign w:val="center"/>
                </w:tcPr>
                <w:p>
                  <w:pPr>
                    <w:jc w:val="center"/>
                    <w:rPr>
                      <w:rFonts w:hint="default" w:ascii="Times New Roman" w:hAnsi="Times New Roman" w:eastAsia="宋体" w:cs="Times New Roman"/>
                      <w:color w:val="000000"/>
                      <w:szCs w:val="21"/>
                      <w:lang w:val="en-US" w:eastAsia="zh-CN"/>
                    </w:rPr>
                  </w:pPr>
                  <w:r>
                    <w:rPr>
                      <w:rFonts w:hint="default" w:ascii="Times New Roman" w:hAnsi="Times New Roman" w:eastAsia="宋体" w:cs="Times New Roman"/>
                      <w:color w:val="000000"/>
                      <w:szCs w:val="21"/>
                      <w:lang w:val="en-US" w:eastAsia="zh-CN"/>
                    </w:rPr>
                    <w:t>59</w:t>
                  </w:r>
                </w:p>
              </w:tc>
            </w:tr>
          </w:tbl>
          <w:p>
            <w:pPr>
              <w:pStyle w:val="29"/>
              <w:keepNext w:val="0"/>
              <w:keepLines w:val="0"/>
              <w:pageBreakBefore w:val="0"/>
              <w:widowControl w:val="0"/>
              <w:numPr>
                <w:ilvl w:val="0"/>
                <w:numId w:val="7"/>
              </w:numPr>
              <w:kinsoku/>
              <w:wordWrap/>
              <w:overflowPunct/>
              <w:topLinePunct w:val="0"/>
              <w:autoSpaceDE w:val="0"/>
              <w:autoSpaceDN w:val="0"/>
              <w:bidi w:val="0"/>
              <w:adjustRightInd w:val="0"/>
              <w:snapToGrid/>
              <w:spacing w:line="360" w:lineRule="auto"/>
              <w:ind w:left="0" w:leftChars="0" w:firstLine="482" w:firstLineChars="200"/>
              <w:jc w:val="both"/>
              <w:textAlignment w:val="auto"/>
              <w:outlineLvl w:val="9"/>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污染物排放总量核算</w:t>
            </w:r>
          </w:p>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Chars="0" w:firstLine="480" w:firstLineChars="200"/>
              <w:jc w:val="both"/>
              <w:textAlignment w:val="auto"/>
              <w:outlineLvl w:val="9"/>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t>根据本项目环评及其批复要求，本项目VOCs排放总量为</w:t>
            </w:r>
            <w:r>
              <w:rPr>
                <w:rFonts w:hint="default" w:ascii="Times New Roman" w:hAnsi="Times New Roman" w:eastAsia="宋体" w:cs="Times New Roman"/>
                <w:sz w:val="24"/>
                <w:szCs w:val="24"/>
              </w:rPr>
              <w:t>0.</w:t>
            </w:r>
            <w:r>
              <w:rPr>
                <w:rFonts w:hint="default" w:ascii="Times New Roman" w:hAnsi="Times New Roman" w:eastAsia="宋体" w:cs="Times New Roman"/>
                <w:sz w:val="24"/>
                <w:szCs w:val="24"/>
                <w:lang w:val="en-US" w:eastAsia="zh-CN"/>
              </w:rPr>
              <w:t>99</w:t>
            </w:r>
            <w:r>
              <w:rPr>
                <w:rFonts w:hint="default" w:ascii="Times New Roman" w:hAnsi="Times New Roman" w:eastAsia="宋体" w:cs="Times New Roman"/>
                <w:sz w:val="24"/>
                <w:szCs w:val="24"/>
              </w:rPr>
              <w:t>t/a</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，按1.05倍区域削减量替代，替代削减量为挥发性有机物1.0395吨/年。</w:t>
            </w:r>
            <w:r>
              <w:rPr>
                <w:rFonts w:hint="default" w:ascii="Times New Roman" w:hAnsi="Times New Roman" w:eastAsia="宋体" w:cs="Times New Roman"/>
                <w:sz w:val="24"/>
                <w:szCs w:val="24"/>
                <w:lang w:val="en-US" w:eastAsia="zh-CN"/>
              </w:rPr>
              <w:t>本项目排放总量计算见下表：</w:t>
            </w:r>
          </w:p>
          <w:p>
            <w:pPr>
              <w:pStyle w:val="3"/>
              <w:widowControl w:val="0"/>
              <w:spacing w:line="240" w:lineRule="auto"/>
              <w:jc w:val="center"/>
              <w:outlineLvl w:val="0"/>
              <w:rPr>
                <w:rFonts w:hint="default" w:ascii="Times New Roman" w:hAnsi="Times New Roman" w:eastAsia="宋体" w:cs="Times New Roman"/>
                <w:b w:val="0"/>
                <w:bCs w:val="0"/>
                <w:color w:val="000000" w:themeColor="text1"/>
                <w:kern w:val="0"/>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表7-6 废气污染物排放总量</w:t>
            </w:r>
          </w:p>
          <w:tbl>
            <w:tblPr>
              <w:tblStyle w:val="23"/>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32"/>
              <w:gridCol w:w="1697"/>
              <w:gridCol w:w="1231"/>
              <w:gridCol w:w="1412"/>
              <w:gridCol w:w="1247"/>
              <w:gridCol w:w="138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1" w:type="pct"/>
                  <w:tcBorders>
                    <w:tl2br w:val="nil"/>
                    <w:tr2bl w:val="nil"/>
                  </w:tcBorders>
                  <w:vAlign w:val="center"/>
                </w:tcPr>
                <w:p>
                  <w:pPr>
                    <w:pStyle w:val="3"/>
                    <w:keepNext/>
                    <w:keepLines/>
                    <w:pageBreakBefore w:val="0"/>
                    <w:widowControl w:val="0"/>
                    <w:kinsoku/>
                    <w:wordWrap/>
                    <w:overflowPunct/>
                    <w:topLinePunct w:val="0"/>
                    <w:autoSpaceDE/>
                    <w:autoSpaceDN/>
                    <w:bidi w:val="0"/>
                    <w:adjustRightInd w:val="0"/>
                    <w:snapToGrid w:val="0"/>
                    <w:spacing w:line="240" w:lineRule="auto"/>
                    <w:jc w:val="center"/>
                    <w:textAlignment w:val="auto"/>
                    <w:outlineLvl w:val="0"/>
                    <w:rPr>
                      <w:rFonts w:hint="default"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t>采样日期</w:t>
                  </w:r>
                </w:p>
              </w:tc>
              <w:tc>
                <w:tcPr>
                  <w:tcW w:w="1021" w:type="pct"/>
                  <w:tcBorders>
                    <w:tl2br w:val="nil"/>
                    <w:tr2bl w:val="nil"/>
                  </w:tcBorders>
                  <w:vAlign w:val="center"/>
                </w:tcPr>
                <w:p>
                  <w:pPr>
                    <w:pStyle w:val="2"/>
                    <w:widowControl w:val="0"/>
                    <w:ind w:left="0" w:leftChars="0" w:firstLine="0" w:firstLineChars="0"/>
                    <w:jc w:val="center"/>
                    <w:rPr>
                      <w:rFonts w:hint="default"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t>监测点位</w:t>
                  </w:r>
                </w:p>
              </w:tc>
              <w:tc>
                <w:tcPr>
                  <w:tcW w:w="741" w:type="pct"/>
                  <w:tcBorders>
                    <w:tl2br w:val="nil"/>
                    <w:tr2bl w:val="nil"/>
                  </w:tcBorders>
                  <w:vAlign w:val="center"/>
                </w:tcPr>
                <w:p>
                  <w:pPr>
                    <w:pStyle w:val="2"/>
                    <w:widowControl w:val="0"/>
                    <w:ind w:left="0" w:leftChars="0" w:firstLine="0" w:firstLineChars="0"/>
                    <w:jc w:val="center"/>
                    <w:rPr>
                      <w:rFonts w:hint="default"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vertAlign w:val="baseline"/>
                      <w:lang w:val="en-US" w:eastAsia="zh-CN"/>
                    </w:rPr>
                    <w:t>排放速率（kg/h）</w:t>
                  </w:r>
                </w:p>
              </w:tc>
              <w:tc>
                <w:tcPr>
                  <w:tcW w:w="850" w:type="pct"/>
                  <w:tcBorders>
                    <w:tl2br w:val="nil"/>
                    <w:tr2bl w:val="nil"/>
                  </w:tcBorders>
                  <w:vAlign w:val="center"/>
                </w:tcPr>
                <w:p>
                  <w:pPr>
                    <w:pStyle w:val="2"/>
                    <w:widowControl w:val="0"/>
                    <w:ind w:left="0" w:leftChars="0" w:firstLine="0" w:firstLineChars="0"/>
                    <w:jc w:val="center"/>
                    <w:rPr>
                      <w:rFonts w:hint="default"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vertAlign w:val="baseline"/>
                      <w:lang w:val="en-US" w:eastAsia="zh-CN"/>
                    </w:rPr>
                    <w:t>年排放量（t/a）</w:t>
                  </w:r>
                </w:p>
              </w:tc>
              <w:tc>
                <w:tcPr>
                  <w:tcW w:w="750" w:type="pct"/>
                  <w:tcBorders>
                    <w:tl2br w:val="nil"/>
                    <w:tr2bl w:val="nil"/>
                  </w:tcBorders>
                  <w:vAlign w:val="center"/>
                </w:tcPr>
                <w:p>
                  <w:pPr>
                    <w:pStyle w:val="2"/>
                    <w:widowControl w:val="0"/>
                    <w:ind w:left="0" w:leftChars="0" w:firstLine="0" w:firstLineChars="0"/>
                    <w:jc w:val="center"/>
                    <w:rPr>
                      <w:rFonts w:hint="default"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t>合计排放总量（t/a）</w:t>
                  </w:r>
                </w:p>
              </w:tc>
              <w:tc>
                <w:tcPr>
                  <w:tcW w:w="833" w:type="pct"/>
                  <w:tcBorders>
                    <w:tl2br w:val="nil"/>
                    <w:tr2bl w:val="nil"/>
                  </w:tcBorders>
                  <w:vAlign w:val="center"/>
                </w:tcPr>
                <w:p>
                  <w:pPr>
                    <w:pStyle w:val="3"/>
                    <w:widowControl w:val="0"/>
                    <w:spacing w:line="240" w:lineRule="auto"/>
                    <w:jc w:val="center"/>
                    <w:outlineLvl w:val="0"/>
                    <w:rPr>
                      <w:rFonts w:hint="default"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vertAlign w:val="baseline"/>
                      <w:lang w:val="en-US" w:eastAsia="zh-CN" w:bidi="ar-SA"/>
                      <w14:textFill>
                        <w14:solidFill>
                          <w14:schemeClr w14:val="tx1"/>
                        </w14:solidFill>
                      </w14:textFill>
                    </w:rPr>
                    <w:t>核定排放总量（t/a）</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801" w:type="pct"/>
                  <w:vMerge w:val="restart"/>
                  <w:tcBorders>
                    <w:tl2br w:val="nil"/>
                    <w:tr2bl w:val="nil"/>
                  </w:tcBorders>
                  <w:vAlign w:val="center"/>
                </w:tcPr>
                <w:p>
                  <w:pPr>
                    <w:pStyle w:val="3"/>
                    <w:widowControl w:val="0"/>
                    <w:spacing w:line="240" w:lineRule="auto"/>
                    <w:jc w:val="center"/>
                    <w:outlineLvl w:val="0"/>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2023.04.26</w:t>
                  </w:r>
                </w:p>
              </w:tc>
              <w:tc>
                <w:tcPr>
                  <w:tcW w:w="1021" w:type="pct"/>
                  <w:tcBorders>
                    <w:tl2br w:val="nil"/>
                    <w:tr2bl w:val="nil"/>
                  </w:tcBorders>
                  <w:vAlign w:val="center"/>
                </w:tcPr>
                <w:p>
                  <w:pPr>
                    <w:pStyle w:val="3"/>
                    <w:widowControl w:val="0"/>
                    <w:spacing w:line="240" w:lineRule="auto"/>
                    <w:jc w:val="center"/>
                    <w:outlineLvl w:val="0"/>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kern w:val="0"/>
                      <w:sz w:val="21"/>
                      <w:szCs w:val="21"/>
                      <w:lang w:val="en-US" w:eastAsia="zh-CN"/>
                    </w:rPr>
                    <w:t>挤出废气</w:t>
                  </w:r>
                  <w:r>
                    <w:rPr>
                      <w:rFonts w:hint="default" w:ascii="Times New Roman" w:hAnsi="Times New Roman" w:eastAsia="宋体" w:cs="Times New Roman"/>
                      <w:b w:val="0"/>
                      <w:bCs w:val="0"/>
                      <w:color w:val="000000"/>
                      <w:sz w:val="21"/>
                      <w:szCs w:val="21"/>
                      <w:lang w:val="en-US" w:eastAsia="zh-CN"/>
                    </w:rPr>
                    <w:t>处理设施</w:t>
                  </w:r>
                  <w:r>
                    <w:rPr>
                      <w:rFonts w:hint="default" w:ascii="Times New Roman" w:hAnsi="Times New Roman" w:eastAsia="宋体" w:cs="Times New Roman"/>
                      <w:b w:val="0"/>
                      <w:bCs w:val="0"/>
                      <w:color w:val="auto"/>
                      <w:sz w:val="21"/>
                      <w:szCs w:val="21"/>
                      <w:lang w:val="en-US" w:eastAsia="zh-CN"/>
                    </w:rPr>
                    <w:t>◎P1出口</w:t>
                  </w:r>
                </w:p>
              </w:tc>
              <w:tc>
                <w:tcPr>
                  <w:tcW w:w="741" w:type="pct"/>
                  <w:tcBorders>
                    <w:tl2br w:val="nil"/>
                    <w:tr2bl w:val="nil"/>
                  </w:tcBorders>
                  <w:vAlign w:val="center"/>
                </w:tcPr>
                <w:p>
                  <w:pPr>
                    <w:pStyle w:val="3"/>
                    <w:widowControl w:val="0"/>
                    <w:spacing w:line="240" w:lineRule="auto"/>
                    <w:jc w:val="center"/>
                    <w:outlineLvl w:val="0"/>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kern w:val="0"/>
                      <w:szCs w:val="21"/>
                      <w:lang w:val="en-US" w:eastAsia="zh-CN"/>
                    </w:rPr>
                    <w:t>4.90×10</w:t>
                  </w:r>
                  <w:r>
                    <w:rPr>
                      <w:rFonts w:hint="default" w:ascii="Times New Roman" w:hAnsi="Times New Roman" w:eastAsia="宋体" w:cs="Times New Roman"/>
                      <w:b w:val="0"/>
                      <w:bCs w:val="0"/>
                      <w:color w:val="000000"/>
                      <w:kern w:val="0"/>
                      <w:szCs w:val="21"/>
                      <w:vertAlign w:val="superscript"/>
                      <w:lang w:val="en-US" w:eastAsia="zh-CN"/>
                    </w:rPr>
                    <w:t>-2</w:t>
                  </w:r>
                </w:p>
              </w:tc>
              <w:tc>
                <w:tcPr>
                  <w:tcW w:w="850" w:type="pct"/>
                  <w:tcBorders>
                    <w:tl2br w:val="nil"/>
                    <w:tr2bl w:val="nil"/>
                  </w:tcBorders>
                  <w:vAlign w:val="center"/>
                </w:tcPr>
                <w:p>
                  <w:pPr>
                    <w:pStyle w:val="3"/>
                    <w:widowControl w:val="0"/>
                    <w:spacing w:line="240" w:lineRule="auto"/>
                    <w:jc w:val="center"/>
                    <w:outlineLvl w:val="0"/>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0.353</w:t>
                  </w:r>
                </w:p>
              </w:tc>
              <w:tc>
                <w:tcPr>
                  <w:tcW w:w="750" w:type="pct"/>
                  <w:vMerge w:val="restart"/>
                  <w:tcBorders>
                    <w:tl2br w:val="nil"/>
                    <w:tr2bl w:val="nil"/>
                  </w:tcBorders>
                  <w:vAlign w:val="center"/>
                </w:tcPr>
                <w:p>
                  <w:pPr>
                    <w:pStyle w:val="3"/>
                    <w:widowControl w:val="0"/>
                    <w:spacing w:line="240" w:lineRule="auto"/>
                    <w:jc w:val="center"/>
                    <w:outlineLvl w:val="0"/>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0.547</w:t>
                  </w:r>
                </w:p>
              </w:tc>
              <w:tc>
                <w:tcPr>
                  <w:tcW w:w="833" w:type="pct"/>
                  <w:vMerge w:val="restart"/>
                  <w:tcBorders>
                    <w:tl2br w:val="nil"/>
                    <w:tr2bl w:val="nil"/>
                  </w:tcBorders>
                  <w:vAlign w:val="center"/>
                </w:tcPr>
                <w:p>
                  <w:pPr>
                    <w:pStyle w:val="3"/>
                    <w:widowControl w:val="0"/>
                    <w:spacing w:line="240" w:lineRule="auto"/>
                    <w:jc w:val="center"/>
                    <w:outlineLvl w:val="0"/>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0.99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801" w:type="pct"/>
                  <w:vMerge w:val="continue"/>
                  <w:tcBorders>
                    <w:tl2br w:val="nil"/>
                    <w:tr2bl w:val="nil"/>
                  </w:tcBorders>
                  <w:vAlign w:val="center"/>
                </w:tcPr>
                <w:p>
                  <w:pPr>
                    <w:pStyle w:val="3"/>
                    <w:widowControl w:val="0"/>
                    <w:spacing w:line="240" w:lineRule="auto"/>
                    <w:jc w:val="center"/>
                    <w:outlineLvl w:val="0"/>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p>
              </w:tc>
              <w:tc>
                <w:tcPr>
                  <w:tcW w:w="1021" w:type="pct"/>
                  <w:tcBorders>
                    <w:tl2br w:val="nil"/>
                    <w:tr2bl w:val="nil"/>
                  </w:tcBorders>
                  <w:vAlign w:val="center"/>
                </w:tcPr>
                <w:p>
                  <w:pPr>
                    <w:pStyle w:val="3"/>
                    <w:widowControl w:val="0"/>
                    <w:spacing w:line="240" w:lineRule="auto"/>
                    <w:jc w:val="center"/>
                    <w:outlineLvl w:val="0"/>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kern w:val="0"/>
                      <w:sz w:val="21"/>
                      <w:szCs w:val="21"/>
                      <w:lang w:val="en-US" w:eastAsia="zh-CN"/>
                    </w:rPr>
                    <w:t>挤出废气</w:t>
                  </w:r>
                  <w:r>
                    <w:rPr>
                      <w:rFonts w:hint="default" w:ascii="Times New Roman" w:hAnsi="Times New Roman" w:eastAsia="宋体" w:cs="Times New Roman"/>
                      <w:b w:val="0"/>
                      <w:bCs w:val="0"/>
                      <w:color w:val="000000"/>
                      <w:sz w:val="21"/>
                      <w:szCs w:val="21"/>
                      <w:lang w:val="en-US" w:eastAsia="zh-CN"/>
                    </w:rPr>
                    <w:t>处理设施</w:t>
                  </w:r>
                  <w:r>
                    <w:rPr>
                      <w:rFonts w:hint="default" w:ascii="Times New Roman" w:hAnsi="Times New Roman" w:eastAsia="宋体" w:cs="Times New Roman"/>
                      <w:b w:val="0"/>
                      <w:bCs w:val="0"/>
                      <w:color w:val="auto"/>
                      <w:sz w:val="21"/>
                      <w:szCs w:val="21"/>
                      <w:lang w:val="en-US" w:eastAsia="zh-CN"/>
                    </w:rPr>
                    <w:t>◎P2出口</w:t>
                  </w:r>
                </w:p>
              </w:tc>
              <w:tc>
                <w:tcPr>
                  <w:tcW w:w="741" w:type="pct"/>
                  <w:tcBorders>
                    <w:tl2br w:val="nil"/>
                    <w:tr2bl w:val="nil"/>
                  </w:tcBorders>
                  <w:vAlign w:val="center"/>
                </w:tcPr>
                <w:p>
                  <w:pPr>
                    <w:pStyle w:val="3"/>
                    <w:widowControl w:val="0"/>
                    <w:spacing w:line="240" w:lineRule="auto"/>
                    <w:jc w:val="center"/>
                    <w:outlineLvl w:val="0"/>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kern w:val="0"/>
                      <w:szCs w:val="21"/>
                      <w:lang w:val="en-US" w:eastAsia="zh-CN"/>
                    </w:rPr>
                    <w:t>2.70×10</w:t>
                  </w:r>
                  <w:r>
                    <w:rPr>
                      <w:rFonts w:hint="default" w:ascii="Times New Roman" w:hAnsi="Times New Roman" w:eastAsia="宋体" w:cs="Times New Roman"/>
                      <w:b w:val="0"/>
                      <w:bCs w:val="0"/>
                      <w:color w:val="000000"/>
                      <w:kern w:val="0"/>
                      <w:szCs w:val="21"/>
                      <w:vertAlign w:val="superscript"/>
                      <w:lang w:val="en-US" w:eastAsia="zh-CN"/>
                    </w:rPr>
                    <w:t>-2</w:t>
                  </w:r>
                </w:p>
              </w:tc>
              <w:tc>
                <w:tcPr>
                  <w:tcW w:w="850" w:type="pct"/>
                  <w:tcBorders>
                    <w:tl2br w:val="nil"/>
                    <w:tr2bl w:val="nil"/>
                  </w:tcBorders>
                  <w:vAlign w:val="center"/>
                </w:tcPr>
                <w:p>
                  <w:pPr>
                    <w:pStyle w:val="3"/>
                    <w:widowControl w:val="0"/>
                    <w:spacing w:line="240" w:lineRule="auto"/>
                    <w:jc w:val="center"/>
                    <w:outlineLvl w:val="0"/>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0.194</w:t>
                  </w:r>
                </w:p>
              </w:tc>
              <w:tc>
                <w:tcPr>
                  <w:tcW w:w="750" w:type="pct"/>
                  <w:vMerge w:val="continue"/>
                  <w:tcBorders>
                    <w:tl2br w:val="nil"/>
                    <w:tr2bl w:val="nil"/>
                  </w:tcBorders>
                  <w:vAlign w:val="center"/>
                </w:tcPr>
                <w:p>
                  <w:pPr>
                    <w:pStyle w:val="3"/>
                    <w:widowControl w:val="0"/>
                    <w:spacing w:line="240" w:lineRule="auto"/>
                    <w:jc w:val="center"/>
                    <w:outlineLvl w:val="0"/>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p>
              </w:tc>
              <w:tc>
                <w:tcPr>
                  <w:tcW w:w="833" w:type="pct"/>
                  <w:vMerge w:val="continue"/>
                  <w:tcBorders>
                    <w:tl2br w:val="nil"/>
                    <w:tr2bl w:val="nil"/>
                  </w:tcBorders>
                  <w:vAlign w:val="center"/>
                </w:tcPr>
                <w:p>
                  <w:pPr>
                    <w:pStyle w:val="3"/>
                    <w:widowControl w:val="0"/>
                    <w:spacing w:line="240" w:lineRule="auto"/>
                    <w:jc w:val="center"/>
                    <w:outlineLvl w:val="0"/>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1" w:type="pct"/>
                  <w:vMerge w:val="restart"/>
                  <w:tcBorders>
                    <w:tl2br w:val="nil"/>
                    <w:tr2bl w:val="nil"/>
                  </w:tcBorders>
                  <w:vAlign w:val="center"/>
                </w:tcPr>
                <w:p>
                  <w:pPr>
                    <w:pStyle w:val="3"/>
                    <w:widowControl w:val="0"/>
                    <w:spacing w:line="240" w:lineRule="auto"/>
                    <w:jc w:val="center"/>
                    <w:outlineLvl w:val="0"/>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2023.04.27</w:t>
                  </w:r>
                </w:p>
              </w:tc>
              <w:tc>
                <w:tcPr>
                  <w:tcW w:w="1021" w:type="pct"/>
                  <w:tcBorders>
                    <w:tl2br w:val="nil"/>
                    <w:tr2bl w:val="nil"/>
                  </w:tcBorders>
                  <w:vAlign w:val="center"/>
                </w:tcPr>
                <w:p>
                  <w:pPr>
                    <w:pStyle w:val="3"/>
                    <w:widowControl w:val="0"/>
                    <w:spacing w:line="240" w:lineRule="auto"/>
                    <w:jc w:val="center"/>
                    <w:outlineLvl w:val="0"/>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kern w:val="0"/>
                      <w:sz w:val="21"/>
                      <w:szCs w:val="21"/>
                      <w:lang w:val="en-US" w:eastAsia="zh-CN"/>
                    </w:rPr>
                    <w:t>挤出废气</w:t>
                  </w:r>
                  <w:r>
                    <w:rPr>
                      <w:rFonts w:hint="default" w:ascii="Times New Roman" w:hAnsi="Times New Roman" w:eastAsia="宋体" w:cs="Times New Roman"/>
                      <w:b w:val="0"/>
                      <w:bCs w:val="0"/>
                      <w:color w:val="000000"/>
                      <w:sz w:val="21"/>
                      <w:szCs w:val="21"/>
                      <w:lang w:val="en-US" w:eastAsia="zh-CN"/>
                    </w:rPr>
                    <w:t>处理设施</w:t>
                  </w:r>
                  <w:r>
                    <w:rPr>
                      <w:rFonts w:hint="default" w:ascii="Times New Roman" w:hAnsi="Times New Roman" w:eastAsia="宋体" w:cs="Times New Roman"/>
                      <w:b w:val="0"/>
                      <w:bCs w:val="0"/>
                      <w:color w:val="auto"/>
                      <w:sz w:val="21"/>
                      <w:szCs w:val="21"/>
                      <w:lang w:val="en-US" w:eastAsia="zh-CN"/>
                    </w:rPr>
                    <w:t>◎P1出口</w:t>
                  </w:r>
                </w:p>
              </w:tc>
              <w:tc>
                <w:tcPr>
                  <w:tcW w:w="741" w:type="pct"/>
                  <w:tcBorders>
                    <w:tl2br w:val="nil"/>
                    <w:tr2bl w:val="nil"/>
                  </w:tcBorders>
                  <w:vAlign w:val="center"/>
                </w:tcPr>
                <w:p>
                  <w:pPr>
                    <w:pStyle w:val="3"/>
                    <w:widowControl w:val="0"/>
                    <w:spacing w:line="240" w:lineRule="auto"/>
                    <w:jc w:val="center"/>
                    <w:outlineLvl w:val="0"/>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kern w:val="0"/>
                      <w:szCs w:val="21"/>
                      <w:lang w:val="en-US" w:eastAsia="zh-CN"/>
                    </w:rPr>
                    <w:t>4.77×10</w:t>
                  </w:r>
                  <w:r>
                    <w:rPr>
                      <w:rFonts w:hint="default" w:ascii="Times New Roman" w:hAnsi="Times New Roman" w:eastAsia="宋体" w:cs="Times New Roman"/>
                      <w:b w:val="0"/>
                      <w:bCs w:val="0"/>
                      <w:color w:val="000000"/>
                      <w:kern w:val="0"/>
                      <w:szCs w:val="21"/>
                      <w:vertAlign w:val="superscript"/>
                      <w:lang w:val="en-US" w:eastAsia="zh-CN"/>
                    </w:rPr>
                    <w:t>-2</w:t>
                  </w:r>
                </w:p>
              </w:tc>
              <w:tc>
                <w:tcPr>
                  <w:tcW w:w="850" w:type="pct"/>
                  <w:tcBorders>
                    <w:tl2br w:val="nil"/>
                    <w:tr2bl w:val="nil"/>
                  </w:tcBorders>
                  <w:vAlign w:val="center"/>
                </w:tcPr>
                <w:p>
                  <w:pPr>
                    <w:pStyle w:val="3"/>
                    <w:widowControl w:val="0"/>
                    <w:spacing w:line="240" w:lineRule="auto"/>
                    <w:jc w:val="center"/>
                    <w:outlineLvl w:val="0"/>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0.343</w:t>
                  </w:r>
                </w:p>
              </w:tc>
              <w:tc>
                <w:tcPr>
                  <w:tcW w:w="750" w:type="pct"/>
                  <w:vMerge w:val="restart"/>
                  <w:tcBorders>
                    <w:tl2br w:val="nil"/>
                    <w:tr2bl w:val="nil"/>
                  </w:tcBorders>
                  <w:vAlign w:val="center"/>
                </w:tcPr>
                <w:p>
                  <w:pPr>
                    <w:pStyle w:val="3"/>
                    <w:widowControl w:val="0"/>
                    <w:spacing w:line="240" w:lineRule="auto"/>
                    <w:jc w:val="center"/>
                    <w:outlineLvl w:val="0"/>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0.547</w:t>
                  </w:r>
                </w:p>
              </w:tc>
              <w:tc>
                <w:tcPr>
                  <w:tcW w:w="833" w:type="pct"/>
                  <w:vMerge w:val="restart"/>
                  <w:tcBorders>
                    <w:tl2br w:val="nil"/>
                    <w:tr2bl w:val="nil"/>
                  </w:tcBorders>
                  <w:vAlign w:val="center"/>
                </w:tcPr>
                <w:p>
                  <w:pPr>
                    <w:pStyle w:val="3"/>
                    <w:widowControl w:val="0"/>
                    <w:spacing w:line="240" w:lineRule="auto"/>
                    <w:jc w:val="center"/>
                    <w:outlineLvl w:val="0"/>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0.99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1" w:type="pct"/>
                  <w:vMerge w:val="continue"/>
                  <w:tcBorders>
                    <w:tl2br w:val="nil"/>
                    <w:tr2bl w:val="nil"/>
                  </w:tcBorders>
                  <w:vAlign w:val="center"/>
                </w:tcPr>
                <w:p>
                  <w:pPr>
                    <w:pStyle w:val="3"/>
                    <w:widowControl w:val="0"/>
                    <w:spacing w:line="240" w:lineRule="auto"/>
                    <w:jc w:val="center"/>
                    <w:outlineLvl w:val="0"/>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p>
              </w:tc>
              <w:tc>
                <w:tcPr>
                  <w:tcW w:w="1021" w:type="pct"/>
                  <w:tcBorders>
                    <w:tl2br w:val="nil"/>
                    <w:tr2bl w:val="nil"/>
                  </w:tcBorders>
                  <w:vAlign w:val="center"/>
                </w:tcPr>
                <w:p>
                  <w:pPr>
                    <w:pStyle w:val="3"/>
                    <w:widowControl w:val="0"/>
                    <w:spacing w:line="240" w:lineRule="auto"/>
                    <w:jc w:val="center"/>
                    <w:outlineLvl w:val="0"/>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kern w:val="0"/>
                      <w:sz w:val="21"/>
                      <w:szCs w:val="21"/>
                      <w:lang w:val="en-US" w:eastAsia="zh-CN"/>
                    </w:rPr>
                    <w:t>挤出废气</w:t>
                  </w:r>
                  <w:r>
                    <w:rPr>
                      <w:rFonts w:hint="default" w:ascii="Times New Roman" w:hAnsi="Times New Roman" w:eastAsia="宋体" w:cs="Times New Roman"/>
                      <w:b w:val="0"/>
                      <w:bCs w:val="0"/>
                      <w:color w:val="000000"/>
                      <w:sz w:val="21"/>
                      <w:szCs w:val="21"/>
                      <w:lang w:val="en-US" w:eastAsia="zh-CN"/>
                    </w:rPr>
                    <w:t>处理设施</w:t>
                  </w:r>
                  <w:r>
                    <w:rPr>
                      <w:rFonts w:hint="default" w:ascii="Times New Roman" w:hAnsi="Times New Roman" w:eastAsia="宋体" w:cs="Times New Roman"/>
                      <w:b w:val="0"/>
                      <w:bCs w:val="0"/>
                      <w:color w:val="auto"/>
                      <w:sz w:val="21"/>
                      <w:szCs w:val="21"/>
                      <w:lang w:val="en-US" w:eastAsia="zh-CN"/>
                    </w:rPr>
                    <w:t>◎P2出口</w:t>
                  </w:r>
                </w:p>
              </w:tc>
              <w:tc>
                <w:tcPr>
                  <w:tcW w:w="741" w:type="pct"/>
                  <w:tcBorders>
                    <w:tl2br w:val="nil"/>
                    <w:tr2bl w:val="nil"/>
                  </w:tcBorders>
                  <w:vAlign w:val="center"/>
                </w:tcPr>
                <w:p>
                  <w:pPr>
                    <w:pStyle w:val="3"/>
                    <w:widowControl w:val="0"/>
                    <w:spacing w:line="240" w:lineRule="auto"/>
                    <w:jc w:val="center"/>
                    <w:outlineLvl w:val="0"/>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kern w:val="0"/>
                      <w:szCs w:val="21"/>
                      <w:lang w:val="en-US" w:eastAsia="zh-CN"/>
                    </w:rPr>
                    <w:t>2.83×10</w:t>
                  </w:r>
                  <w:r>
                    <w:rPr>
                      <w:rFonts w:hint="default" w:ascii="Times New Roman" w:hAnsi="Times New Roman" w:eastAsia="宋体" w:cs="Times New Roman"/>
                      <w:b w:val="0"/>
                      <w:bCs w:val="0"/>
                      <w:color w:val="000000"/>
                      <w:kern w:val="0"/>
                      <w:szCs w:val="21"/>
                      <w:vertAlign w:val="superscript"/>
                      <w:lang w:val="en-US" w:eastAsia="zh-CN"/>
                    </w:rPr>
                    <w:t>-2</w:t>
                  </w:r>
                </w:p>
              </w:tc>
              <w:tc>
                <w:tcPr>
                  <w:tcW w:w="850" w:type="pct"/>
                  <w:tcBorders>
                    <w:tl2br w:val="nil"/>
                    <w:tr2bl w:val="nil"/>
                  </w:tcBorders>
                  <w:vAlign w:val="center"/>
                </w:tcPr>
                <w:p>
                  <w:pPr>
                    <w:pStyle w:val="3"/>
                    <w:widowControl w:val="0"/>
                    <w:spacing w:line="240" w:lineRule="auto"/>
                    <w:jc w:val="center"/>
                    <w:outlineLvl w:val="0"/>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t>0.204</w:t>
                  </w:r>
                </w:p>
              </w:tc>
              <w:tc>
                <w:tcPr>
                  <w:tcW w:w="750" w:type="pct"/>
                  <w:vMerge w:val="continue"/>
                  <w:tcBorders>
                    <w:tl2br w:val="nil"/>
                    <w:tr2bl w:val="nil"/>
                  </w:tcBorders>
                  <w:vAlign w:val="center"/>
                </w:tcPr>
                <w:p>
                  <w:pPr>
                    <w:pStyle w:val="3"/>
                    <w:widowControl w:val="0"/>
                    <w:spacing w:line="240" w:lineRule="auto"/>
                    <w:jc w:val="center"/>
                    <w:outlineLvl w:val="0"/>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p>
              </w:tc>
              <w:tc>
                <w:tcPr>
                  <w:tcW w:w="833" w:type="pct"/>
                  <w:vMerge w:val="continue"/>
                  <w:tcBorders>
                    <w:tl2br w:val="nil"/>
                    <w:tr2bl w:val="nil"/>
                  </w:tcBorders>
                  <w:vAlign w:val="center"/>
                </w:tcPr>
                <w:p>
                  <w:pPr>
                    <w:pStyle w:val="3"/>
                    <w:widowControl w:val="0"/>
                    <w:spacing w:line="240" w:lineRule="auto"/>
                    <w:jc w:val="center"/>
                    <w:outlineLvl w:val="0"/>
                    <w:rPr>
                      <w:rFonts w:hint="default" w:ascii="Times New Roman" w:hAnsi="Times New Roman" w:eastAsia="宋体" w:cs="Times New Roman"/>
                      <w:b w:val="0"/>
                      <w:bCs w:val="0"/>
                      <w:color w:val="000000" w:themeColor="text1"/>
                      <w:kern w:val="0"/>
                      <w:sz w:val="21"/>
                      <w:szCs w:val="21"/>
                      <w:highlight w:val="none"/>
                      <w:vertAlign w:val="baseline"/>
                      <w:lang w:val="en-US" w:eastAsia="zh-CN" w:bidi="ar-SA"/>
                      <w14:textFill>
                        <w14:solidFill>
                          <w14:schemeClr w14:val="tx1"/>
                        </w14:solidFill>
                      </w14:textFill>
                    </w:rPr>
                  </w:pPr>
                </w:p>
              </w:tc>
            </w:tr>
          </w:tbl>
          <w:p>
            <w:pPr>
              <w:pStyle w:val="3"/>
              <w:widowControl w:val="0"/>
              <w:spacing w:line="360" w:lineRule="auto"/>
              <w:ind w:firstLine="480" w:firstLineChars="200"/>
              <w:jc w:val="both"/>
              <w:outlineLvl w:val="0"/>
              <w:rPr>
                <w:rFonts w:hint="default" w:ascii="Times New Roman" w:hAnsi="Times New Roman" w:eastAsia="宋体" w:cs="Times New Roman"/>
                <w:color w:val="0000FF"/>
                <w:lang w:val="en-US" w:eastAsia="zh-CN"/>
              </w:rPr>
            </w:pPr>
            <w:r>
              <w:rPr>
                <w:rFonts w:hint="default" w:ascii="Times New Roman" w:hAnsi="Times New Roman" w:eastAsia="宋体" w:cs="Times New Roman"/>
                <w:b w:val="0"/>
                <w:bCs w:val="0"/>
                <w:color w:val="000000" w:themeColor="text1"/>
                <w:kern w:val="0"/>
                <w:sz w:val="24"/>
                <w:szCs w:val="24"/>
                <w:highlight w:val="none"/>
                <w:lang w:val="en-US" w:eastAsia="zh-CN" w:bidi="ar-SA"/>
                <w14:textFill>
                  <w14:solidFill>
                    <w14:schemeClr w14:val="tx1"/>
                  </w14:solidFill>
                </w14:textFill>
              </w:rPr>
              <w:t>由表7-6可知，验收期间本项目VOCs排放总量为0.547t/a。因此本项目VOCs排放总量满足环评及其批复要求。</w:t>
            </w:r>
          </w:p>
        </w:tc>
      </w:tr>
    </w:tbl>
    <w:p>
      <w:pPr>
        <w:pStyle w:val="3"/>
        <w:rPr>
          <w:rFonts w:hint="default" w:ascii="Times New Roman" w:hAnsi="Times New Roman" w:eastAsia="宋体" w:cs="Times New Roman"/>
          <w:color w:val="0000FF"/>
        </w:rPr>
        <w:sectPr>
          <w:pgSz w:w="11906" w:h="16838"/>
          <w:pgMar w:top="1440" w:right="1440" w:bottom="1440" w:left="1701" w:header="709" w:footer="709" w:gutter="0"/>
          <w:pgBorders>
            <w:top w:val="none" w:sz="0" w:space="0"/>
            <w:left w:val="none" w:sz="0" w:space="0"/>
            <w:bottom w:val="none" w:sz="0" w:space="0"/>
            <w:right w:val="none" w:sz="0" w:space="0"/>
          </w:pgBorders>
          <w:cols w:space="0" w:num="1"/>
          <w:docGrid w:linePitch="360" w:charSpace="0"/>
        </w:sectPr>
      </w:pPr>
    </w:p>
    <w:p>
      <w:pPr>
        <w:spacing w:line="360" w:lineRule="auto"/>
        <w:outlineLvl w:val="0"/>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表八</w:t>
      </w:r>
    </w:p>
    <w:tbl>
      <w:tblPr>
        <w:tblStyle w:val="23"/>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06" w:hRule="atLeast"/>
        </w:trPr>
        <w:tc>
          <w:tcPr>
            <w:tcW w:w="8522" w:type="dxa"/>
          </w:tcPr>
          <w:p>
            <w:pPr>
              <w:widowControl w:val="0"/>
              <w:spacing w:line="360" w:lineRule="auto"/>
              <w:jc w:val="both"/>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验收监测结论：</w:t>
            </w:r>
          </w:p>
          <w:p>
            <w:pPr>
              <w:pStyle w:val="29"/>
              <w:spacing w:line="360" w:lineRule="auto"/>
              <w:ind w:firstLine="482" w:firstLineChars="200"/>
              <w:jc w:val="both"/>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本次验收针对</w:t>
            </w:r>
            <w:r>
              <w:rPr>
                <w:rFonts w:hint="default" w:ascii="Times New Roman" w:hAnsi="Times New Roman" w:eastAsia="宋体" w:cs="Times New Roman"/>
                <w:b/>
                <w:bCs/>
                <w:color w:val="000000" w:themeColor="text1"/>
                <w:lang w:eastAsia="zh-CN"/>
                <w14:textFill>
                  <w14:solidFill>
                    <w14:schemeClr w14:val="tx1"/>
                  </w14:solidFill>
                </w14:textFill>
              </w:rPr>
              <w:t>福建优倍特模塑科技有限公司</w:t>
            </w:r>
            <w:r>
              <w:rPr>
                <w:rFonts w:hint="default" w:ascii="Times New Roman" w:hAnsi="Times New Roman" w:eastAsia="宋体" w:cs="Times New Roman"/>
                <w:b/>
                <w:bCs/>
                <w:color w:val="000000" w:themeColor="text1"/>
                <w:lang w:val="en-US" w:eastAsia="zh-CN"/>
                <w14:textFill>
                  <w14:solidFill>
                    <w14:schemeClr w14:val="tx1"/>
                  </w14:solidFill>
                </w14:textFill>
              </w:rPr>
              <w:t>优倍特模塑科技生产项目</w:t>
            </w:r>
            <w:r>
              <w:rPr>
                <w:rFonts w:hint="default" w:ascii="Times New Roman" w:hAnsi="Times New Roman" w:eastAsia="宋体" w:cs="Times New Roman"/>
                <w:b/>
                <w:bCs/>
                <w:color w:val="000000" w:themeColor="text1"/>
                <w14:textFill>
                  <w14:solidFill>
                    <w14:schemeClr w14:val="tx1"/>
                  </w14:solidFill>
                </w14:textFill>
              </w:rPr>
              <w:t>进行验收。验收期间本项目的性质、规模、地点、生产工艺等均未发生重大改变。故本次验收结论如下：</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bookmarkStart w:id="5" w:name="_Toc9522"/>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（1）废水</w:t>
            </w:r>
          </w:p>
          <w:p>
            <w:pPr>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lang w:val="en-US" w:eastAsia="zh-CN" w:bidi="ar-SA"/>
              </w:rPr>
            </w:pPr>
            <w:r>
              <w:rPr>
                <w:rFonts w:hint="default" w:ascii="Times New Roman" w:hAnsi="Times New Roman" w:eastAsia="宋体" w:cs="Times New Roman"/>
                <w:bCs/>
                <w:color w:val="000000" w:themeColor="text1"/>
                <w:sz w:val="24"/>
                <w:szCs w:val="24"/>
                <w:lang w:eastAsia="zh-CN"/>
                <w14:textFill>
                  <w14:solidFill>
                    <w14:schemeClr w14:val="tx1"/>
                  </w14:solidFill>
                </w14:textFill>
              </w:rPr>
              <w:t>本项目生活污水</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经过三级化粪池处理后，与厂区其他企业一同排入市政污水管网，最终汇入长泰县东区污水处理厂深度处理</w:t>
            </w:r>
            <w:r>
              <w:rPr>
                <w:rFonts w:hint="default" w:ascii="Times New Roman" w:hAnsi="Times New Roman" w:eastAsia="宋体" w:cs="Times New Roman"/>
                <w:color w:val="auto"/>
                <w:sz w:val="24"/>
                <w:szCs w:val="24"/>
                <w:lang w:val="en-US" w:eastAsia="zh-CN" w:bidi="ar-SA"/>
              </w:rPr>
              <w:t>。验收期间项目生产污水不外排，外排废水只有生活污水，本次验收不对生活污水进行监测。</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（2）废气</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本项目</w:t>
            </w:r>
            <w:r>
              <w:rPr>
                <w:rFonts w:hint="default" w:ascii="Times New Roman" w:hAnsi="Times New Roman" w:eastAsia="宋体" w:cs="Times New Roman"/>
                <w:sz w:val="24"/>
                <w:szCs w:val="24"/>
                <w:lang w:val="en-US" w:eastAsia="zh-CN"/>
              </w:rPr>
              <w:t>本项目产生的废气主要有模具生产过程中切割、钻铣、抛光过程产生的粉尘，由于这些粉尘均为金属粉尘，颗粒较大，直接成降在车间内部。项目在挤出过程中由于加热，塑料原料受热会释放出一定的有机废气，以非甲烷总烃计。这些废气分别经过两套活性炭吸附装置处理后，通过</w:t>
            </w:r>
            <w:r>
              <w:rPr>
                <w:rFonts w:hint="eastAsia" w:ascii="Times New Roman" w:hAnsi="Times New Roman" w:eastAsia="宋体" w:cs="Times New Roman"/>
                <w:sz w:val="24"/>
                <w:szCs w:val="24"/>
                <w:lang w:val="en-US" w:eastAsia="zh-CN"/>
              </w:rPr>
              <w:t>一</w:t>
            </w:r>
            <w:r>
              <w:rPr>
                <w:rFonts w:hint="default" w:ascii="Times New Roman" w:hAnsi="Times New Roman" w:eastAsia="宋体" w:cs="Times New Roman"/>
                <w:sz w:val="24"/>
                <w:szCs w:val="24"/>
                <w:lang w:val="en-US" w:eastAsia="zh-CN"/>
              </w:rPr>
              <w:t>根不低于15米的排气筒高空排放</w:t>
            </w:r>
            <w:r>
              <w:rPr>
                <w:rFonts w:hint="default" w:ascii="Times New Roman" w:hAnsi="Times New Roman" w:eastAsia="宋体" w:cs="Times New Roman"/>
                <w:color w:val="000000" w:themeColor="text1"/>
                <w:sz w:val="24"/>
                <w:lang w:val="en-US" w:eastAsia="zh-CN"/>
                <w14:textFill>
                  <w14:solidFill>
                    <w14:schemeClr w14:val="tx1"/>
                  </w14:solidFill>
                </w14:textFill>
              </w:rPr>
              <w:t>。</w:t>
            </w:r>
          </w:p>
          <w:p>
            <w:pPr>
              <w:pStyle w:val="29"/>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bCs/>
                <w:color w:val="000000" w:themeColor="text1"/>
                <w:sz w:val="24"/>
                <w:szCs w:val="24"/>
                <w:lang w:eastAsia="zh-CN"/>
                <w14:textFill>
                  <w14:solidFill>
                    <w14:schemeClr w14:val="tx1"/>
                  </w14:solidFill>
                </w14:textFill>
              </w:rPr>
              <w:t>经</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监测</w:t>
            </w:r>
            <w:r>
              <w:rPr>
                <w:rFonts w:hint="default" w:ascii="Times New Roman" w:hAnsi="Times New Roman" w:eastAsia="宋体" w:cs="Times New Roman"/>
                <w:bCs/>
                <w:color w:val="000000" w:themeColor="text1"/>
                <w:sz w:val="24"/>
                <w:szCs w:val="24"/>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本项</w:t>
            </w:r>
            <w:r>
              <w:rPr>
                <w:rFonts w:hint="default" w:ascii="Times New Roman" w:hAnsi="Times New Roman" w:eastAsia="宋体" w:cs="Times New Roman"/>
                <w:color w:val="000000" w:themeColor="text1"/>
                <w:lang w:val="en-US" w:eastAsia="zh-CN"/>
                <w14:textFill>
                  <w14:solidFill>
                    <w14:schemeClr w14:val="tx1"/>
                  </w14:solidFill>
                </w14:textFill>
              </w:rPr>
              <w:t>目挤出工艺产生的有机废气非甲烷总烃</w:t>
            </w:r>
            <w:r>
              <w:rPr>
                <w:rFonts w:hint="default" w:ascii="Times New Roman" w:hAnsi="Times New Roman" w:eastAsia="宋体" w:cs="Times New Roman"/>
                <w:color w:val="000000" w:themeColor="text1"/>
                <w:lang w:eastAsia="zh-CN"/>
                <w14:textFill>
                  <w14:solidFill>
                    <w14:schemeClr w14:val="tx1"/>
                  </w14:solidFill>
                </w14:textFill>
              </w:rPr>
              <w:t>排放</w:t>
            </w:r>
            <w:r>
              <w:rPr>
                <w:rFonts w:hint="default" w:ascii="Times New Roman" w:hAnsi="Times New Roman" w:eastAsia="宋体" w:cs="Times New Roman"/>
                <w:color w:val="000000"/>
                <w:lang w:eastAsia="zh-CN"/>
              </w:rPr>
              <w:t>《</w:t>
            </w:r>
            <w:r>
              <w:rPr>
                <w:rFonts w:hint="default" w:ascii="Times New Roman" w:hAnsi="Times New Roman" w:eastAsia="宋体" w:cs="Times New Roman"/>
                <w:bCs/>
                <w:color w:val="000000"/>
                <w:lang w:eastAsia="zh-CN"/>
              </w:rPr>
              <w:t>合成树脂工业污染物排放标准</w:t>
            </w:r>
            <w:r>
              <w:rPr>
                <w:rFonts w:hint="default" w:ascii="Times New Roman" w:hAnsi="Times New Roman" w:eastAsia="宋体" w:cs="Times New Roman"/>
                <w:color w:val="000000"/>
                <w:lang w:eastAsia="zh-CN"/>
              </w:rPr>
              <w:t>》（</w:t>
            </w:r>
            <w:r>
              <w:rPr>
                <w:rFonts w:hint="default" w:ascii="Times New Roman" w:hAnsi="Times New Roman" w:eastAsia="宋体" w:cs="Times New Roman"/>
                <w:bCs/>
                <w:color w:val="000000"/>
                <w:lang w:eastAsia="zh-CN"/>
              </w:rPr>
              <w:t>GB31572-2015</w:t>
            </w:r>
            <w:r>
              <w:rPr>
                <w:rFonts w:hint="default" w:ascii="Times New Roman" w:hAnsi="Times New Roman" w:eastAsia="宋体" w:cs="Times New Roman"/>
                <w:color w:val="000000"/>
                <w:lang w:eastAsia="zh-CN"/>
              </w:rPr>
              <w:t>）</w:t>
            </w:r>
            <w:r>
              <w:rPr>
                <w:rFonts w:hint="default" w:ascii="Times New Roman" w:hAnsi="Times New Roman" w:eastAsia="宋体" w:cs="Times New Roman"/>
                <w:bCs/>
                <w:color w:val="000000"/>
                <w:lang w:eastAsia="zh-CN"/>
              </w:rPr>
              <w:t>表4大气污染物排放限值要求</w:t>
            </w:r>
            <w:r>
              <w:rPr>
                <w:rFonts w:hint="default" w:ascii="Times New Roman" w:hAnsi="Times New Roman" w:eastAsia="宋体" w:cs="Times New Roman"/>
                <w:color w:val="000000" w:themeColor="text1"/>
                <w:highlight w:val="none"/>
                <w14:textFill>
                  <w14:solidFill>
                    <w14:schemeClr w14:val="tx1"/>
                  </w14:solidFill>
                </w14:textFill>
              </w:rPr>
              <w:t>。</w:t>
            </w:r>
          </w:p>
          <w:p>
            <w:pPr>
              <w:pStyle w:val="29"/>
              <w:spacing w:line="360" w:lineRule="auto"/>
              <w:ind w:firstLine="480" w:firstLineChars="200"/>
              <w:jc w:val="both"/>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t>无组织废气颗粒物排放满足《</w:t>
            </w:r>
            <w:r>
              <w:rPr>
                <w:rFonts w:hint="default" w:ascii="Times New Roman" w:hAnsi="Times New Roman" w:eastAsia="宋体" w:cs="Times New Roman"/>
                <w:color w:val="000000"/>
                <w:szCs w:val="22"/>
                <w:lang w:eastAsia="zh-CN"/>
              </w:rPr>
              <w:t>《大气污染物综合排放标准》（GB GB16297-1996）表2无组织排放监控浓度限值</w:t>
            </w:r>
            <w:r>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t>；无组织废气非甲烷总体排放满足</w:t>
            </w:r>
            <w:r>
              <w:rPr>
                <w:rFonts w:hint="default" w:ascii="Times New Roman" w:hAnsi="Times New Roman" w:eastAsia="宋体" w:cs="Times New Roman"/>
                <w:color w:val="000000"/>
                <w:lang w:eastAsia="zh-CN"/>
              </w:rPr>
              <w:t>《</w:t>
            </w:r>
            <w:r>
              <w:rPr>
                <w:rFonts w:hint="default" w:ascii="Times New Roman" w:hAnsi="Times New Roman" w:eastAsia="宋体" w:cs="Times New Roman"/>
                <w:bCs/>
                <w:color w:val="000000"/>
                <w:lang w:eastAsia="zh-CN"/>
              </w:rPr>
              <w:t>合成树脂工业污染物排放标准</w:t>
            </w:r>
            <w:r>
              <w:rPr>
                <w:rFonts w:hint="default" w:ascii="Times New Roman" w:hAnsi="Times New Roman" w:eastAsia="宋体" w:cs="Times New Roman"/>
                <w:color w:val="000000"/>
                <w:lang w:eastAsia="zh-CN"/>
              </w:rPr>
              <w:t>》（</w:t>
            </w:r>
            <w:r>
              <w:rPr>
                <w:rFonts w:hint="default" w:ascii="Times New Roman" w:hAnsi="Times New Roman" w:eastAsia="宋体" w:cs="Times New Roman"/>
                <w:bCs/>
                <w:color w:val="000000"/>
                <w:lang w:eastAsia="zh-CN"/>
              </w:rPr>
              <w:t>GB31572-2015</w:t>
            </w:r>
            <w:r>
              <w:rPr>
                <w:rFonts w:hint="default" w:ascii="Times New Roman" w:hAnsi="Times New Roman" w:eastAsia="宋体" w:cs="Times New Roman"/>
                <w:color w:val="000000"/>
                <w:lang w:eastAsia="zh-CN"/>
              </w:rPr>
              <w:t>）</w:t>
            </w:r>
            <w:r>
              <w:rPr>
                <w:rFonts w:hint="default" w:ascii="Times New Roman" w:hAnsi="Times New Roman" w:eastAsia="宋体" w:cs="Times New Roman"/>
                <w:bCs/>
                <w:color w:val="000000"/>
                <w:lang w:eastAsia="zh-CN"/>
              </w:rPr>
              <w:t>表9无组织排放控制要求；</w:t>
            </w:r>
            <w:r>
              <w:rPr>
                <w:rFonts w:hint="default" w:ascii="Times New Roman" w:hAnsi="Times New Roman" w:eastAsia="宋体" w:cs="Times New Roman"/>
                <w:bCs/>
                <w:color w:val="000000"/>
                <w:lang w:val="en-US" w:eastAsia="zh-CN"/>
              </w:rPr>
              <w:t>厂内无组织非甲烷总烃排放满足</w:t>
            </w:r>
            <w:r>
              <w:rPr>
                <w:rFonts w:hint="default" w:ascii="Times New Roman" w:hAnsi="Times New Roman" w:eastAsia="宋体" w:cs="Times New Roman"/>
                <w:color w:val="000000"/>
                <w:spacing w:val="-2"/>
                <w:lang w:eastAsia="zh-CN"/>
              </w:rPr>
              <w:t>《</w:t>
            </w:r>
            <w:r>
              <w:rPr>
                <w:rFonts w:hint="default" w:ascii="Times New Roman" w:hAnsi="Times New Roman" w:eastAsia="宋体" w:cs="Times New Roman"/>
                <w:color w:val="000000"/>
                <w:lang w:eastAsia="zh-CN"/>
              </w:rPr>
              <w:t>挥发性有机物无组织排放控制标准》（GB 37822-2019）附录A表A.1中相关浓度限值</w:t>
            </w:r>
            <w:r>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t>。</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（3）噪声</w:t>
            </w:r>
          </w:p>
          <w:p>
            <w:pPr>
              <w:pStyle w:val="2"/>
              <w:widowControl w:val="0"/>
              <w:spacing w:line="360" w:lineRule="auto"/>
              <w:ind w:left="0" w:leftChars="0" w:firstLine="480" w:firstLineChars="200"/>
              <w:jc w:val="both"/>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本项目主要噪声污染源主要来自生产设备运行时产生的噪声，主要通过合理布局，使高噪声设备远离厂界来降低噪声污染。经检测，</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本</w:t>
            </w:r>
            <w:r>
              <w:rPr>
                <w:rFonts w:hint="default" w:ascii="Times New Roman" w:hAnsi="Times New Roman" w:eastAsia="宋体" w:cs="Times New Roman"/>
                <w:bCs/>
                <w:color w:val="000000" w:themeColor="text1"/>
                <w:sz w:val="24"/>
                <w:szCs w:val="24"/>
                <w14:textFill>
                  <w14:solidFill>
                    <w14:schemeClr w14:val="tx1"/>
                  </w14:solidFill>
                </w14:textFill>
              </w:rPr>
              <w:t>项目</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噪声排放符合《工业企业厂界环境噪声排放标准》（GB12348-2008）的3类标准；即：3类昼间≤65dB（A），夜间≤55dB（A</w:t>
            </w:r>
            <w:r>
              <w:rPr>
                <w:rFonts w:hint="default" w:ascii="Times New Roman" w:hAnsi="Times New Roman" w:eastAsia="宋体" w:cs="Times New Roman"/>
                <w:b w:val="0"/>
                <w:bCs w:val="0"/>
                <w:color w:val="000000" w:themeColor="text1"/>
                <w:sz w:val="24"/>
                <w:szCs w:val="24"/>
                <w:lang w:val="en-US" w:eastAsia="zh-CN" w:bidi="ar-SA"/>
                <w14:textFill>
                  <w14:solidFill>
                    <w14:schemeClr w14:val="tx1"/>
                  </w14:solidFill>
                </w14:textFill>
              </w:rPr>
              <w:t>）。</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（4）固废</w:t>
            </w:r>
          </w:p>
          <w:p>
            <w:pPr>
              <w:widowControl w:val="0"/>
              <w:adjustRightInd/>
              <w:snapToGrid/>
              <w:spacing w:line="360" w:lineRule="auto"/>
              <w:ind w:firstLine="480" w:firstLineChars="200"/>
              <w:jc w:val="both"/>
              <w:outlineLvl w:val="1"/>
              <w:rPr>
                <w:rFonts w:hint="default" w:ascii="Times New Roman" w:hAnsi="Times New Roman" w:eastAsia="宋体" w:cs="Times New Roman"/>
                <w:b w:val="0"/>
                <w:bCs w:val="0"/>
                <w:color w:val="000000" w:themeColor="text1"/>
                <w:kern w:val="0"/>
                <w:sz w:val="24"/>
                <w:szCs w:val="24"/>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SA"/>
                <w14:textFill>
                  <w14:solidFill>
                    <w14:schemeClr w14:val="tx1"/>
                  </w14:solidFill>
                </w14:textFill>
              </w:rPr>
              <w:t>在验收期间，项目一般固废均合理收集，不存在二次污染的情况发生；废活性炭、废润滑油由于项目刚开始生产，因此产生量极少，待达到一定量后委托有资质处理单位统一处理。；生活垃圾收集后定点堆放，定期由环卫部门统一清运处理，不存在固体废物因素导致的二次污染。</w:t>
            </w:r>
          </w:p>
          <w:bookmarkEnd w:id="5"/>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Chars="0" w:firstLine="480" w:firstLineChars="200"/>
              <w:jc w:val="both"/>
              <w:textAlignment w:val="auto"/>
              <w:outlineLvl w:val="9"/>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（5）污染物排放总量核算</w:t>
            </w:r>
          </w:p>
          <w:p>
            <w:pPr>
              <w:widowControl w:val="0"/>
              <w:adjustRightInd/>
              <w:snapToGrid/>
              <w:spacing w:line="360" w:lineRule="auto"/>
              <w:ind w:firstLine="480" w:firstLineChars="200"/>
              <w:jc w:val="both"/>
              <w:outlineLvl w:val="1"/>
              <w:rPr>
                <w:rFonts w:hint="default"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eastAsia="宋体" w:cs="Times New Roman"/>
                <w:bCs/>
                <w:color w:val="000000" w:themeColor="text1"/>
                <w:kern w:val="0"/>
                <w:sz w:val="24"/>
                <w:szCs w:val="24"/>
                <w:lang w:val="en-US" w:eastAsia="zh-CN" w:bidi="ar-SA"/>
                <w14:textFill>
                  <w14:solidFill>
                    <w14:schemeClr w14:val="tx1"/>
                  </w14:solidFill>
                </w14:textFill>
              </w:rPr>
              <w:t>本项目验收期间</w:t>
            </w:r>
            <w:r>
              <w:rPr>
                <w:rFonts w:hint="default" w:ascii="Times New Roman" w:hAnsi="Times New Roman" w:eastAsia="宋体" w:cs="Times New Roman"/>
                <w:b w:val="0"/>
                <w:bCs w:val="0"/>
                <w:color w:val="000000" w:themeColor="text1"/>
                <w:kern w:val="0"/>
                <w:sz w:val="24"/>
                <w:szCs w:val="24"/>
                <w:highlight w:val="none"/>
                <w:lang w:val="en-US" w:eastAsia="zh-CN" w:bidi="ar-SA"/>
                <w14:textFill>
                  <w14:solidFill>
                    <w14:schemeClr w14:val="tx1"/>
                  </w14:solidFill>
                </w14:textFill>
              </w:rPr>
              <w:t>验收期间本项目VOCs排放总量为0.547t/a。因此本项目VOCs排放总量</w:t>
            </w:r>
            <w:r>
              <w:rPr>
                <w:rFonts w:hint="default" w:ascii="Times New Roman" w:hAnsi="Times New Roman" w:eastAsia="宋体" w:cs="Times New Roman"/>
                <w:bCs/>
                <w:color w:val="000000" w:themeColor="text1"/>
                <w:kern w:val="0"/>
                <w:sz w:val="24"/>
                <w:szCs w:val="24"/>
                <w:lang w:val="en-US" w:eastAsia="zh-CN" w:bidi="ar-SA"/>
                <w14:textFill>
                  <w14:solidFill>
                    <w14:schemeClr w14:val="tx1"/>
                  </w14:solidFill>
                </w14:textFill>
              </w:rPr>
              <w:t>满足环评以及批复VOCs≤0.99t/a</w:t>
            </w:r>
            <w:r>
              <w:rPr>
                <w:rFonts w:hint="default" w:ascii="Times New Roman" w:hAnsi="Times New Roman" w:eastAsia="宋体" w:cs="Times New Roman"/>
                <w:color w:val="000000" w:themeColor="text1"/>
                <w:sz w:val="24"/>
                <w:lang w:val="en-US" w:eastAsia="zh-CN"/>
                <w14:textFill>
                  <w14:solidFill>
                    <w14:schemeClr w14:val="tx1"/>
                  </w14:solidFill>
                </w14:textFill>
              </w:rPr>
              <w:t>。的排放要求</w:t>
            </w:r>
          </w:p>
          <w:p>
            <w:pPr>
              <w:widowControl w:val="0"/>
              <w:adjustRightInd/>
              <w:snapToGrid/>
              <w:spacing w:line="360" w:lineRule="auto"/>
              <w:ind w:firstLine="480" w:firstLineChars="200"/>
              <w:jc w:val="both"/>
              <w:outlineLvl w:val="1"/>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后续要求：</w:t>
            </w:r>
          </w:p>
          <w:p>
            <w:pPr>
              <w:widowControl w:val="0"/>
              <w:adjustRightInd/>
              <w:snapToGrid/>
              <w:spacing w:line="360" w:lineRule="auto"/>
              <w:ind w:firstLine="480" w:firstLineChars="200"/>
              <w:jc w:val="both"/>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（1）严格执行环保“三同时”政策，建立健全环保工作责任制度；</w:t>
            </w:r>
          </w:p>
          <w:p>
            <w:pPr>
              <w:widowControl w:val="0"/>
              <w:adjustRightInd/>
              <w:snapToGrid/>
              <w:spacing w:line="360" w:lineRule="auto"/>
              <w:ind w:firstLine="480" w:firstLineChars="200"/>
              <w:jc w:val="both"/>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（2）对高噪设备的降噪措施及厂区布局进行优化。</w:t>
            </w:r>
          </w:p>
          <w:p>
            <w:pPr>
              <w:widowControl w:val="0"/>
              <w:adjustRightInd/>
              <w:snapToGrid/>
              <w:spacing w:line="360" w:lineRule="auto"/>
              <w:ind w:firstLine="480" w:firstLineChars="200"/>
              <w:jc w:val="both"/>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（3）定期维护各项环保设施，确保设施均能够正常运行，使处理效率达到最大化。</w:t>
            </w:r>
          </w:p>
          <w:p>
            <w:pPr>
              <w:widowControl w:val="0"/>
              <w:adjustRightInd/>
              <w:snapToGrid/>
              <w:spacing w:line="360" w:lineRule="auto"/>
              <w:ind w:firstLine="482" w:firstLineChars="200"/>
              <w:jc w:val="both"/>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验收结论：</w:t>
            </w:r>
          </w:p>
          <w:p>
            <w:pPr>
              <w:pStyle w:val="29"/>
              <w:spacing w:line="360" w:lineRule="auto"/>
              <w:ind w:firstLine="482" w:firstLineChars="20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根据验收监测报告及现场踏看结果，</w:t>
            </w:r>
            <w:r>
              <w:rPr>
                <w:rFonts w:hint="default" w:ascii="Times New Roman" w:hAnsi="Times New Roman" w:eastAsia="宋体" w:cs="Times New Roman"/>
                <w:b/>
                <w:bCs/>
                <w:color w:val="000000" w:themeColor="text1"/>
                <w:lang w:eastAsia="zh-CN"/>
                <w14:textFill>
                  <w14:solidFill>
                    <w14:schemeClr w14:val="tx1"/>
                  </w14:solidFill>
                </w14:textFill>
              </w:rPr>
              <w:t>福建优倍特模塑科技有限公司</w:t>
            </w:r>
            <w:r>
              <w:rPr>
                <w:rFonts w:hint="default" w:ascii="Times New Roman" w:hAnsi="Times New Roman" w:eastAsia="宋体" w:cs="Times New Roman"/>
                <w:b/>
                <w:bCs/>
                <w:color w:val="000000" w:themeColor="text1"/>
                <w:lang w:val="en-US" w:eastAsia="zh-CN"/>
                <w14:textFill>
                  <w14:solidFill>
                    <w14:schemeClr w14:val="tx1"/>
                  </w14:solidFill>
                </w14:textFill>
              </w:rPr>
              <w:t>优倍特模塑科技生产项目</w:t>
            </w:r>
            <w:r>
              <w:rPr>
                <w:rFonts w:hint="default" w:ascii="Times New Roman" w:hAnsi="Times New Roman" w:eastAsia="宋体" w:cs="Times New Roman"/>
                <w:b/>
                <w:bCs/>
                <w:color w:val="000000" w:themeColor="text1"/>
                <w14:textFill>
                  <w14:solidFill>
                    <w14:schemeClr w14:val="tx1"/>
                  </w14:solidFill>
                </w14:textFill>
              </w:rPr>
              <w:t>基本落实环保“三同时”制度以及环评批复中提出的各项污染防治措施，各类污染物达标排放，符合环评批复要求。项目不涉及《建设项目竣工环境保护验收暂行办法》第八条规定的不符合情形，符合竣工环保验收条件</w:t>
            </w:r>
            <w:r>
              <w:rPr>
                <w:rFonts w:hint="default" w:ascii="Times New Roman" w:hAnsi="Times New Roman" w:eastAsia="宋体" w:cs="Times New Roman"/>
                <w:b/>
                <w:bCs/>
                <w:color w:val="000000" w:themeColor="text1"/>
                <w:lang w:eastAsia="zh-CN"/>
                <w14:textFill>
                  <w14:solidFill>
                    <w14:schemeClr w14:val="tx1"/>
                  </w14:solidFill>
                </w14:textFill>
              </w:rPr>
              <w:t>，同意通过竣工环境保护验收</w:t>
            </w:r>
            <w:r>
              <w:rPr>
                <w:rFonts w:hint="default" w:ascii="Times New Roman" w:hAnsi="Times New Roman" w:eastAsia="宋体" w:cs="Times New Roman"/>
                <w:b/>
                <w:bCs/>
                <w:color w:val="000000" w:themeColor="text1"/>
                <w14:textFill>
                  <w14:solidFill>
                    <w14:schemeClr w14:val="tx1"/>
                  </w14:solidFill>
                </w14:textFill>
              </w:rPr>
              <w:t>。</w:t>
            </w:r>
          </w:p>
          <w:p>
            <w:pPr>
              <w:pStyle w:val="29"/>
              <w:spacing w:line="360" w:lineRule="auto"/>
              <w:jc w:val="right"/>
              <w:rPr>
                <w:rFonts w:hint="default" w:ascii="Times New Roman" w:hAnsi="Times New Roman" w:eastAsia="宋体" w:cs="Times New Roman"/>
                <w:color w:val="0000FF"/>
                <w:sz w:val="21"/>
                <w:szCs w:val="21"/>
              </w:rPr>
            </w:pPr>
          </w:p>
        </w:tc>
      </w:tr>
    </w:tbl>
    <w:p>
      <w:pPr>
        <w:pStyle w:val="29"/>
        <w:rPr>
          <w:rFonts w:hint="default" w:ascii="Times New Roman" w:hAnsi="Times New Roman" w:eastAsia="宋体" w:cs="Times New Roman"/>
          <w:color w:val="0000FF"/>
        </w:rPr>
        <w:sectPr>
          <w:pgSz w:w="11906" w:h="16838"/>
          <w:pgMar w:top="1440" w:right="1440" w:bottom="1440" w:left="1701" w:header="709" w:footer="709" w:gutter="0"/>
          <w:pgBorders>
            <w:top w:val="none" w:sz="0" w:space="0"/>
            <w:left w:val="none" w:sz="0" w:space="0"/>
            <w:bottom w:val="none" w:sz="0" w:space="0"/>
            <w:right w:val="none" w:sz="0" w:space="0"/>
          </w:pgBorders>
          <w:cols w:space="0" w:num="1"/>
          <w:docGrid w:linePitch="312" w:charSpace="0"/>
        </w:sectPr>
      </w:pPr>
    </w:p>
    <w:tbl>
      <w:tblPr>
        <w:tblStyle w:val="22"/>
        <w:tblpPr w:leftFromText="180" w:rightFromText="180" w:vertAnchor="page" w:horzAnchor="page" w:tblpXSpec="center" w:tblpY="843"/>
        <w:tblW w:w="16074" w:type="dxa"/>
        <w:jc w:val="center"/>
        <w:shd w:val="solid" w:color="FFFFFF" w:themeColor="background1" w:fill="FFFFFF" w:themeFill="background1"/>
        <w:tblLayout w:type="fixed"/>
        <w:tblCellMar>
          <w:top w:w="0" w:type="dxa"/>
          <w:left w:w="108" w:type="dxa"/>
          <w:bottom w:w="0" w:type="dxa"/>
          <w:right w:w="108" w:type="dxa"/>
        </w:tblCellMar>
      </w:tblPr>
      <w:tblGrid>
        <w:gridCol w:w="392"/>
        <w:gridCol w:w="453"/>
        <w:gridCol w:w="1544"/>
        <w:gridCol w:w="327"/>
        <w:gridCol w:w="467"/>
        <w:gridCol w:w="608"/>
        <w:gridCol w:w="424"/>
        <w:gridCol w:w="653"/>
        <w:gridCol w:w="285"/>
        <w:gridCol w:w="401"/>
        <w:gridCol w:w="181"/>
        <w:gridCol w:w="430"/>
        <w:gridCol w:w="665"/>
        <w:gridCol w:w="525"/>
        <w:gridCol w:w="1087"/>
        <w:gridCol w:w="968"/>
        <w:gridCol w:w="1331"/>
        <w:gridCol w:w="1050"/>
        <w:gridCol w:w="1016"/>
        <w:gridCol w:w="758"/>
        <w:gridCol w:w="567"/>
        <w:gridCol w:w="653"/>
        <w:gridCol w:w="307"/>
        <w:gridCol w:w="982"/>
      </w:tblGrid>
      <w:tr>
        <w:tblPrEx>
          <w:shd w:val="solid" w:color="FFFFFF" w:themeColor="background1" w:fill="FFFFFF" w:themeFill="background1"/>
          <w:tblCellMar>
            <w:top w:w="0" w:type="dxa"/>
            <w:left w:w="108" w:type="dxa"/>
            <w:bottom w:w="0" w:type="dxa"/>
            <w:right w:w="108" w:type="dxa"/>
          </w:tblCellMar>
        </w:tblPrEx>
        <w:trPr>
          <w:trHeight w:val="227" w:hRule="atLeast"/>
          <w:jc w:val="center"/>
        </w:trPr>
        <w:tc>
          <w:tcPr>
            <w:tcW w:w="16074" w:type="dxa"/>
            <w:gridSpan w:val="24"/>
            <w:shd w:val="solid" w:color="FFFFFF" w:themeColor="background1" w:fill="FFFFFF" w:themeFill="background1"/>
            <w:vAlign w:val="center"/>
          </w:tcPr>
          <w:p>
            <w:pPr>
              <w:autoSpaceDN w:val="0"/>
              <w:jc w:val="center"/>
              <w:textAlignment w:val="center"/>
              <w:rPr>
                <w:rFonts w:hint="default" w:ascii="Times New Roman" w:hAnsi="Times New Roman" w:eastAsia="宋体" w:cs="Times New Roman"/>
                <w:b/>
                <w:color w:val="000000" w:themeColor="text1"/>
                <w:sz w:val="18"/>
                <w:szCs w:val="18"/>
                <w14:textFill>
                  <w14:solidFill>
                    <w14:schemeClr w14:val="tx1"/>
                  </w14:solidFill>
                </w14:textFill>
              </w:rPr>
            </w:pPr>
            <w:r>
              <w:rPr>
                <w:rFonts w:hint="default" w:ascii="Times New Roman" w:hAnsi="Times New Roman" w:eastAsia="宋体" w:cs="Times New Roman"/>
                <w:b/>
                <w:color w:val="000000" w:themeColor="text1"/>
                <w:sz w:val="18"/>
                <w:szCs w:val="18"/>
                <w14:textFill>
                  <w14:solidFill>
                    <w14:schemeClr w14:val="tx1"/>
                  </w14:solidFill>
                </w14:textFill>
              </w:rPr>
              <w:t>建设项目工程竣工环境保护“三同时”验收登记表</w:t>
            </w:r>
          </w:p>
          <w:p>
            <w:pPr>
              <w:autoSpaceDN w:val="0"/>
              <w:ind w:firstLine="720" w:firstLineChars="400"/>
              <w:jc w:val="both"/>
              <w:textAlignment w:val="center"/>
              <w:rPr>
                <w:rFonts w:hint="default" w:ascii="Times New Roman" w:hAnsi="Times New Roman" w:eastAsia="宋体" w:cs="Times New Roman"/>
                <w:b/>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填表单位（盖章）：</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 xml:space="preserve">福建优倍特模塑科技有限公司                              </w:t>
            </w:r>
            <w:r>
              <w:rPr>
                <w:rFonts w:hint="default" w:ascii="Times New Roman" w:hAnsi="Times New Roman" w:eastAsia="宋体" w:cs="Times New Roman"/>
                <w:color w:val="000000" w:themeColor="text1"/>
                <w:sz w:val="18"/>
                <w:szCs w:val="18"/>
                <w14:textFill>
                  <w14:solidFill>
                    <w14:schemeClr w14:val="tx1"/>
                  </w14:solidFill>
                </w14:textFill>
              </w:rPr>
              <w:t>填表人（签字）：</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18"/>
                <w:szCs w:val="18"/>
                <w14:textFill>
                  <w14:solidFill>
                    <w14:schemeClr w14:val="tx1"/>
                  </w14:solidFill>
                </w14:textFill>
              </w:rPr>
              <w:t>项目经办人（签字）：</w:t>
            </w:r>
          </w:p>
        </w:tc>
      </w:tr>
      <w:tr>
        <w:tblPrEx>
          <w:shd w:val="solid" w:color="FFFFFF" w:themeColor="background1" w:fill="FFFFFF" w:themeFill="background1"/>
          <w:tblCellMar>
            <w:top w:w="0" w:type="dxa"/>
            <w:left w:w="108" w:type="dxa"/>
            <w:bottom w:w="0" w:type="dxa"/>
            <w:right w:w="108" w:type="dxa"/>
          </w:tblCellMar>
        </w:tblPrEx>
        <w:trPr>
          <w:trHeight w:val="239" w:hRule="atLeast"/>
          <w:jc w:val="center"/>
        </w:trPr>
        <w:tc>
          <w:tcPr>
            <w:tcW w:w="392" w:type="dxa"/>
            <w:vMerge w:val="restart"/>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jc w:val="center"/>
              <w:textAlignment w:val="center"/>
              <w:rPr>
                <w:rFonts w:hint="default" w:ascii="Times New Roman" w:hAnsi="Times New Roman" w:eastAsia="宋体" w:cs="Times New Roman"/>
                <w:color w:val="000000" w:themeColor="text1"/>
                <w:sz w:val="18"/>
                <w:szCs w:val="18"/>
                <w:shd w:val="clear" w:color="auto" w:fill="C0C0C0"/>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建设项目</w:t>
            </w: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项目名称</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优倍特模塑科技生产项目</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项目代码</w:t>
            </w:r>
          </w:p>
        </w:tc>
        <w:tc>
          <w:tcPr>
            <w:tcW w:w="1331"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w:t>
            </w:r>
          </w:p>
        </w:tc>
        <w:tc>
          <w:tcPr>
            <w:tcW w:w="1050"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建设地点</w:t>
            </w:r>
          </w:p>
        </w:tc>
        <w:tc>
          <w:tcPr>
            <w:tcW w:w="4283" w:type="dxa"/>
            <w:gridSpan w:val="6"/>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漳州市长泰区陈巷镇福照路12号</w:t>
            </w:r>
          </w:p>
        </w:tc>
      </w:tr>
      <w:tr>
        <w:tblPrEx>
          <w:shd w:val="solid" w:color="FFFFFF" w:themeColor="background1" w:fill="FFFFFF" w:themeFill="background1"/>
          <w:tblCellMar>
            <w:top w:w="0" w:type="dxa"/>
            <w:left w:w="108" w:type="dxa"/>
            <w:bottom w:w="0" w:type="dxa"/>
            <w:right w:w="108" w:type="dxa"/>
          </w:tblCellMar>
        </w:tblPrEx>
        <w:trPr>
          <w:trHeight w:val="249"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hint="default"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行业类别（分类管理名录）</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bidi="ar-SA"/>
                <w14:textFill>
                  <w14:solidFill>
                    <w14:schemeClr w14:val="tx1"/>
                  </w14:solidFill>
                </w14:textFill>
              </w:rPr>
              <w:t>C2929</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建设性质</w:t>
            </w:r>
          </w:p>
        </w:tc>
        <w:tc>
          <w:tcPr>
            <w:tcW w:w="6664" w:type="dxa"/>
            <w:gridSpan w:val="8"/>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textAlignment w:val="center"/>
              <w:rPr>
                <w:rFonts w:hint="default" w:ascii="Times New Roman" w:hAnsi="Times New Roman" w:eastAsia="宋体" w:cs="Times New Roman"/>
                <w:color w:val="000000" w:themeColor="text1"/>
                <w:sz w:val="18"/>
                <w:szCs w:val="18"/>
                <w:lang w:eastAsia="zh-CN"/>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新建√</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18"/>
                <w:szCs w:val="18"/>
                <w14:textFill>
                  <w14:solidFill>
                    <w14:schemeClr w14:val="tx1"/>
                  </w14:solidFill>
                </w14:textFill>
              </w:rPr>
              <w:t>改扩建</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18"/>
                <w:szCs w:val="18"/>
                <w14:textFill>
                  <w14:solidFill>
                    <w14:schemeClr w14:val="tx1"/>
                  </w14:solidFill>
                </w14:textFill>
              </w:rPr>
              <w:t>技术改造</w:t>
            </w:r>
          </w:p>
        </w:tc>
      </w:tr>
      <w:tr>
        <w:tblPrEx>
          <w:shd w:val="solid" w:color="FFFFFF" w:themeColor="background1" w:fill="FFFFFF" w:themeFill="background1"/>
          <w:tblCellMar>
            <w:top w:w="0" w:type="dxa"/>
            <w:left w:w="108" w:type="dxa"/>
            <w:bottom w:w="0" w:type="dxa"/>
            <w:right w:w="108" w:type="dxa"/>
          </w:tblCellMar>
        </w:tblPrEx>
        <w:trPr>
          <w:trHeight w:val="405"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hint="default"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建设规模</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pStyle w:val="46"/>
              <w:spacing w:line="240" w:lineRule="auto"/>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年产各类电器塑料零部件3000t</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总规模</w:t>
            </w:r>
          </w:p>
        </w:tc>
        <w:tc>
          <w:tcPr>
            <w:tcW w:w="2381"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pStyle w:val="46"/>
              <w:spacing w:line="240" w:lineRule="auto"/>
              <w:jc w:val="center"/>
              <w:rPr>
                <w:rFonts w:hint="default" w:ascii="Times New Roman" w:hAnsi="Times New Roman" w:eastAsia="宋体" w:cs="Times New Roman"/>
                <w:color w:val="000000" w:themeColor="text1"/>
                <w:sz w:val="18"/>
                <w:szCs w:val="18"/>
                <w:lang w:val="en-US"/>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年产各类电器塑料零部件3000t</w:t>
            </w:r>
          </w:p>
        </w:tc>
        <w:tc>
          <w:tcPr>
            <w:tcW w:w="177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环评单位</w:t>
            </w:r>
          </w:p>
        </w:tc>
        <w:tc>
          <w:tcPr>
            <w:tcW w:w="2509"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漳州绿园环保技术咨询有限公司</w:t>
            </w:r>
          </w:p>
        </w:tc>
      </w:tr>
      <w:tr>
        <w:tblPrEx>
          <w:shd w:val="solid" w:color="FFFFFF" w:themeColor="background1" w:fill="FFFFFF" w:themeFill="background1"/>
          <w:tblCellMar>
            <w:top w:w="0" w:type="dxa"/>
            <w:left w:w="108" w:type="dxa"/>
            <w:bottom w:w="0" w:type="dxa"/>
            <w:right w:w="108" w:type="dxa"/>
          </w:tblCellMar>
        </w:tblPrEx>
        <w:trPr>
          <w:trHeight w:val="90"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hint="default"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环评文件审批机关</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漳州市长泰生态环境局</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审批文号</w:t>
            </w:r>
          </w:p>
        </w:tc>
        <w:tc>
          <w:tcPr>
            <w:tcW w:w="2381"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5"/>
                <w:szCs w:val="15"/>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漳泰环评审[2023]表21号</w:t>
            </w:r>
          </w:p>
        </w:tc>
        <w:tc>
          <w:tcPr>
            <w:tcW w:w="177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环评文件类型</w:t>
            </w:r>
          </w:p>
        </w:tc>
        <w:tc>
          <w:tcPr>
            <w:tcW w:w="2509"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报告表</w:t>
            </w:r>
          </w:p>
        </w:tc>
      </w:tr>
      <w:tr>
        <w:tblPrEx>
          <w:shd w:val="solid" w:color="FFFFFF" w:themeColor="background1" w:fill="FFFFFF" w:themeFill="background1"/>
          <w:tblCellMar>
            <w:top w:w="0" w:type="dxa"/>
            <w:left w:w="108" w:type="dxa"/>
            <w:bottom w:w="0" w:type="dxa"/>
            <w:right w:w="108" w:type="dxa"/>
          </w:tblCellMar>
        </w:tblPrEx>
        <w:trPr>
          <w:trHeight w:val="90"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hint="default"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开工日期</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20</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23</w:t>
            </w:r>
            <w:r>
              <w:rPr>
                <w:rFonts w:hint="default" w:ascii="Times New Roman" w:hAnsi="Times New Roman" w:eastAsia="宋体" w:cs="Times New Roman"/>
                <w:color w:val="000000" w:themeColor="text1"/>
                <w:sz w:val="18"/>
                <w:szCs w:val="18"/>
                <w14:textFill>
                  <w14:solidFill>
                    <w14:schemeClr w14:val="tx1"/>
                  </w14:solidFill>
                </w14:textFill>
              </w:rPr>
              <w:t>年</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1</w:t>
            </w:r>
            <w:r>
              <w:rPr>
                <w:rFonts w:hint="default" w:ascii="Times New Roman" w:hAnsi="Times New Roman" w:eastAsia="宋体" w:cs="Times New Roman"/>
                <w:color w:val="000000" w:themeColor="text1"/>
                <w:sz w:val="18"/>
                <w:szCs w:val="18"/>
                <w14:textFill>
                  <w14:solidFill>
                    <w14:schemeClr w14:val="tx1"/>
                  </w14:solidFill>
                </w14:textFill>
              </w:rPr>
              <w:t>月</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竣工日期</w:t>
            </w:r>
          </w:p>
        </w:tc>
        <w:tc>
          <w:tcPr>
            <w:tcW w:w="2381"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20</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23</w:t>
            </w:r>
            <w:r>
              <w:rPr>
                <w:rFonts w:hint="default" w:ascii="Times New Roman" w:hAnsi="Times New Roman" w:eastAsia="宋体" w:cs="Times New Roman"/>
                <w:color w:val="000000" w:themeColor="text1"/>
                <w:sz w:val="18"/>
                <w:szCs w:val="18"/>
                <w14:textFill>
                  <w14:solidFill>
                    <w14:schemeClr w14:val="tx1"/>
                  </w14:solidFill>
                </w14:textFill>
              </w:rPr>
              <w:t>年</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4</w:t>
            </w:r>
            <w:r>
              <w:rPr>
                <w:rFonts w:hint="default" w:ascii="Times New Roman" w:hAnsi="Times New Roman" w:eastAsia="宋体" w:cs="Times New Roman"/>
                <w:color w:val="000000" w:themeColor="text1"/>
                <w:sz w:val="18"/>
                <w:szCs w:val="18"/>
                <w14:textFill>
                  <w14:solidFill>
                    <w14:schemeClr w14:val="tx1"/>
                  </w14:solidFill>
                </w14:textFill>
              </w:rPr>
              <w:t>月</w:t>
            </w:r>
          </w:p>
        </w:tc>
        <w:tc>
          <w:tcPr>
            <w:tcW w:w="177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排污许可证申领时间</w:t>
            </w:r>
          </w:p>
        </w:tc>
        <w:tc>
          <w:tcPr>
            <w:tcW w:w="2509"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FF"/>
                <w:sz w:val="18"/>
                <w:szCs w:val="18"/>
                <w:lang w:val="en-US" w:eastAsia="zh-CN"/>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2023.04.25</w:t>
            </w:r>
          </w:p>
        </w:tc>
      </w:tr>
      <w:tr>
        <w:tblPrEx>
          <w:shd w:val="solid" w:color="FFFFFF" w:themeColor="background1" w:fill="FFFFFF" w:themeFill="background1"/>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hint="default"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环保设施设计单位</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hint="default" w:ascii="Times New Roman" w:hAnsi="Times New Roman" w:eastAsia="宋体" w:cs="Times New Roman"/>
                <w:color w:val="000000" w:themeColor="text1"/>
                <w:sz w:val="18"/>
                <w:szCs w:val="18"/>
                <w:lang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福建优倍特模塑科技有限公司</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环保设施施工单位</w:t>
            </w:r>
          </w:p>
        </w:tc>
        <w:tc>
          <w:tcPr>
            <w:tcW w:w="2381"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漳州润和环保科技有限公司</w:t>
            </w:r>
          </w:p>
        </w:tc>
        <w:tc>
          <w:tcPr>
            <w:tcW w:w="177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本工程排污许可证编号</w:t>
            </w:r>
          </w:p>
        </w:tc>
        <w:tc>
          <w:tcPr>
            <w:tcW w:w="2509"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FF"/>
                <w:sz w:val="18"/>
                <w:szCs w:val="18"/>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91350625MA8UR0E48T001X</w:t>
            </w:r>
          </w:p>
        </w:tc>
      </w:tr>
      <w:tr>
        <w:tblPrEx>
          <w:shd w:val="solid" w:color="FFFFFF" w:themeColor="background1" w:fill="FFFFFF" w:themeFill="background1"/>
          <w:tblCellMar>
            <w:top w:w="0" w:type="dxa"/>
            <w:left w:w="108" w:type="dxa"/>
            <w:bottom w:w="0" w:type="dxa"/>
            <w:right w:w="108" w:type="dxa"/>
          </w:tblCellMar>
        </w:tblPrEx>
        <w:trPr>
          <w:trHeight w:val="383"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hint="default"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验收单位</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hint="default" w:ascii="Times New Roman" w:hAnsi="Times New Roman" w:eastAsia="宋体" w:cs="Times New Roman"/>
                <w:color w:val="000000" w:themeColor="text1"/>
                <w:sz w:val="18"/>
                <w:szCs w:val="18"/>
                <w:lang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福建优倍特模塑科技有限公司</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环保设施监测单位</w:t>
            </w:r>
          </w:p>
        </w:tc>
        <w:tc>
          <w:tcPr>
            <w:tcW w:w="2381"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福建绿家检测技术有限公司</w:t>
            </w:r>
          </w:p>
        </w:tc>
        <w:tc>
          <w:tcPr>
            <w:tcW w:w="177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验收监测时工况</w:t>
            </w:r>
          </w:p>
        </w:tc>
        <w:tc>
          <w:tcPr>
            <w:tcW w:w="2509"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≥75%</w:t>
            </w:r>
          </w:p>
        </w:tc>
      </w:tr>
      <w:tr>
        <w:tblPrEx>
          <w:shd w:val="solid" w:color="FFFFFF" w:themeColor="background1" w:fill="FFFFFF" w:themeFill="background1"/>
          <w:tblCellMar>
            <w:top w:w="0" w:type="dxa"/>
            <w:left w:w="108" w:type="dxa"/>
            <w:bottom w:w="0" w:type="dxa"/>
            <w:right w:w="108" w:type="dxa"/>
          </w:tblCellMar>
        </w:tblPrEx>
        <w:trPr>
          <w:trHeight w:val="205"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hint="default"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投资总概算（万元）</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5000</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环保投资总概算（万元）</w:t>
            </w:r>
          </w:p>
        </w:tc>
        <w:tc>
          <w:tcPr>
            <w:tcW w:w="2381"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40</w:t>
            </w:r>
          </w:p>
        </w:tc>
        <w:tc>
          <w:tcPr>
            <w:tcW w:w="177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所占比例（%）</w:t>
            </w:r>
          </w:p>
        </w:tc>
        <w:tc>
          <w:tcPr>
            <w:tcW w:w="2509"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0.8</w:t>
            </w:r>
          </w:p>
        </w:tc>
      </w:tr>
      <w:tr>
        <w:tblPrEx>
          <w:shd w:val="solid" w:color="FFFFFF" w:themeColor="background1" w:fill="FFFFFF" w:themeFill="background1"/>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hint="default"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实际总投资（万元）</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5000</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实际环保投资（万元）</w:t>
            </w:r>
          </w:p>
        </w:tc>
        <w:tc>
          <w:tcPr>
            <w:tcW w:w="2381"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60</w:t>
            </w:r>
          </w:p>
        </w:tc>
        <w:tc>
          <w:tcPr>
            <w:tcW w:w="177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所占比例（%）</w:t>
            </w:r>
          </w:p>
        </w:tc>
        <w:tc>
          <w:tcPr>
            <w:tcW w:w="2509"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1.2</w:t>
            </w:r>
          </w:p>
        </w:tc>
      </w:tr>
      <w:tr>
        <w:tblPrEx>
          <w:shd w:val="solid" w:color="FFFFFF" w:themeColor="background1" w:fill="FFFFFF" w:themeFill="background1"/>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hint="default"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废水治理（万元）</w:t>
            </w:r>
          </w:p>
        </w:tc>
        <w:tc>
          <w:tcPr>
            <w:tcW w:w="107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tabs>
                <w:tab w:val="left" w:pos="270"/>
                <w:tab w:val="center" w:pos="489"/>
              </w:tabs>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2</w:t>
            </w:r>
          </w:p>
        </w:tc>
        <w:tc>
          <w:tcPr>
            <w:tcW w:w="1077"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废气治理（万元）</w:t>
            </w:r>
          </w:p>
        </w:tc>
        <w:tc>
          <w:tcPr>
            <w:tcW w:w="867"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40</w:t>
            </w:r>
          </w:p>
        </w:tc>
        <w:tc>
          <w:tcPr>
            <w:tcW w:w="109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噪声治理（万元）</w:t>
            </w:r>
          </w:p>
        </w:tc>
        <w:tc>
          <w:tcPr>
            <w:tcW w:w="52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5</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固体废物治理（万元）</w:t>
            </w:r>
          </w:p>
        </w:tc>
        <w:tc>
          <w:tcPr>
            <w:tcW w:w="2381"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2</w:t>
            </w:r>
          </w:p>
        </w:tc>
        <w:tc>
          <w:tcPr>
            <w:tcW w:w="177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绿化及生态（万元）</w:t>
            </w:r>
          </w:p>
        </w:tc>
        <w:tc>
          <w:tcPr>
            <w:tcW w:w="56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1</w:t>
            </w:r>
          </w:p>
        </w:tc>
        <w:tc>
          <w:tcPr>
            <w:tcW w:w="96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其它（万元）</w:t>
            </w:r>
          </w:p>
        </w:tc>
        <w:tc>
          <w:tcPr>
            <w:tcW w:w="982"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10</w:t>
            </w:r>
          </w:p>
        </w:tc>
      </w:tr>
      <w:tr>
        <w:tblPrEx>
          <w:shd w:val="solid" w:color="FFFFFF" w:themeColor="background1" w:fill="FFFFFF" w:themeFill="background1"/>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hint="default"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新增废水处理设施能力</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新增废气处理设施能力</w:t>
            </w:r>
          </w:p>
        </w:tc>
        <w:tc>
          <w:tcPr>
            <w:tcW w:w="2381"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w:t>
            </w:r>
          </w:p>
        </w:tc>
        <w:tc>
          <w:tcPr>
            <w:tcW w:w="177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年平均工作时</w:t>
            </w:r>
          </w:p>
        </w:tc>
        <w:tc>
          <w:tcPr>
            <w:tcW w:w="2509"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7200</w:t>
            </w:r>
          </w:p>
        </w:tc>
      </w:tr>
      <w:tr>
        <w:tblPrEx>
          <w:shd w:val="solid" w:color="FFFFFF" w:themeColor="background1" w:fill="FFFFFF" w:themeFill="background1"/>
          <w:tblCellMar>
            <w:top w:w="0" w:type="dxa"/>
            <w:left w:w="108" w:type="dxa"/>
            <w:bottom w:w="0" w:type="dxa"/>
            <w:right w:w="108" w:type="dxa"/>
          </w:tblCellMar>
        </w:tblPrEx>
        <w:trPr>
          <w:trHeight w:val="249" w:hRule="atLeast"/>
          <w:jc w:val="center"/>
        </w:trPr>
        <w:tc>
          <w:tcPr>
            <w:tcW w:w="2716"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运营单位</w:t>
            </w:r>
          </w:p>
        </w:tc>
        <w:tc>
          <w:tcPr>
            <w:tcW w:w="2838" w:type="dxa"/>
            <w:gridSpan w:val="6"/>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福建优倍特模塑科技有限公司</w:t>
            </w:r>
          </w:p>
        </w:tc>
        <w:tc>
          <w:tcPr>
            <w:tcW w:w="3856" w:type="dxa"/>
            <w:gridSpan w:val="6"/>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运营单位社会统一信用代码（或组织机构代码）</w:t>
            </w:r>
          </w:p>
        </w:tc>
        <w:tc>
          <w:tcPr>
            <w:tcW w:w="2381"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FF"/>
                <w:sz w:val="18"/>
                <w:szCs w:val="18"/>
                <w:shd w:val="solid" w:color="FFFFFF" w:themeColor="background1" w:fill="FFFFFF" w:themeFill="background1"/>
                <w:lang w:eastAsia="zh-CN"/>
              </w:rPr>
            </w:pPr>
            <w:r>
              <w:rPr>
                <w:rFonts w:hint="default" w:ascii="Times New Roman" w:hAnsi="Times New Roman" w:eastAsia="宋体" w:cs="Times New Roman"/>
                <w:color w:val="000000" w:themeColor="text1"/>
                <w:sz w:val="18"/>
                <w:szCs w:val="18"/>
                <w:shd w:val="solid" w:color="FFFFFF" w:themeColor="background1" w:fill="FFFFFF" w:themeFill="background1"/>
                <w:lang w:eastAsia="zh-CN"/>
                <w14:textFill>
                  <w14:solidFill>
                    <w14:schemeClr w14:val="tx1"/>
                  </w14:solidFill>
                </w14:textFill>
              </w:rPr>
              <w:t>91350625MA8UR0E48T</w:t>
            </w:r>
          </w:p>
        </w:tc>
        <w:tc>
          <w:tcPr>
            <w:tcW w:w="177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验收时间</w:t>
            </w:r>
          </w:p>
        </w:tc>
        <w:tc>
          <w:tcPr>
            <w:tcW w:w="2509"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spacing w:line="280" w:lineRule="exact"/>
              <w:jc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2023.05.23</w:t>
            </w:r>
          </w:p>
        </w:tc>
      </w:tr>
      <w:tr>
        <w:tblPrEx>
          <w:shd w:val="solid" w:color="FFFFFF" w:themeColor="background1" w:fill="FFFFFF" w:themeFill="background1"/>
          <w:tblCellMar>
            <w:top w:w="0" w:type="dxa"/>
            <w:left w:w="108" w:type="dxa"/>
            <w:bottom w:w="0" w:type="dxa"/>
            <w:right w:w="108" w:type="dxa"/>
          </w:tblCellMar>
        </w:tblPrEx>
        <w:trPr>
          <w:trHeight w:val="992" w:hRule="atLeast"/>
          <w:jc w:val="center"/>
        </w:trPr>
        <w:tc>
          <w:tcPr>
            <w:tcW w:w="845" w:type="dxa"/>
            <w:gridSpan w:val="2"/>
            <w:vMerge w:val="restart"/>
            <w:tcBorders>
              <w:top w:val="single" w:color="000000" w:sz="4" w:space="0"/>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adjustRightInd/>
              <w:snapToGrid/>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污染</w:t>
            </w:r>
          </w:p>
          <w:p>
            <w:pPr>
              <w:shd w:val="solid" w:color="FFFFFF" w:themeColor="background1" w:fill="FFFFFF" w:themeFill="background1"/>
              <w:autoSpaceDN w:val="0"/>
              <w:adjustRightInd/>
              <w:snapToGrid/>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物排</w:t>
            </w:r>
          </w:p>
          <w:p>
            <w:pPr>
              <w:shd w:val="solid" w:color="FFFFFF" w:themeColor="background1" w:fill="FFFFFF" w:themeFill="background1"/>
              <w:autoSpaceDN w:val="0"/>
              <w:adjustRightInd/>
              <w:snapToGrid/>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放达</w:t>
            </w:r>
          </w:p>
          <w:p>
            <w:pPr>
              <w:shd w:val="solid" w:color="FFFFFF" w:themeColor="background1" w:fill="FFFFFF" w:themeFill="background1"/>
              <w:autoSpaceDN w:val="0"/>
              <w:adjustRightInd/>
              <w:snapToGrid/>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标与</w:t>
            </w:r>
          </w:p>
          <w:p>
            <w:pPr>
              <w:shd w:val="solid" w:color="FFFFFF" w:themeColor="background1" w:fill="FFFFFF" w:themeFill="background1"/>
              <w:autoSpaceDN w:val="0"/>
              <w:adjustRightInd/>
              <w:snapToGrid/>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总量</w:t>
            </w:r>
          </w:p>
          <w:p>
            <w:pPr>
              <w:shd w:val="solid" w:color="FFFFFF" w:themeColor="background1" w:fill="FFFFFF" w:themeFill="background1"/>
              <w:autoSpaceDN w:val="0"/>
              <w:adjustRightInd/>
              <w:snapToGrid/>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控制</w:t>
            </w:r>
          </w:p>
          <w:p>
            <w:pPr>
              <w:shd w:val="solid" w:color="FFFFFF" w:themeColor="background1" w:fill="FFFFFF" w:themeFill="background1"/>
              <w:autoSpaceDN w:val="0"/>
              <w:adjustRightInd/>
              <w:snapToGrid/>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（工</w:t>
            </w:r>
          </w:p>
          <w:p>
            <w:pPr>
              <w:shd w:val="solid" w:color="FFFFFF" w:themeColor="background1" w:fill="FFFFFF" w:themeFill="background1"/>
              <w:autoSpaceDN w:val="0"/>
              <w:adjustRightInd/>
              <w:snapToGrid/>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业建</w:t>
            </w:r>
          </w:p>
          <w:p>
            <w:pPr>
              <w:shd w:val="solid" w:color="FFFFFF" w:themeColor="background1" w:fill="FFFFFF" w:themeFill="background1"/>
              <w:autoSpaceDN w:val="0"/>
              <w:adjustRightInd/>
              <w:snapToGrid/>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设项</w:t>
            </w:r>
          </w:p>
          <w:p>
            <w:pPr>
              <w:shd w:val="solid" w:color="FFFFFF" w:themeColor="background1" w:fill="FFFFFF" w:themeFill="background1"/>
              <w:autoSpaceDN w:val="0"/>
              <w:adjustRightInd/>
              <w:snapToGrid/>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目详</w:t>
            </w:r>
          </w:p>
          <w:p>
            <w:pPr>
              <w:shd w:val="solid" w:color="FFFFFF" w:themeColor="background1" w:fill="FFFFFF" w:themeFill="background1"/>
              <w:autoSpaceDN w:val="0"/>
              <w:adjustRightInd/>
              <w:snapToGrid/>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填）</w:t>
            </w: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污染物</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原有排放量</w:t>
            </w:r>
          </w:p>
          <w:p>
            <w:pPr>
              <w:shd w:val="solid" w:color="FFFFFF" w:themeColor="background1" w:fill="FFFFFF" w:themeFill="background1"/>
              <w:autoSpaceDN w:val="0"/>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（1）</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本期工程实际排放浓度</w:t>
            </w:r>
          </w:p>
          <w:p>
            <w:pPr>
              <w:shd w:val="solid" w:color="FFFFFF" w:themeColor="background1" w:fill="FFFFFF" w:themeFill="background1"/>
              <w:autoSpaceDN w:val="0"/>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（2）</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本期工程允许排放浓度</w:t>
            </w:r>
          </w:p>
          <w:p>
            <w:pPr>
              <w:shd w:val="solid" w:color="FFFFFF" w:themeColor="background1" w:fill="FFFFFF" w:themeFill="background1"/>
              <w:autoSpaceDN w:val="0"/>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（3）</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本期工程产生量</w:t>
            </w:r>
          </w:p>
          <w:p>
            <w:pPr>
              <w:shd w:val="solid" w:color="FFFFFF" w:themeColor="background1" w:fill="FFFFFF" w:themeFill="background1"/>
              <w:autoSpaceDN w:val="0"/>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（4）</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本期工程自身削减量</w:t>
            </w:r>
          </w:p>
          <w:p>
            <w:pPr>
              <w:shd w:val="solid" w:color="FFFFFF" w:themeColor="background1" w:fill="FFFFFF" w:themeFill="background1"/>
              <w:autoSpaceDN w:val="0"/>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（5）</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本期工程实际排放量</w:t>
            </w:r>
          </w:p>
          <w:p>
            <w:pPr>
              <w:shd w:val="solid" w:color="FFFFFF" w:themeColor="background1" w:fill="FFFFFF" w:themeFill="background1"/>
              <w:autoSpaceDN w:val="0"/>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（6）</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本期工程核定排放总量</w:t>
            </w:r>
          </w:p>
          <w:p>
            <w:pPr>
              <w:shd w:val="solid" w:color="FFFFFF" w:themeColor="background1" w:fill="FFFFFF" w:themeFill="background1"/>
              <w:autoSpaceDN w:val="0"/>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（7）</w:t>
            </w:r>
          </w:p>
        </w:tc>
        <w:tc>
          <w:tcPr>
            <w:tcW w:w="2381"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本期工程“以新带老”削减量</w:t>
            </w:r>
          </w:p>
          <w:p>
            <w:pPr>
              <w:shd w:val="solid" w:color="FFFFFF" w:themeColor="background1" w:fill="FFFFFF" w:themeFill="background1"/>
              <w:autoSpaceDN w:val="0"/>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（8）</w:t>
            </w:r>
          </w:p>
        </w:tc>
        <w:tc>
          <w:tcPr>
            <w:tcW w:w="1016"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全厂实际排放总量</w:t>
            </w:r>
          </w:p>
          <w:p>
            <w:pPr>
              <w:shd w:val="solid" w:color="FFFFFF" w:themeColor="background1" w:fill="FFFFFF" w:themeFill="background1"/>
              <w:autoSpaceDN w:val="0"/>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（9）</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全厂核定排放总量</w:t>
            </w:r>
          </w:p>
          <w:p>
            <w:pPr>
              <w:shd w:val="solid" w:color="FFFFFF" w:themeColor="background1" w:fill="FFFFFF" w:themeFill="background1"/>
              <w:autoSpaceDN w:val="0"/>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（10）</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区域平衡替代削减量</w:t>
            </w:r>
          </w:p>
          <w:p>
            <w:pPr>
              <w:shd w:val="solid" w:color="FFFFFF" w:themeColor="background1" w:fill="FFFFFF" w:themeFill="background1"/>
              <w:autoSpaceDN w:val="0"/>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（11）</w:t>
            </w:r>
          </w:p>
        </w:tc>
        <w:tc>
          <w:tcPr>
            <w:tcW w:w="1289"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排放增</w:t>
            </w:r>
          </w:p>
          <w:p>
            <w:pPr>
              <w:shd w:val="solid" w:color="FFFFFF" w:themeColor="background1" w:fill="FFFFFF" w:themeFill="background1"/>
              <w:autoSpaceDN w:val="0"/>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减量</w:t>
            </w:r>
          </w:p>
          <w:p>
            <w:pPr>
              <w:shd w:val="solid" w:color="FFFFFF" w:themeColor="background1" w:fill="FFFFFF" w:themeFill="background1"/>
              <w:autoSpaceDN w:val="0"/>
              <w:spacing w:line="24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（12）</w:t>
            </w:r>
          </w:p>
        </w:tc>
      </w:tr>
      <w:tr>
        <w:tblPrEx>
          <w:shd w:val="solid" w:color="FFFFFF" w:themeColor="background1" w:fill="FFFFFF" w:themeFill="background1"/>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废水</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2381"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16"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89"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r>
      <w:tr>
        <w:tblPrEx>
          <w:shd w:val="solid" w:color="FFFFFF" w:themeColor="background1" w:fill="FFFFFF" w:themeFill="background1"/>
          <w:tblCellMar>
            <w:top w:w="0" w:type="dxa"/>
            <w:left w:w="108" w:type="dxa"/>
            <w:bottom w:w="0" w:type="dxa"/>
            <w:right w:w="108" w:type="dxa"/>
          </w:tblCellMar>
        </w:tblPrEx>
        <w:trPr>
          <w:trHeight w:val="315"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化学需氧量</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2381"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16"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89"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r>
      <w:tr>
        <w:tblPrEx>
          <w:shd w:val="solid" w:color="FFFFFF" w:themeColor="background1" w:fill="FFFFFF" w:themeFill="background1"/>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氨氮</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2381"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16"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89"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r>
      <w:tr>
        <w:tblPrEx>
          <w:shd w:val="solid" w:color="FFFFFF" w:themeColor="background1" w:fill="FFFFFF" w:themeFill="background1"/>
          <w:tblCellMar>
            <w:top w:w="0" w:type="dxa"/>
            <w:left w:w="108" w:type="dxa"/>
            <w:bottom w:w="0" w:type="dxa"/>
            <w:right w:w="108" w:type="dxa"/>
          </w:tblCellMar>
        </w:tblPrEx>
        <w:trPr>
          <w:trHeight w:val="278"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石油类</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2381"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16"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89"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废气</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2381"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16"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89"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颗粒物</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2381"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16"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89"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二氧化硫</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bidi="ar-SA"/>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bidi="ar-SA"/>
                <w14:textFill>
                  <w14:solidFill>
                    <w14:schemeClr w14:val="tx1"/>
                  </w14:solidFill>
                </w14:textFill>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2381"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16"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89"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r>
      <w:tr>
        <w:tblPrEx>
          <w:tblCellMar>
            <w:top w:w="0" w:type="dxa"/>
            <w:left w:w="108" w:type="dxa"/>
            <w:bottom w:w="0" w:type="dxa"/>
            <w:right w:w="108" w:type="dxa"/>
          </w:tblCellMar>
        </w:tblPrEx>
        <w:trPr>
          <w:trHeight w:val="245"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氮氧化物</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bidi="ar-SA"/>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bidi="ar-SA"/>
                <w14:textFill>
                  <w14:solidFill>
                    <w14:schemeClr w14:val="tx1"/>
                  </w14:solidFill>
                </w14:textFill>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2381"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16"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89"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r>
      <w:tr>
        <w:tblPrEx>
          <w:tblCellMar>
            <w:top w:w="0" w:type="dxa"/>
            <w:left w:w="108" w:type="dxa"/>
            <w:bottom w:w="0" w:type="dxa"/>
            <w:right w:w="108" w:type="dxa"/>
          </w:tblCellMar>
        </w:tblPrEx>
        <w:trPr>
          <w:trHeight w:val="93" w:hRule="atLeast"/>
          <w:jc w:val="center"/>
        </w:trPr>
        <w:tc>
          <w:tcPr>
            <w:tcW w:w="845" w:type="dxa"/>
            <w:gridSpan w:val="2"/>
            <w:vMerge w:val="continue"/>
            <w:tcBorders>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非甲烷总烃</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4.63</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100</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0.547</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0.99</w:t>
            </w:r>
          </w:p>
        </w:tc>
        <w:tc>
          <w:tcPr>
            <w:tcW w:w="2381"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016"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c>
          <w:tcPr>
            <w:tcW w:w="1289"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w:t>
            </w:r>
          </w:p>
        </w:tc>
      </w:tr>
    </w:tbl>
    <w:p>
      <w:pPr>
        <w:pStyle w:val="29"/>
        <w:rPr>
          <w:rFonts w:hint="default" w:ascii="Times New Roman" w:hAnsi="Times New Roman" w:eastAsia="宋体" w:cs="Times New Roman"/>
          <w:color w:val="000000" w:themeColor="text1"/>
          <w14:textFill>
            <w14:solidFill>
              <w14:schemeClr w14:val="tx1"/>
            </w14:solidFill>
          </w14:textFill>
        </w:rPr>
        <w:sectPr>
          <w:pgSz w:w="16838" w:h="11906" w:orient="landscape"/>
          <w:pgMar w:top="1701" w:right="1440" w:bottom="1440" w:left="1440" w:header="709" w:footer="709" w:gutter="0"/>
          <w:pgBorders>
            <w:top w:val="none" w:sz="0" w:space="0"/>
            <w:left w:val="none" w:sz="0" w:space="0"/>
            <w:bottom w:val="none" w:sz="0" w:space="0"/>
            <w:right w:val="none" w:sz="0" w:space="0"/>
          </w:pgBorders>
          <w:cols w:space="0" w:num="1"/>
          <w:docGrid w:linePitch="312" w:charSpace="0"/>
        </w:sectPr>
      </w:pPr>
      <w:r>
        <w:rPr>
          <w:rFonts w:hint="default" w:ascii="Times New Roman" w:hAnsi="Times New Roman" w:eastAsia="宋体" w:cs="Times New Roman"/>
          <w:color w:val="000000" w:themeColor="text1"/>
          <w:sz w:val="18"/>
          <w14:textFill>
            <w14:solidFill>
              <w14:schemeClr w14:val="tx1"/>
            </w14:solidFill>
          </w14:textFill>
        </w:rPr>
        <w:t>注：1、排放增减量：（+）表示增加，（-）表示减少。2、(12)=(6)-(8)-(11)，（9）=(4)-(5)-(8)-(11)+（1）。3、计量单位：废水排放量——万吨/年；废气排放量——万标立方米/年；工业固体废物排放量——万吨/年；水污染物排放浓度——毫克/升；大气污染物排放浓度——毫克/立方米；水污染排放量——吨/年；大气污染物排放量——吨/年附图</w:t>
      </w:r>
    </w:p>
    <w:p>
      <w:pPr>
        <w:pStyle w:val="2"/>
        <w:ind w:firstLine="0"/>
        <w:jc w:val="both"/>
        <w:outlineLvl w:val="1"/>
        <w:rPr>
          <w:rFonts w:hint="default" w:ascii="Times New Roman" w:hAnsi="Times New Roman" w:eastAsia="宋体" w:cs="Times New Roman"/>
          <w:b/>
          <w:bCs/>
          <w:color w:val="000000" w:themeColor="text1"/>
          <w:sz w:val="28"/>
          <w:szCs w:val="24"/>
          <w14:textFill>
            <w14:solidFill>
              <w14:schemeClr w14:val="tx1"/>
            </w14:solidFill>
          </w14:textFill>
        </w:rPr>
      </w:pPr>
      <w:r>
        <w:rPr>
          <w:rFonts w:hint="default" w:ascii="Times New Roman" w:hAnsi="Times New Roman" w:eastAsia="宋体" w:cs="Times New Roman"/>
          <w:b/>
          <w:bCs/>
          <w:color w:val="000000" w:themeColor="text1"/>
          <w:sz w:val="28"/>
          <w:szCs w:val="24"/>
          <w14:textFill>
            <w14:solidFill>
              <w14:schemeClr w14:val="tx1"/>
            </w14:solidFill>
          </w14:textFill>
        </w:rPr>
        <w:t>附图1：项目地理位置图</w:t>
      </w:r>
    </w:p>
    <w:p>
      <w:pPr>
        <w:pStyle w:val="2"/>
        <w:ind w:firstLine="0"/>
        <w:jc w:val="both"/>
        <w:outlineLvl w:val="1"/>
        <w:rPr>
          <w:rFonts w:hint="default" w:ascii="Times New Roman" w:hAnsi="Times New Roman" w:eastAsia="宋体" w:cs="Times New Roman"/>
          <w:color w:val="0000FF"/>
          <w:sz w:val="28"/>
          <w:szCs w:val="24"/>
        </w:rPr>
      </w:pPr>
    </w:p>
    <w:p>
      <w:pPr>
        <w:pStyle w:val="2"/>
        <w:ind w:firstLine="0"/>
        <w:jc w:val="center"/>
        <w:rPr>
          <w:rFonts w:hint="default" w:ascii="Times New Roman" w:hAnsi="Times New Roman" w:eastAsia="宋体" w:cs="Times New Roman"/>
          <w:color w:val="0000FF"/>
        </w:rPr>
        <w:sectPr>
          <w:headerReference r:id="rId7" w:type="default"/>
          <w:footerReference r:id="rId8" w:type="default"/>
          <w:pgSz w:w="16838" w:h="11906" w:orient="landscape"/>
          <w:pgMar w:top="1701" w:right="1440" w:bottom="1440" w:left="1440" w:header="709" w:footer="709" w:gutter="0"/>
          <w:pgBorders>
            <w:top w:val="none" w:sz="0" w:space="0"/>
            <w:left w:val="none" w:sz="0" w:space="0"/>
            <w:bottom w:val="none" w:sz="0" w:space="0"/>
            <w:right w:val="none" w:sz="0" w:space="0"/>
          </w:pgBorders>
          <w:cols w:space="0" w:num="1"/>
          <w:docGrid w:linePitch="312" w:charSpace="0"/>
        </w:sectPr>
      </w:pPr>
      <w:r>
        <w:rPr>
          <w:rFonts w:hint="default" w:ascii="Times New Roman" w:hAnsi="Times New Roman" w:eastAsia="宋体" w:cs="Times New Roman"/>
        </w:rPr>
        <w:drawing>
          <wp:inline distT="0" distB="0" distL="114300" distR="114300">
            <wp:extent cx="7448550" cy="4981575"/>
            <wp:effectExtent l="0" t="0" r="0" b="9525"/>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15"/>
                    <a:stretch>
                      <a:fillRect/>
                    </a:stretch>
                  </pic:blipFill>
                  <pic:spPr>
                    <a:xfrm>
                      <a:off x="0" y="0"/>
                      <a:ext cx="7448550" cy="4981575"/>
                    </a:xfrm>
                    <a:prstGeom prst="rect">
                      <a:avLst/>
                    </a:prstGeom>
                    <a:noFill/>
                    <a:ln>
                      <a:noFill/>
                    </a:ln>
                  </pic:spPr>
                </pic:pic>
              </a:graphicData>
            </a:graphic>
          </wp:inline>
        </w:drawing>
      </w:r>
    </w:p>
    <w:p>
      <w:pPr>
        <w:pStyle w:val="2"/>
        <w:ind w:firstLine="0"/>
        <w:jc w:val="both"/>
        <w:outlineLvl w:val="1"/>
        <w:rPr>
          <w:rFonts w:hint="default" w:ascii="Times New Roman" w:hAnsi="Times New Roman" w:eastAsia="宋体" w:cs="Times New Roman"/>
          <w:b/>
          <w:bCs/>
          <w:color w:val="000000" w:themeColor="text1"/>
          <w:sz w:val="28"/>
          <w:szCs w:val="24"/>
          <w14:textFill>
            <w14:solidFill>
              <w14:schemeClr w14:val="tx1"/>
            </w14:solidFill>
          </w14:textFill>
        </w:rPr>
      </w:pPr>
      <w:r>
        <w:rPr>
          <w:rFonts w:hint="default" w:ascii="Times New Roman" w:hAnsi="Times New Roman" w:eastAsia="宋体" w:cs="Times New Roman"/>
          <w:b/>
          <w:bCs/>
          <w:color w:val="000000" w:themeColor="text1"/>
          <w:sz w:val="28"/>
          <w:szCs w:val="24"/>
          <w14:textFill>
            <w14:solidFill>
              <w14:schemeClr w14:val="tx1"/>
            </w14:solidFill>
          </w14:textFill>
        </w:rPr>
        <w:t>附图2项目周边环境示意图</w:t>
      </w:r>
    </w:p>
    <w:p>
      <w:pPr>
        <w:pStyle w:val="2"/>
        <w:ind w:firstLine="0"/>
        <w:jc w:val="center"/>
        <w:rPr>
          <w:rFonts w:hint="default" w:ascii="Times New Roman" w:hAnsi="Times New Roman" w:eastAsia="宋体" w:cs="Times New Roman"/>
        </w:rPr>
      </w:pPr>
    </w:p>
    <w:p>
      <w:pPr>
        <w:pStyle w:val="2"/>
        <w:ind w:firstLine="0"/>
        <w:jc w:val="center"/>
        <w:rPr>
          <w:rFonts w:hint="default" w:ascii="Times New Roman" w:hAnsi="Times New Roman" w:eastAsia="宋体" w:cs="Times New Roman"/>
        </w:rPr>
        <w:sectPr>
          <w:pgSz w:w="16838" w:h="11906" w:orient="landscape"/>
          <w:pgMar w:top="1417" w:right="1440" w:bottom="1440" w:left="1440" w:header="709" w:footer="709" w:gutter="0"/>
          <w:pgBorders>
            <w:top w:val="none" w:sz="0" w:space="0"/>
            <w:left w:val="none" w:sz="0" w:space="0"/>
            <w:bottom w:val="none" w:sz="0" w:space="0"/>
            <w:right w:val="none" w:sz="0" w:space="0"/>
          </w:pgBorders>
          <w:cols w:space="0" w:num="1"/>
          <w:docGrid w:linePitch="312" w:charSpace="0"/>
        </w:sectPr>
      </w:pPr>
      <w:r>
        <w:rPr>
          <w:rFonts w:hint="default" w:ascii="Times New Roman" w:hAnsi="Times New Roman" w:eastAsia="宋体" w:cs="Times New Roman"/>
        </w:rPr>
        <w:drawing>
          <wp:inline distT="0" distB="0" distL="114300" distR="114300">
            <wp:extent cx="8086725" cy="4114800"/>
            <wp:effectExtent l="0" t="0" r="9525" b="0"/>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16"/>
                    <a:stretch>
                      <a:fillRect/>
                    </a:stretch>
                  </pic:blipFill>
                  <pic:spPr>
                    <a:xfrm>
                      <a:off x="0" y="0"/>
                      <a:ext cx="8086725" cy="4114800"/>
                    </a:xfrm>
                    <a:prstGeom prst="rect">
                      <a:avLst/>
                    </a:prstGeom>
                    <a:noFill/>
                    <a:ln>
                      <a:noFill/>
                    </a:ln>
                  </pic:spPr>
                </pic:pic>
              </a:graphicData>
            </a:graphic>
          </wp:inline>
        </w:drawing>
      </w:r>
    </w:p>
    <w:p>
      <w:pPr>
        <w:pStyle w:val="2"/>
        <w:ind w:firstLine="0"/>
        <w:jc w:val="both"/>
        <w:rPr>
          <w:rFonts w:hint="default" w:ascii="Times New Roman" w:hAnsi="Times New Roman" w:eastAsia="宋体" w:cs="Times New Roman"/>
          <w:b/>
          <w:bCs/>
          <w:color w:val="000000" w:themeColor="text1"/>
          <w:sz w:val="28"/>
          <w:szCs w:val="24"/>
          <w14:textFill>
            <w14:solidFill>
              <w14:schemeClr w14:val="tx1"/>
            </w14:solidFill>
          </w14:textFill>
        </w:rPr>
      </w:pPr>
      <w:r>
        <w:rPr>
          <w:rFonts w:hint="default" w:ascii="Times New Roman" w:hAnsi="Times New Roman" w:eastAsia="宋体" w:cs="Times New Roman"/>
          <w:b/>
          <w:bCs/>
          <w:color w:val="000000" w:themeColor="text1"/>
          <w:sz w:val="28"/>
          <w:szCs w:val="24"/>
          <w14:textFill>
            <w14:solidFill>
              <w14:schemeClr w14:val="tx1"/>
            </w14:solidFill>
          </w14:textFill>
        </w:rPr>
        <w:t>附图3：</w:t>
      </w:r>
      <w:r>
        <w:rPr>
          <w:rFonts w:hint="default" w:ascii="Times New Roman" w:hAnsi="Times New Roman" w:eastAsia="宋体" w:cs="Times New Roman"/>
          <w:b/>
          <w:bCs/>
          <w:color w:val="000000" w:themeColor="text1"/>
          <w:sz w:val="28"/>
          <w:szCs w:val="24"/>
          <w:lang w:val="en-US" w:eastAsia="zh-CN"/>
          <w14:textFill>
            <w14:solidFill>
              <w14:schemeClr w14:val="tx1"/>
            </w14:solidFill>
          </w14:textFill>
        </w:rPr>
        <w:t>项目</w:t>
      </w:r>
      <w:r>
        <w:rPr>
          <w:rFonts w:hint="default" w:ascii="Times New Roman" w:hAnsi="Times New Roman" w:eastAsia="宋体" w:cs="Times New Roman"/>
          <w:b/>
          <w:bCs/>
          <w:color w:val="000000" w:themeColor="text1"/>
          <w:sz w:val="28"/>
          <w:szCs w:val="24"/>
          <w:lang w:eastAsia="zh-CN"/>
          <w14:textFill>
            <w14:solidFill>
              <w14:schemeClr w14:val="tx1"/>
            </w14:solidFill>
          </w14:textFill>
        </w:rPr>
        <w:t>平</w:t>
      </w:r>
      <w:r>
        <w:rPr>
          <w:rFonts w:hint="default" w:ascii="Times New Roman" w:hAnsi="Times New Roman" w:eastAsia="宋体" w:cs="Times New Roman"/>
          <w:b/>
          <w:bCs/>
          <w:color w:val="000000" w:themeColor="text1"/>
          <w:sz w:val="28"/>
          <w:szCs w:val="24"/>
          <w14:textFill>
            <w14:solidFill>
              <w14:schemeClr w14:val="tx1"/>
            </w14:solidFill>
          </w14:textFill>
        </w:rPr>
        <w:t>布置图</w:t>
      </w:r>
    </w:p>
    <w:p>
      <w:pPr>
        <w:pStyle w:val="2"/>
        <w:ind w:firstLine="0"/>
        <w:jc w:val="both"/>
        <w:rPr>
          <w:rFonts w:hint="default" w:ascii="Times New Roman" w:hAnsi="Times New Roman" w:eastAsia="宋体" w:cs="Times New Roman"/>
        </w:rPr>
      </w:pPr>
    </w:p>
    <w:p>
      <w:pPr>
        <w:pStyle w:val="2"/>
        <w:ind w:firstLine="0"/>
        <w:jc w:val="center"/>
        <w:rPr>
          <w:rFonts w:hint="default" w:ascii="Times New Roman" w:hAnsi="Times New Roman" w:eastAsia="宋体" w:cs="Times New Roman"/>
          <w:b/>
          <w:bCs/>
        </w:rPr>
        <w:sectPr>
          <w:pgSz w:w="16838" w:h="11906" w:orient="landscape"/>
          <w:pgMar w:top="1417" w:right="1440" w:bottom="1440" w:left="1440" w:header="709" w:footer="709" w:gutter="0"/>
          <w:pgBorders>
            <w:top w:val="none" w:sz="0" w:space="0"/>
            <w:left w:val="none" w:sz="0" w:space="0"/>
            <w:bottom w:val="none" w:sz="0" w:space="0"/>
            <w:right w:val="none" w:sz="0" w:space="0"/>
          </w:pgBorders>
          <w:cols w:space="0" w:num="1"/>
          <w:docGrid w:linePitch="312" w:charSpace="0"/>
        </w:sectPr>
      </w:pPr>
      <w:r>
        <w:drawing>
          <wp:inline distT="0" distB="0" distL="114300" distR="114300">
            <wp:extent cx="7020560" cy="5108575"/>
            <wp:effectExtent l="0" t="0" r="8890" b="15875"/>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17"/>
                    <a:stretch>
                      <a:fillRect/>
                    </a:stretch>
                  </pic:blipFill>
                  <pic:spPr>
                    <a:xfrm>
                      <a:off x="0" y="0"/>
                      <a:ext cx="7020560" cy="5108575"/>
                    </a:xfrm>
                    <a:prstGeom prst="rect">
                      <a:avLst/>
                    </a:prstGeom>
                    <a:noFill/>
                    <a:ln>
                      <a:noFill/>
                    </a:ln>
                  </pic:spPr>
                </pic:pic>
              </a:graphicData>
            </a:graphic>
          </wp:inline>
        </w:drawing>
      </w:r>
    </w:p>
    <w:p>
      <w:pPr>
        <w:pStyle w:val="2"/>
        <w:ind w:firstLine="0"/>
        <w:jc w:val="both"/>
        <w:outlineLvl w:val="1"/>
        <w:rPr>
          <w:rFonts w:hint="default" w:ascii="Times New Roman" w:hAnsi="Times New Roman" w:eastAsia="宋体" w:cs="Times New Roman"/>
          <w:b/>
          <w:bCs/>
          <w:color w:val="000000" w:themeColor="text1"/>
          <w:sz w:val="28"/>
          <w:szCs w:val="24"/>
          <w:lang w:val="en-US" w:eastAsia="zh-CN"/>
          <w14:textFill>
            <w14:solidFill>
              <w14:schemeClr w14:val="tx1"/>
            </w14:solidFill>
          </w14:textFill>
        </w:rPr>
      </w:pPr>
      <w:r>
        <w:rPr>
          <w:rFonts w:hint="default" w:ascii="Times New Roman" w:hAnsi="Times New Roman" w:eastAsia="宋体" w:cs="Times New Roman"/>
          <w:b/>
          <w:bCs/>
          <w:color w:val="000000" w:themeColor="text1"/>
          <w:sz w:val="28"/>
          <w:szCs w:val="24"/>
          <w14:textFill>
            <w14:solidFill>
              <w14:schemeClr w14:val="tx1"/>
            </w14:solidFill>
          </w14:textFill>
        </w:rPr>
        <w:t>附件</w:t>
      </w:r>
      <w:r>
        <w:rPr>
          <w:rFonts w:hint="default" w:ascii="Times New Roman" w:hAnsi="Times New Roman" w:eastAsia="宋体" w:cs="Times New Roman"/>
          <w:b/>
          <w:bCs/>
          <w:color w:val="000000" w:themeColor="text1"/>
          <w:sz w:val="28"/>
          <w:szCs w:val="24"/>
          <w:lang w:val="en-US" w:eastAsia="zh-CN"/>
          <w14:textFill>
            <w14:solidFill>
              <w14:schemeClr w14:val="tx1"/>
            </w14:solidFill>
          </w14:textFill>
        </w:rPr>
        <w:t>1</w:t>
      </w:r>
      <w:r>
        <w:rPr>
          <w:rFonts w:hint="default" w:ascii="Times New Roman" w:hAnsi="Times New Roman" w:eastAsia="宋体" w:cs="Times New Roman"/>
          <w:b/>
          <w:bCs/>
          <w:color w:val="000000" w:themeColor="text1"/>
          <w:sz w:val="28"/>
          <w:szCs w:val="24"/>
          <w14:textFill>
            <w14:solidFill>
              <w14:schemeClr w14:val="tx1"/>
            </w14:solidFill>
          </w14:textFill>
        </w:rPr>
        <w:t>：</w:t>
      </w:r>
      <w:r>
        <w:rPr>
          <w:rFonts w:hint="default" w:ascii="Times New Roman" w:hAnsi="Times New Roman" w:eastAsia="宋体" w:cs="Times New Roman"/>
          <w:b/>
          <w:bCs/>
          <w:color w:val="000000" w:themeColor="text1"/>
          <w:sz w:val="28"/>
          <w:szCs w:val="24"/>
          <w:lang w:val="en-US" w:eastAsia="zh-CN"/>
          <w14:textFill>
            <w14:solidFill>
              <w14:schemeClr w14:val="tx1"/>
            </w14:solidFill>
          </w14:textFill>
        </w:rPr>
        <w:t>营业执照</w:t>
      </w:r>
    </w:p>
    <w:p>
      <w:pPr>
        <w:pStyle w:val="2"/>
        <w:ind w:firstLine="0"/>
        <w:jc w:val="center"/>
        <w:outlineLvl w:val="1"/>
        <w:rPr>
          <w:rFonts w:hint="default" w:ascii="Times New Roman" w:hAnsi="Times New Roman" w:eastAsia="宋体" w:cs="Times New Roman"/>
          <w:b/>
          <w:bCs/>
          <w:color w:val="000000" w:themeColor="text1"/>
          <w:sz w:val="28"/>
          <w:szCs w:val="24"/>
          <w:lang w:val="en-US" w:eastAsia="zh-CN"/>
          <w14:textFill>
            <w14:solidFill>
              <w14:schemeClr w14:val="tx1"/>
            </w14:solidFill>
          </w14:textFill>
        </w:rPr>
      </w:pPr>
      <w:r>
        <w:rPr>
          <w:rFonts w:hint="default" w:ascii="Times New Roman" w:hAnsi="Times New Roman" w:eastAsia="宋体" w:cs="Times New Roman"/>
          <w:b/>
          <w:color w:val="000000"/>
          <w:sz w:val="24"/>
        </w:rPr>
        <w:drawing>
          <wp:inline distT="0" distB="0" distL="114300" distR="114300">
            <wp:extent cx="6732270" cy="4533900"/>
            <wp:effectExtent l="0" t="0" r="11430" b="0"/>
            <wp:docPr id="33" name="图片 6" descr="8aa7b1cae54eebd2359015afac8ef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 descr="8aa7b1cae54eebd2359015afac8ef2c"/>
                    <pic:cNvPicPr>
                      <a:picLocks noChangeAspect="1"/>
                    </pic:cNvPicPr>
                  </pic:nvPicPr>
                  <pic:blipFill>
                    <a:blip r:embed="rId18"/>
                    <a:srcRect l="4098" r="5328"/>
                    <a:stretch>
                      <a:fillRect/>
                    </a:stretch>
                  </pic:blipFill>
                  <pic:spPr>
                    <a:xfrm>
                      <a:off x="0" y="0"/>
                      <a:ext cx="6732270" cy="4533900"/>
                    </a:xfrm>
                    <a:prstGeom prst="rect">
                      <a:avLst/>
                    </a:prstGeom>
                    <a:noFill/>
                    <a:ln>
                      <a:noFill/>
                    </a:ln>
                  </pic:spPr>
                </pic:pic>
              </a:graphicData>
            </a:graphic>
          </wp:inline>
        </w:drawing>
      </w:r>
    </w:p>
    <w:p>
      <w:pPr>
        <w:pStyle w:val="2"/>
        <w:ind w:firstLine="0"/>
        <w:jc w:val="both"/>
        <w:outlineLvl w:val="1"/>
        <w:rPr>
          <w:rFonts w:hint="default" w:ascii="Times New Roman" w:hAnsi="Times New Roman" w:eastAsia="宋体" w:cs="Times New Roman"/>
          <w:lang w:eastAsia="zh-CN"/>
        </w:rPr>
      </w:pPr>
    </w:p>
    <w:p>
      <w:pPr>
        <w:pStyle w:val="2"/>
        <w:ind w:firstLine="0"/>
        <w:jc w:val="both"/>
        <w:outlineLvl w:val="1"/>
        <w:rPr>
          <w:rFonts w:hint="default" w:ascii="Times New Roman" w:hAnsi="Times New Roman" w:eastAsia="宋体" w:cs="Times New Roman"/>
          <w:lang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720" w:num="1"/>
          <w:titlePg/>
          <w:docGrid w:type="lines" w:linePitch="312" w:charSpace="0"/>
        </w:sectPr>
      </w:pPr>
    </w:p>
    <w:p>
      <w:pPr>
        <w:pStyle w:val="2"/>
        <w:ind w:firstLine="0"/>
        <w:jc w:val="both"/>
        <w:outlineLvl w:val="1"/>
        <w:rPr>
          <w:rFonts w:hint="default" w:ascii="Times New Roman" w:hAnsi="Times New Roman" w:eastAsia="宋体" w:cs="Times New Roman"/>
          <w:lang w:eastAsia="zh-CN"/>
        </w:rPr>
      </w:pPr>
    </w:p>
    <w:p>
      <w:pPr>
        <w:pStyle w:val="2"/>
        <w:ind w:firstLine="281" w:firstLineChars="100"/>
        <w:jc w:val="both"/>
        <w:rPr>
          <w:rFonts w:hint="default" w:ascii="Times New Roman" w:hAnsi="Times New Roman" w:eastAsia="宋体" w:cs="Times New Roman"/>
          <w:b/>
          <w:bCs/>
          <w:color w:val="000000" w:themeColor="text1"/>
          <w:sz w:val="28"/>
          <w:lang w:val="en-US" w:eastAsia="zh-CN"/>
          <w14:textFill>
            <w14:solidFill>
              <w14:schemeClr w14:val="tx1"/>
            </w14:solidFill>
          </w14:textFill>
        </w:rPr>
      </w:pPr>
      <w:r>
        <w:rPr>
          <w:rFonts w:hint="default" w:ascii="Times New Roman" w:hAnsi="Times New Roman" w:eastAsia="宋体" w:cs="Times New Roman"/>
          <w:b/>
          <w:bCs/>
          <w:color w:val="000000" w:themeColor="text1"/>
          <w:sz w:val="28"/>
          <w:lang w:val="en-US" w:eastAsia="zh-CN"/>
          <w14:textFill>
            <w14:solidFill>
              <w14:schemeClr w14:val="tx1"/>
            </w14:solidFill>
          </w14:textFill>
        </w:rPr>
        <w:t>附件2：本项目环评批复</w:t>
      </w:r>
    </w:p>
    <w:p>
      <w:pPr>
        <w:pStyle w:val="2"/>
        <w:ind w:firstLine="0"/>
        <w:jc w:val="both"/>
        <w:rPr>
          <w:rFonts w:hint="default" w:ascii="Times New Roman" w:hAnsi="Times New Roman" w:eastAsia="宋体" w:cs="Times New Roman"/>
        </w:rPr>
      </w:pPr>
    </w:p>
    <w:p>
      <w:pPr>
        <w:pStyle w:val="2"/>
        <w:ind w:firstLine="0"/>
        <w:jc w:val="both"/>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5268595" cy="7329170"/>
            <wp:effectExtent l="0" t="0" r="8255" b="5080"/>
            <wp:docPr id="2" name="图片 2" descr="8b8e61cd79ec8ccbce51783d3fde0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8b8e61cd79ec8ccbce51783d3fde04d"/>
                    <pic:cNvPicPr>
                      <a:picLocks noChangeAspect="1"/>
                    </pic:cNvPicPr>
                  </pic:nvPicPr>
                  <pic:blipFill>
                    <a:blip r:embed="rId19"/>
                    <a:stretch>
                      <a:fillRect/>
                    </a:stretch>
                  </pic:blipFill>
                  <pic:spPr>
                    <a:xfrm>
                      <a:off x="0" y="0"/>
                      <a:ext cx="5268595" cy="7329170"/>
                    </a:xfrm>
                    <a:prstGeom prst="rect">
                      <a:avLst/>
                    </a:prstGeom>
                  </pic:spPr>
                </pic:pic>
              </a:graphicData>
            </a:graphic>
          </wp:inline>
        </w:drawing>
      </w:r>
    </w:p>
    <w:p>
      <w:pPr>
        <w:pStyle w:val="2"/>
        <w:ind w:firstLine="0"/>
        <w:jc w:val="both"/>
        <w:rPr>
          <w:rFonts w:hint="default" w:ascii="Times New Roman" w:hAnsi="Times New Roman" w:eastAsia="宋体" w:cs="Times New Roman"/>
        </w:rPr>
      </w:pPr>
    </w:p>
    <w:p>
      <w:pPr>
        <w:pStyle w:val="2"/>
        <w:ind w:firstLine="0"/>
        <w:jc w:val="both"/>
        <w:rPr>
          <w:rFonts w:hint="default" w:ascii="Times New Roman" w:hAnsi="Times New Roman" w:eastAsia="宋体" w:cs="Times New Roman"/>
        </w:rPr>
      </w:pPr>
    </w:p>
    <w:p>
      <w:pPr>
        <w:pStyle w:val="2"/>
        <w:ind w:firstLine="0"/>
        <w:jc w:val="both"/>
        <w:rPr>
          <w:rFonts w:hint="default" w:ascii="Times New Roman" w:hAnsi="Times New Roman" w:eastAsia="宋体" w:cs="Times New Roman"/>
        </w:rPr>
      </w:pPr>
    </w:p>
    <w:p>
      <w:pPr>
        <w:pStyle w:val="2"/>
        <w:ind w:firstLine="0"/>
        <w:jc w:val="both"/>
        <w:rPr>
          <w:rFonts w:hint="default" w:ascii="Times New Roman" w:hAnsi="Times New Roman" w:eastAsia="宋体" w:cs="Times New Roman"/>
        </w:rPr>
      </w:pPr>
    </w:p>
    <w:p>
      <w:pPr>
        <w:pStyle w:val="2"/>
        <w:ind w:firstLine="0"/>
        <w:jc w:val="both"/>
        <w:rPr>
          <w:rFonts w:hint="default" w:ascii="Times New Roman" w:hAnsi="Times New Roman" w:eastAsia="宋体" w:cs="Times New Roman"/>
        </w:rPr>
      </w:pPr>
    </w:p>
    <w:p>
      <w:pPr>
        <w:pStyle w:val="2"/>
        <w:ind w:firstLine="0"/>
        <w:jc w:val="both"/>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5266690" cy="7823835"/>
            <wp:effectExtent l="0" t="0" r="10160" b="5715"/>
            <wp:docPr id="3" name="图片 3" descr="30f65b3fceae93e51021133ab026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30f65b3fceae93e51021133ab026072"/>
                    <pic:cNvPicPr>
                      <a:picLocks noChangeAspect="1"/>
                    </pic:cNvPicPr>
                  </pic:nvPicPr>
                  <pic:blipFill>
                    <a:blip r:embed="rId20"/>
                    <a:stretch>
                      <a:fillRect/>
                    </a:stretch>
                  </pic:blipFill>
                  <pic:spPr>
                    <a:xfrm>
                      <a:off x="0" y="0"/>
                      <a:ext cx="5266690" cy="7823835"/>
                    </a:xfrm>
                    <a:prstGeom prst="rect">
                      <a:avLst/>
                    </a:prstGeom>
                  </pic:spPr>
                </pic:pic>
              </a:graphicData>
            </a:graphic>
          </wp:inline>
        </w:drawing>
      </w:r>
    </w:p>
    <w:p>
      <w:pPr>
        <w:pStyle w:val="2"/>
        <w:ind w:firstLine="0"/>
        <w:jc w:val="both"/>
        <w:rPr>
          <w:rFonts w:hint="default" w:ascii="Times New Roman" w:hAnsi="Times New Roman" w:eastAsia="宋体" w:cs="Times New Roman"/>
        </w:rPr>
      </w:pPr>
    </w:p>
    <w:p>
      <w:pPr>
        <w:pStyle w:val="2"/>
        <w:ind w:firstLine="0"/>
        <w:jc w:val="both"/>
        <w:rPr>
          <w:rFonts w:hint="default" w:ascii="Times New Roman" w:hAnsi="Times New Roman" w:eastAsia="宋体" w:cs="Times New Roman"/>
        </w:rPr>
      </w:pPr>
    </w:p>
    <w:p>
      <w:pPr>
        <w:pStyle w:val="2"/>
        <w:ind w:firstLine="0"/>
        <w:jc w:val="both"/>
        <w:rPr>
          <w:rFonts w:hint="default" w:ascii="Times New Roman" w:hAnsi="Times New Roman" w:eastAsia="宋体" w:cs="Times New Roman"/>
        </w:rPr>
      </w:pPr>
    </w:p>
    <w:p>
      <w:pPr>
        <w:pStyle w:val="2"/>
        <w:ind w:firstLine="0"/>
        <w:jc w:val="both"/>
        <w:rPr>
          <w:rFonts w:hint="default" w:ascii="Times New Roman" w:hAnsi="Times New Roman" w:eastAsia="宋体" w:cs="Times New Roman"/>
        </w:rPr>
      </w:pPr>
    </w:p>
    <w:p>
      <w:pPr>
        <w:jc w:val="both"/>
        <w:rPr>
          <w:rFonts w:hint="default" w:ascii="Times New Roman" w:hAnsi="Times New Roman" w:eastAsia="宋体" w:cs="Times New Roman"/>
          <w:b/>
          <w:color w:val="0000FF"/>
          <w:sz w:val="24"/>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720" w:num="1"/>
          <w:titlePg/>
          <w:docGrid w:type="lines" w:linePitch="312" w:charSpace="0"/>
        </w:sectPr>
      </w:pPr>
      <w:r>
        <w:rPr>
          <w:rFonts w:hint="default" w:ascii="Times New Roman" w:hAnsi="Times New Roman" w:eastAsia="宋体" w:cs="Times New Roman"/>
          <w:b/>
          <w:color w:val="0000FF"/>
          <w:sz w:val="24"/>
          <w:lang w:eastAsia="zh-CN"/>
        </w:rPr>
        <w:drawing>
          <wp:inline distT="0" distB="0" distL="114300" distR="114300">
            <wp:extent cx="5257800" cy="8286750"/>
            <wp:effectExtent l="0" t="0" r="0" b="0"/>
            <wp:docPr id="4" name="图片 4" descr="fa240f1078a7d6f08e8965295623a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a240f1078a7d6f08e8965295623a5e"/>
                    <pic:cNvPicPr>
                      <a:picLocks noChangeAspect="1"/>
                    </pic:cNvPicPr>
                  </pic:nvPicPr>
                  <pic:blipFill>
                    <a:blip r:embed="rId21"/>
                    <a:stretch>
                      <a:fillRect/>
                    </a:stretch>
                  </pic:blipFill>
                  <pic:spPr>
                    <a:xfrm>
                      <a:off x="0" y="0"/>
                      <a:ext cx="5257800" cy="8286750"/>
                    </a:xfrm>
                    <a:prstGeom prst="rect">
                      <a:avLst/>
                    </a:prstGeom>
                  </pic:spPr>
                </pic:pic>
              </a:graphicData>
            </a:graphic>
          </wp:inline>
        </w:drawing>
      </w:r>
      <w:r>
        <w:rPr>
          <w:rFonts w:hint="default" w:ascii="Times New Roman" w:hAnsi="Times New Roman" w:eastAsia="宋体" w:cs="Times New Roman"/>
          <w:b/>
          <w:color w:val="0000FF"/>
          <w:sz w:val="24"/>
          <w:lang w:eastAsia="zh-CN"/>
        </w:rPr>
        <w:drawing>
          <wp:inline distT="0" distB="0" distL="114300" distR="114300">
            <wp:extent cx="5257800" cy="7592060"/>
            <wp:effectExtent l="0" t="0" r="0" b="8890"/>
            <wp:docPr id="5" name="图片 5" descr="be74e6c4dc4b46a12af8f4d88766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be74e6c4dc4b46a12af8f4d88766009"/>
                    <pic:cNvPicPr>
                      <a:picLocks noChangeAspect="1"/>
                    </pic:cNvPicPr>
                  </pic:nvPicPr>
                  <pic:blipFill>
                    <a:blip r:embed="rId22"/>
                    <a:stretch>
                      <a:fillRect/>
                    </a:stretch>
                  </pic:blipFill>
                  <pic:spPr>
                    <a:xfrm>
                      <a:off x="0" y="0"/>
                      <a:ext cx="5257800" cy="7592060"/>
                    </a:xfrm>
                    <a:prstGeom prst="rect">
                      <a:avLst/>
                    </a:prstGeom>
                  </pic:spPr>
                </pic:pic>
              </a:graphicData>
            </a:graphic>
          </wp:inline>
        </w:drawing>
      </w:r>
      <w:r>
        <w:rPr>
          <w:rFonts w:hint="default" w:ascii="Times New Roman" w:hAnsi="Times New Roman" w:eastAsia="宋体" w:cs="Times New Roman"/>
          <w:b/>
          <w:color w:val="0000FF"/>
          <w:sz w:val="24"/>
          <w:lang w:eastAsia="zh-CN"/>
        </w:rPr>
        <w:drawing>
          <wp:inline distT="0" distB="0" distL="114300" distR="114300">
            <wp:extent cx="5264785" cy="8367395"/>
            <wp:effectExtent l="0" t="0" r="12065" b="14605"/>
            <wp:docPr id="6" name="图片 6" descr="afc64b863f81157f8db6aa155b55a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afc64b863f81157f8db6aa155b55a69"/>
                    <pic:cNvPicPr>
                      <a:picLocks noChangeAspect="1"/>
                    </pic:cNvPicPr>
                  </pic:nvPicPr>
                  <pic:blipFill>
                    <a:blip r:embed="rId23"/>
                    <a:stretch>
                      <a:fillRect/>
                    </a:stretch>
                  </pic:blipFill>
                  <pic:spPr>
                    <a:xfrm>
                      <a:off x="0" y="0"/>
                      <a:ext cx="5264785" cy="8367395"/>
                    </a:xfrm>
                    <a:prstGeom prst="rect">
                      <a:avLst/>
                    </a:prstGeom>
                  </pic:spPr>
                </pic:pic>
              </a:graphicData>
            </a:graphic>
          </wp:inline>
        </w:drawing>
      </w:r>
    </w:p>
    <w:p>
      <w:pPr>
        <w:jc w:val="both"/>
        <w:rPr>
          <w:rFonts w:hint="eastAsia" w:ascii="Times New Roman" w:hAnsi="Times New Roman" w:eastAsia="宋体" w:cs="Times New Roman"/>
          <w:b/>
          <w:bCs/>
          <w:color w:val="000000" w:themeColor="text1"/>
          <w:sz w:val="28"/>
          <w:lang w:val="en-US" w:eastAsia="zh-CN"/>
          <w14:textFill>
            <w14:solidFill>
              <w14:schemeClr w14:val="tx1"/>
            </w14:solidFill>
          </w14:textFill>
        </w:rPr>
      </w:pPr>
      <w:r>
        <w:rPr>
          <w:rFonts w:hint="default" w:ascii="Times New Roman" w:hAnsi="Times New Roman" w:eastAsia="宋体" w:cs="Times New Roman"/>
          <w:b/>
          <w:bCs/>
          <w:color w:val="000000" w:themeColor="text1"/>
          <w:sz w:val="28"/>
          <w:lang w:val="en-US" w:eastAsia="zh-CN"/>
          <w14:textFill>
            <w14:solidFill>
              <w14:schemeClr w14:val="tx1"/>
            </w14:solidFill>
          </w14:textFill>
        </w:rPr>
        <w:t>附件</w:t>
      </w:r>
      <w:r>
        <w:rPr>
          <w:rFonts w:hint="eastAsia" w:ascii="Times New Roman" w:hAnsi="Times New Roman" w:eastAsia="宋体" w:cs="Times New Roman"/>
          <w:b/>
          <w:bCs/>
          <w:color w:val="000000" w:themeColor="text1"/>
          <w:sz w:val="28"/>
          <w:lang w:val="en-US" w:eastAsia="zh-CN"/>
          <w14:textFill>
            <w14:solidFill>
              <w14:schemeClr w14:val="tx1"/>
            </w14:solidFill>
          </w14:textFill>
        </w:rPr>
        <w:t>3</w:t>
      </w:r>
      <w:r>
        <w:rPr>
          <w:rFonts w:hint="default" w:ascii="Times New Roman" w:hAnsi="Times New Roman" w:eastAsia="宋体" w:cs="Times New Roman"/>
          <w:b/>
          <w:bCs/>
          <w:color w:val="000000" w:themeColor="text1"/>
          <w:sz w:val="28"/>
          <w:lang w:val="en-US" w:eastAsia="zh-CN"/>
          <w14:textFill>
            <w14:solidFill>
              <w14:schemeClr w14:val="tx1"/>
            </w14:solidFill>
          </w14:textFill>
        </w:rPr>
        <w:t>：</w:t>
      </w:r>
      <w:r>
        <w:rPr>
          <w:rFonts w:hint="eastAsia" w:ascii="Times New Roman" w:hAnsi="Times New Roman" w:eastAsia="宋体" w:cs="Times New Roman"/>
          <w:b/>
          <w:bCs/>
          <w:color w:val="000000" w:themeColor="text1"/>
          <w:sz w:val="28"/>
          <w:lang w:val="en-US" w:eastAsia="zh-CN"/>
          <w14:textFill>
            <w14:solidFill>
              <w14:schemeClr w14:val="tx1"/>
            </w14:solidFill>
          </w14:textFill>
        </w:rPr>
        <w:t>挥发性有机物替代方案</w:t>
      </w:r>
    </w:p>
    <w:p>
      <w:pPr>
        <w:pStyle w:val="2"/>
        <w:rPr>
          <w:rFonts w:hint="eastAsia" w:ascii="Times New Roman" w:hAnsi="Times New Roman" w:eastAsia="宋体" w:cs="Times New Roman"/>
          <w:b/>
          <w:bCs/>
          <w:color w:val="000000" w:themeColor="text1"/>
          <w:sz w:val="28"/>
          <w:lang w:val="en-US" w:eastAsia="zh-CN"/>
          <w14:textFill>
            <w14:solidFill>
              <w14:schemeClr w14:val="tx1"/>
            </w14:solidFill>
          </w14:textFill>
        </w:rPr>
      </w:pPr>
      <w:r>
        <w:rPr>
          <w:b/>
          <w:color w:val="000000"/>
          <w:sz w:val="24"/>
        </w:rPr>
        <w:drawing>
          <wp:anchor distT="0" distB="0" distL="114300" distR="114300" simplePos="0" relativeHeight="251664384" behindDoc="0" locked="0" layoutInCell="1" allowOverlap="1">
            <wp:simplePos x="0" y="0"/>
            <wp:positionH relativeFrom="column">
              <wp:posOffset>19050</wp:posOffset>
            </wp:positionH>
            <wp:positionV relativeFrom="paragraph">
              <wp:posOffset>85725</wp:posOffset>
            </wp:positionV>
            <wp:extent cx="5205730" cy="6993890"/>
            <wp:effectExtent l="0" t="0" r="13970" b="16510"/>
            <wp:wrapNone/>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24"/>
                    <a:stretch>
                      <a:fillRect/>
                    </a:stretch>
                  </pic:blipFill>
                  <pic:spPr>
                    <a:xfrm>
                      <a:off x="0" y="0"/>
                      <a:ext cx="5205730" cy="6993890"/>
                    </a:xfrm>
                    <a:prstGeom prst="rect">
                      <a:avLst/>
                    </a:prstGeom>
                    <a:noFill/>
                    <a:ln>
                      <a:noFill/>
                    </a:ln>
                  </pic:spPr>
                </pic:pic>
              </a:graphicData>
            </a:graphic>
          </wp:anchor>
        </w:drawing>
      </w:r>
    </w:p>
    <w:p>
      <w:pPr>
        <w:pStyle w:val="2"/>
        <w:rPr>
          <w:rFonts w:hint="eastAsia" w:ascii="Times New Roman" w:hAnsi="Times New Roman" w:eastAsia="宋体" w:cs="Times New Roman"/>
          <w:b/>
          <w:bCs/>
          <w:color w:val="000000" w:themeColor="text1"/>
          <w:sz w:val="28"/>
          <w:lang w:val="en-US" w:eastAsia="zh-CN"/>
          <w14:textFill>
            <w14:solidFill>
              <w14:schemeClr w14:val="tx1"/>
            </w14:solidFill>
          </w14:textFill>
        </w:rPr>
      </w:pPr>
    </w:p>
    <w:p>
      <w:pPr>
        <w:pStyle w:val="2"/>
        <w:rPr>
          <w:rFonts w:hint="eastAsia" w:ascii="Times New Roman" w:hAnsi="Times New Roman" w:eastAsia="宋体" w:cs="Times New Roman"/>
          <w:b/>
          <w:bCs/>
          <w:color w:val="000000" w:themeColor="text1"/>
          <w:sz w:val="28"/>
          <w:lang w:val="en-US" w:eastAsia="zh-CN"/>
          <w14:textFill>
            <w14:solidFill>
              <w14:schemeClr w14:val="tx1"/>
            </w14:solidFill>
          </w14:textFill>
        </w:rPr>
      </w:pPr>
    </w:p>
    <w:p>
      <w:pPr>
        <w:pStyle w:val="2"/>
        <w:rPr>
          <w:rFonts w:hint="default" w:ascii="Times New Roman" w:hAnsi="Times New Roman" w:eastAsia="宋体" w:cs="Times New Roman"/>
          <w:b/>
          <w:bCs/>
          <w:color w:val="000000" w:themeColor="text1"/>
          <w:sz w:val="28"/>
          <w:lang w:val="en-US" w:eastAsia="zh-CN"/>
          <w14:textFill>
            <w14:solidFill>
              <w14:schemeClr w14:val="tx1"/>
            </w14:solidFill>
          </w14:textFill>
        </w:rPr>
      </w:pPr>
    </w:p>
    <w:p>
      <w:pPr>
        <w:pStyle w:val="2"/>
        <w:ind w:left="0" w:leftChars="0" w:firstLine="0" w:firstLineChars="0"/>
        <w:rPr>
          <w:rFonts w:hint="default"/>
          <w:lang w:val="en-US" w:eastAsia="zh-CN"/>
        </w:rPr>
      </w:pPr>
      <w:r>
        <w:rPr>
          <w:b/>
          <w:color w:val="000000"/>
          <w:sz w:val="24"/>
        </w:rPr>
        <w:drawing>
          <wp:inline distT="0" distB="0" distL="114300" distR="114300">
            <wp:extent cx="5252720" cy="8032750"/>
            <wp:effectExtent l="0" t="0" r="5080" b="6350"/>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25"/>
                    <a:stretch>
                      <a:fillRect/>
                    </a:stretch>
                  </pic:blipFill>
                  <pic:spPr>
                    <a:xfrm>
                      <a:off x="0" y="0"/>
                      <a:ext cx="5252720" cy="8032750"/>
                    </a:xfrm>
                    <a:prstGeom prst="rect">
                      <a:avLst/>
                    </a:prstGeom>
                    <a:noFill/>
                    <a:ln>
                      <a:noFill/>
                    </a:ln>
                  </pic:spPr>
                </pic:pic>
              </a:graphicData>
            </a:graphic>
          </wp:inline>
        </w:drawing>
      </w:r>
    </w:p>
    <w:p>
      <w:pPr>
        <w:jc w:val="both"/>
        <w:rPr>
          <w:rFonts w:hint="default" w:ascii="Times New Roman" w:hAnsi="Times New Roman" w:eastAsia="宋体" w:cs="Times New Roman"/>
          <w:b/>
          <w:bCs/>
          <w:color w:val="000000" w:themeColor="text1"/>
          <w:sz w:val="28"/>
          <w:lang w:val="en-US" w:eastAsia="zh-CN"/>
          <w14:textFill>
            <w14:solidFill>
              <w14:schemeClr w14:val="tx1"/>
            </w14:solidFill>
          </w14:textFill>
        </w:rPr>
      </w:pPr>
    </w:p>
    <w:p>
      <w:pPr>
        <w:jc w:val="both"/>
        <w:rPr>
          <w:rFonts w:hint="default" w:ascii="Times New Roman" w:hAnsi="Times New Roman" w:eastAsia="宋体" w:cs="Times New Roman"/>
          <w:b/>
          <w:bCs/>
          <w:color w:val="000000" w:themeColor="text1"/>
          <w:sz w:val="28"/>
          <w:lang w:val="en-US" w:eastAsia="zh-CN"/>
          <w14:textFill>
            <w14:solidFill>
              <w14:schemeClr w14:val="tx1"/>
            </w14:solidFill>
          </w14:textFill>
        </w:rPr>
      </w:pPr>
    </w:p>
    <w:p>
      <w:pPr>
        <w:jc w:val="both"/>
        <w:rPr>
          <w:rFonts w:hint="default" w:ascii="Times New Roman" w:hAnsi="Times New Roman" w:eastAsia="宋体" w:cs="Times New Roman"/>
          <w:b/>
          <w:bCs/>
          <w:color w:val="000000" w:themeColor="text1"/>
          <w:sz w:val="28"/>
          <w:lang w:val="en-US" w:eastAsia="zh-CN"/>
          <w14:textFill>
            <w14:solidFill>
              <w14:schemeClr w14:val="tx1"/>
            </w14:solidFill>
          </w14:textFill>
        </w:rPr>
      </w:pPr>
    </w:p>
    <w:p>
      <w:pPr>
        <w:jc w:val="both"/>
        <w:rPr>
          <w:rFonts w:hint="default" w:ascii="Times New Roman" w:hAnsi="Times New Roman" w:eastAsia="宋体" w:cs="Times New Roman"/>
          <w:b/>
          <w:bCs/>
          <w:color w:val="000000" w:themeColor="text1"/>
          <w:sz w:val="28"/>
          <w:lang w:val="en-US" w:eastAsia="zh-CN"/>
          <w14:textFill>
            <w14:solidFill>
              <w14:schemeClr w14:val="tx1"/>
            </w14:solidFill>
          </w14:textFill>
        </w:rPr>
      </w:pPr>
      <w:r>
        <w:rPr>
          <w:rFonts w:hint="default" w:ascii="Times New Roman" w:hAnsi="Times New Roman" w:eastAsia="宋体" w:cs="Times New Roman"/>
          <w:b/>
          <w:bCs/>
          <w:color w:val="000000" w:themeColor="text1"/>
          <w:sz w:val="28"/>
          <w:lang w:val="en-US" w:eastAsia="zh-CN"/>
          <w14:textFill>
            <w14:solidFill>
              <w14:schemeClr w14:val="tx1"/>
            </w14:solidFill>
          </w14:textFill>
        </w:rPr>
        <w:t>附件4：排污许可登记证</w:t>
      </w:r>
    </w:p>
    <w:p>
      <w:pPr>
        <w:pStyle w:val="2"/>
        <w:rPr>
          <w:rFonts w:hint="default" w:ascii="Times New Roman" w:hAnsi="Times New Roman" w:eastAsia="宋体" w:cs="Times New Roman"/>
          <w:lang w:val="en-US"/>
        </w:rPr>
      </w:pPr>
    </w:p>
    <w:p>
      <w:pPr>
        <w:pStyle w:val="2"/>
        <w:rPr>
          <w:rFonts w:hint="default" w:ascii="Times New Roman" w:hAnsi="Times New Roman" w:eastAsia="宋体" w:cs="Times New Roman"/>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720" w:num="1"/>
          <w:titlePg/>
          <w:docGrid w:type="lines" w:linePitch="312" w:charSpace="0"/>
        </w:sectPr>
      </w:pPr>
      <w:r>
        <w:rPr>
          <w:rFonts w:hint="default" w:ascii="Times New Roman" w:hAnsi="Times New Roman" w:eastAsia="宋体" w:cs="Times New Roman"/>
          <w:lang w:val="en-US" w:eastAsia="zh-CN"/>
        </w:rPr>
        <w:drawing>
          <wp:inline distT="0" distB="0" distL="114300" distR="114300">
            <wp:extent cx="5260340" cy="7440295"/>
            <wp:effectExtent l="0" t="0" r="16510" b="8255"/>
            <wp:docPr id="34" name="图片 34" descr="登记450fcf1f33914c16ad2d5ecdf382a785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登记450fcf1f33914c16ad2d5ecdf382a785_1"/>
                    <pic:cNvPicPr>
                      <a:picLocks noChangeAspect="1"/>
                    </pic:cNvPicPr>
                  </pic:nvPicPr>
                  <pic:blipFill>
                    <a:blip r:embed="rId26"/>
                    <a:stretch>
                      <a:fillRect/>
                    </a:stretch>
                  </pic:blipFill>
                  <pic:spPr>
                    <a:xfrm>
                      <a:off x="0" y="0"/>
                      <a:ext cx="5260340" cy="7440295"/>
                    </a:xfrm>
                    <a:prstGeom prst="rect">
                      <a:avLst/>
                    </a:prstGeom>
                  </pic:spPr>
                </pic:pic>
              </a:graphicData>
            </a:graphic>
          </wp:inline>
        </w:drawing>
      </w:r>
    </w:p>
    <w:p>
      <w:pPr>
        <w:pStyle w:val="21"/>
        <w:ind w:left="0" w:leftChars="0" w:firstLine="0" w:firstLineChars="0"/>
        <w:rPr>
          <w:rFonts w:hint="default" w:ascii="Times New Roman" w:hAnsi="Times New Roman" w:eastAsia="宋体" w:cs="Times New Roman"/>
          <w:color w:val="000000" w:themeColor="text1"/>
          <w:sz w:val="28"/>
          <w:szCs w:val="24"/>
          <w:lang w:val="en-US" w:eastAsia="zh-CN"/>
          <w14:textFill>
            <w14:solidFill>
              <w14:schemeClr w14:val="tx1"/>
            </w14:solidFill>
          </w14:textFill>
        </w:rPr>
      </w:pPr>
      <w:r>
        <w:rPr>
          <w:rFonts w:hint="default" w:ascii="Times New Roman" w:hAnsi="Times New Roman" w:eastAsia="宋体" w:cs="Times New Roman"/>
          <w:b/>
          <w:bCs/>
          <w:color w:val="000000" w:themeColor="text1"/>
          <w:sz w:val="28"/>
          <w:szCs w:val="24"/>
          <w14:textFill>
            <w14:solidFill>
              <w14:schemeClr w14:val="tx1"/>
            </w14:solidFill>
          </w14:textFill>
        </w:rPr>
        <w:t>附件</w:t>
      </w:r>
      <w:r>
        <w:rPr>
          <w:rFonts w:hint="default" w:ascii="Times New Roman" w:hAnsi="Times New Roman" w:eastAsia="宋体" w:cs="Times New Roman"/>
          <w:b/>
          <w:bCs/>
          <w:color w:val="000000" w:themeColor="text1"/>
          <w:sz w:val="28"/>
          <w:szCs w:val="24"/>
          <w:lang w:val="en-US" w:eastAsia="zh-CN"/>
          <w14:textFill>
            <w14:solidFill>
              <w14:schemeClr w14:val="tx1"/>
            </w14:solidFill>
          </w14:textFill>
        </w:rPr>
        <w:t>5</w:t>
      </w:r>
      <w:r>
        <w:rPr>
          <w:rFonts w:hint="default" w:ascii="Times New Roman" w:hAnsi="Times New Roman" w:eastAsia="宋体" w:cs="Times New Roman"/>
          <w:b/>
          <w:bCs/>
          <w:color w:val="000000" w:themeColor="text1"/>
          <w:sz w:val="28"/>
          <w:szCs w:val="24"/>
          <w14:textFill>
            <w14:solidFill>
              <w14:schemeClr w14:val="tx1"/>
            </w14:solidFill>
          </w14:textFill>
        </w:rPr>
        <w:t>：</w:t>
      </w:r>
      <w:r>
        <w:rPr>
          <w:rFonts w:hint="default" w:ascii="Times New Roman" w:hAnsi="Times New Roman" w:eastAsia="宋体" w:cs="Times New Roman"/>
          <w:b/>
          <w:bCs/>
          <w:color w:val="000000" w:themeColor="text1"/>
          <w:sz w:val="28"/>
          <w:szCs w:val="24"/>
          <w:lang w:val="en-US" w:eastAsia="zh-CN"/>
          <w14:textFill>
            <w14:solidFill>
              <w14:schemeClr w14:val="tx1"/>
            </w14:solidFill>
          </w14:textFill>
        </w:rPr>
        <w:t>工况证明</w:t>
      </w:r>
    </w:p>
    <w:p>
      <w:pPr>
        <w:pStyle w:val="21"/>
        <w:ind w:left="0" w:leftChars="0" w:firstLine="0" w:firstLineChars="0"/>
        <w:rPr>
          <w:rFonts w:hint="default" w:ascii="Times New Roman" w:hAnsi="Times New Roman" w:eastAsia="宋体" w:cs="Times New Roman"/>
          <w:color w:val="000000" w:themeColor="text1"/>
          <w:sz w:val="28"/>
          <w:szCs w:val="24"/>
          <w:lang w:val="en-US" w:eastAsia="zh-CN"/>
          <w14:textFill>
            <w14:solidFill>
              <w14:schemeClr w14:val="tx1"/>
            </w14:solidFill>
          </w14:textFill>
        </w:rPr>
      </w:pPr>
    </w:p>
    <w:p>
      <w:pPr>
        <w:pStyle w:val="21"/>
        <w:ind w:left="0" w:leftChars="0" w:firstLine="0" w:firstLineChars="0"/>
        <w:rPr>
          <w:rFonts w:hint="default" w:ascii="Times New Roman" w:hAnsi="Times New Roman" w:eastAsia="宋体" w:cs="Times New Roman"/>
          <w:color w:val="000000" w:themeColor="text1"/>
          <w:sz w:val="28"/>
          <w:szCs w:val="24"/>
          <w:lang w:val="en-US" w:eastAsia="zh-CN"/>
          <w14:textFill>
            <w14:solidFill>
              <w14:schemeClr w14:val="tx1"/>
            </w14:solidFill>
          </w14:textFill>
        </w:rPr>
      </w:pPr>
      <w:r>
        <w:rPr>
          <w:rFonts w:hint="default" w:ascii="Times New Roman" w:hAnsi="Times New Roman" w:eastAsia="宋体" w:cs="Times New Roman"/>
          <w:b/>
          <w:bCs/>
          <w:color w:val="auto"/>
          <w:sz w:val="24"/>
          <w:szCs w:val="24"/>
          <w:lang w:eastAsia="zh-CN"/>
        </w:rPr>
        <w:drawing>
          <wp:inline distT="0" distB="0" distL="114300" distR="114300">
            <wp:extent cx="5600065" cy="7919720"/>
            <wp:effectExtent l="0" t="0" r="635" b="5080"/>
            <wp:docPr id="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7"/>
                    <pic:cNvPicPr>
                      <a:picLocks noChangeAspect="1"/>
                    </pic:cNvPicPr>
                  </pic:nvPicPr>
                  <pic:blipFill>
                    <a:blip r:embed="rId27"/>
                    <a:stretch>
                      <a:fillRect/>
                    </a:stretch>
                  </pic:blipFill>
                  <pic:spPr>
                    <a:xfrm flipH="1" flipV="1">
                      <a:off x="0" y="0"/>
                      <a:ext cx="5600065" cy="7919720"/>
                    </a:xfrm>
                    <a:prstGeom prst="rect">
                      <a:avLst/>
                    </a:prstGeom>
                    <a:noFill/>
                    <a:ln>
                      <a:noFill/>
                    </a:ln>
                  </pic:spPr>
                </pic:pic>
              </a:graphicData>
            </a:graphic>
          </wp:inline>
        </w:drawing>
      </w:r>
    </w:p>
    <w:p>
      <w:pPr>
        <w:pStyle w:val="21"/>
        <w:ind w:left="0" w:leftChars="0" w:firstLine="0" w:firstLineChars="0"/>
        <w:rPr>
          <w:rFonts w:hint="default" w:ascii="Times New Roman" w:hAnsi="Times New Roman" w:eastAsia="宋体" w:cs="Times New Roman"/>
          <w:color w:val="000000" w:themeColor="text1"/>
          <w:sz w:val="28"/>
          <w:szCs w:val="24"/>
          <w:lang w:val="en-US" w:eastAsia="zh-CN"/>
          <w14:textFill>
            <w14:solidFill>
              <w14:schemeClr w14:val="tx1"/>
            </w14:solidFill>
          </w14:textFill>
        </w:rPr>
      </w:pPr>
    </w:p>
    <w:p>
      <w:pPr>
        <w:keepNext w:val="0"/>
        <w:keepLines w:val="0"/>
        <w:pageBreakBefore w:val="0"/>
        <w:widowControl/>
        <w:kinsoku/>
        <w:wordWrap/>
        <w:overflowPunct/>
        <w:topLinePunct w:val="0"/>
        <w:autoSpaceDE/>
        <w:autoSpaceDN/>
        <w:bidi w:val="0"/>
        <w:adjustRightInd w:val="0"/>
        <w:snapToGrid w:val="0"/>
        <w:jc w:val="both"/>
        <w:textAlignment w:val="auto"/>
        <w:rPr>
          <w:rFonts w:hint="default" w:ascii="Times New Roman" w:hAnsi="Times New Roman" w:eastAsia="宋体" w:cs="Times New Roman"/>
          <w:b/>
          <w:bCs/>
          <w:color w:val="000000" w:themeColor="text1"/>
          <w:sz w:val="28"/>
          <w:lang w:val="en-US" w:eastAsia="zh-CN"/>
          <w14:textFill>
            <w14:solidFill>
              <w14:schemeClr w14:val="tx1"/>
            </w14:solidFill>
          </w14:textFill>
        </w:rPr>
      </w:pPr>
    </w:p>
    <w:p>
      <w:pPr>
        <w:pStyle w:val="21"/>
        <w:ind w:left="0" w:leftChars="0" w:firstLine="0" w:firstLineChars="0"/>
        <w:rPr>
          <w:rFonts w:hint="default" w:ascii="Times New Roman" w:hAnsi="Times New Roman" w:eastAsia="宋体" w:cs="Times New Roman"/>
          <w:b/>
          <w:bCs/>
          <w:color w:val="000000" w:themeColor="text1"/>
          <w:sz w:val="28"/>
          <w:lang w:val="en-US" w:eastAsia="zh-CN"/>
          <w14:textFill>
            <w14:solidFill>
              <w14:schemeClr w14:val="tx1"/>
            </w14:solidFill>
          </w14:textFill>
        </w:rPr>
      </w:pPr>
      <w:r>
        <w:rPr>
          <w:rFonts w:hint="default" w:ascii="Times New Roman" w:hAnsi="Times New Roman" w:eastAsia="宋体" w:cs="Times New Roman"/>
          <w:b/>
          <w:bCs/>
          <w:color w:val="000000" w:themeColor="text1"/>
          <w:sz w:val="28"/>
          <w:lang w:val="en-US" w:eastAsia="zh-CN"/>
          <w14:textFill>
            <w14:solidFill>
              <w14:schemeClr w14:val="tx1"/>
            </w14:solidFill>
          </w14:textFill>
        </w:rPr>
        <w:t>附件6：监测报告</w:t>
      </w:r>
    </w:p>
    <w:p>
      <w:pPr>
        <w:pStyle w:val="21"/>
        <w:ind w:left="0" w:leftChars="0" w:firstLine="0" w:firstLineChars="0"/>
        <w:rPr>
          <w:rFonts w:hint="default" w:ascii="Times New Roman" w:hAnsi="Times New Roman" w:eastAsia="宋体" w:cs="Times New Roman"/>
          <w:b/>
          <w:bCs/>
          <w:color w:val="000000" w:themeColor="text1"/>
          <w:sz w:val="28"/>
          <w:lang w:val="en-US" w:eastAsia="zh-CN"/>
          <w14:textFill>
            <w14:solidFill>
              <w14:schemeClr w14:val="tx1"/>
            </w14:solidFill>
          </w14:textFill>
        </w:rPr>
      </w:pPr>
      <w:r>
        <w:rPr>
          <w:rFonts w:hint="default" w:ascii="Times New Roman" w:hAnsi="Times New Roman" w:eastAsia="宋体" w:cs="Times New Roman"/>
          <w:b/>
          <w:bCs/>
          <w:color w:val="000000" w:themeColor="text1"/>
          <w:sz w:val="28"/>
          <w:lang w:val="en-US" w:eastAsia="zh-CN"/>
          <w14:textFill>
            <w14:solidFill>
              <w14:schemeClr w14:val="tx1"/>
            </w14:solidFill>
          </w14:textFill>
        </w:rPr>
        <w:drawing>
          <wp:anchor distT="0" distB="0" distL="114300" distR="114300" simplePos="0" relativeHeight="251663360" behindDoc="0" locked="0" layoutInCell="1" allowOverlap="1">
            <wp:simplePos x="0" y="0"/>
            <wp:positionH relativeFrom="column">
              <wp:posOffset>-38100</wp:posOffset>
            </wp:positionH>
            <wp:positionV relativeFrom="paragraph">
              <wp:posOffset>87630</wp:posOffset>
            </wp:positionV>
            <wp:extent cx="5267960" cy="7450455"/>
            <wp:effectExtent l="0" t="0" r="8890" b="17145"/>
            <wp:wrapNone/>
            <wp:docPr id="49" name="图片 49" descr="LJBG-A23042501 福建优倍特模塑科技有限公司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LJBG-A23042501 福建优倍特模塑科技有限公司_00"/>
                    <pic:cNvPicPr>
                      <a:picLocks noChangeAspect="1"/>
                    </pic:cNvPicPr>
                  </pic:nvPicPr>
                  <pic:blipFill>
                    <a:blip r:embed="rId28"/>
                    <a:stretch>
                      <a:fillRect/>
                    </a:stretch>
                  </pic:blipFill>
                  <pic:spPr>
                    <a:xfrm>
                      <a:off x="0" y="0"/>
                      <a:ext cx="5267960" cy="7450455"/>
                    </a:xfrm>
                    <a:prstGeom prst="rect">
                      <a:avLst/>
                    </a:prstGeom>
                  </pic:spPr>
                </pic:pic>
              </a:graphicData>
            </a:graphic>
          </wp:anchor>
        </w:drawing>
      </w:r>
    </w:p>
    <w:p>
      <w:pPr>
        <w:pStyle w:val="21"/>
        <w:ind w:left="0" w:leftChars="0" w:firstLine="0" w:firstLineChars="0"/>
        <w:rPr>
          <w:rFonts w:hint="default" w:ascii="Times New Roman" w:hAnsi="Times New Roman" w:eastAsia="宋体" w:cs="Times New Roman"/>
          <w:b/>
          <w:bCs/>
          <w:color w:val="000000" w:themeColor="text1"/>
          <w:sz w:val="28"/>
          <w:lang w:val="en-US" w:eastAsia="zh-CN"/>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720" w:num="1"/>
          <w:titlePg/>
          <w:docGrid w:type="lines" w:linePitch="312" w:charSpace="0"/>
        </w:sectPr>
      </w:pPr>
      <w:r>
        <w:rPr>
          <w:rFonts w:hint="default" w:ascii="Times New Roman" w:hAnsi="Times New Roman" w:eastAsia="宋体" w:cs="Times New Roman"/>
          <w:b/>
          <w:bCs/>
          <w:color w:val="000000" w:themeColor="text1"/>
          <w:sz w:val="28"/>
          <w:lang w:val="en-US" w:eastAsia="zh-CN"/>
          <w14:textFill>
            <w14:solidFill>
              <w14:schemeClr w14:val="tx1"/>
            </w14:solidFill>
          </w14:textFill>
        </w:rPr>
        <w:drawing>
          <wp:inline distT="0" distB="0" distL="114300" distR="114300">
            <wp:extent cx="5267960" cy="7450455"/>
            <wp:effectExtent l="0" t="0" r="8890" b="17145"/>
            <wp:docPr id="50" name="图片 50" descr="LJBG-A23042501 福建优倍特模塑科技有限公司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LJBG-A23042501 福建优倍特模塑科技有限公司_01"/>
                    <pic:cNvPicPr>
                      <a:picLocks noChangeAspect="1"/>
                    </pic:cNvPicPr>
                  </pic:nvPicPr>
                  <pic:blipFill>
                    <a:blip r:embed="rId29"/>
                    <a:stretch>
                      <a:fillRect/>
                    </a:stretch>
                  </pic:blipFill>
                  <pic:spPr>
                    <a:xfrm>
                      <a:off x="0" y="0"/>
                      <a:ext cx="5267960" cy="7450455"/>
                    </a:xfrm>
                    <a:prstGeom prst="rect">
                      <a:avLst/>
                    </a:prstGeom>
                  </pic:spPr>
                </pic:pic>
              </a:graphicData>
            </a:graphic>
          </wp:inline>
        </w:drawing>
      </w:r>
      <w:r>
        <w:rPr>
          <w:rFonts w:hint="default" w:ascii="Times New Roman" w:hAnsi="Times New Roman" w:eastAsia="宋体" w:cs="Times New Roman"/>
          <w:b/>
          <w:bCs/>
          <w:color w:val="000000" w:themeColor="text1"/>
          <w:sz w:val="28"/>
          <w:lang w:val="en-US" w:eastAsia="zh-CN"/>
          <w14:textFill>
            <w14:solidFill>
              <w14:schemeClr w14:val="tx1"/>
            </w14:solidFill>
          </w14:textFill>
        </w:rPr>
        <w:drawing>
          <wp:inline distT="0" distB="0" distL="114300" distR="114300">
            <wp:extent cx="5267960" cy="7450455"/>
            <wp:effectExtent l="0" t="0" r="8890" b="17145"/>
            <wp:docPr id="51" name="图片 51" descr="LJBG-A23042501 福建优倍特模塑科技有限公司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LJBG-A23042501 福建优倍特模塑科技有限公司_02"/>
                    <pic:cNvPicPr>
                      <a:picLocks noChangeAspect="1"/>
                    </pic:cNvPicPr>
                  </pic:nvPicPr>
                  <pic:blipFill>
                    <a:blip r:embed="rId30"/>
                    <a:stretch>
                      <a:fillRect/>
                    </a:stretch>
                  </pic:blipFill>
                  <pic:spPr>
                    <a:xfrm>
                      <a:off x="0" y="0"/>
                      <a:ext cx="5267960" cy="7450455"/>
                    </a:xfrm>
                    <a:prstGeom prst="rect">
                      <a:avLst/>
                    </a:prstGeom>
                  </pic:spPr>
                </pic:pic>
              </a:graphicData>
            </a:graphic>
          </wp:inline>
        </w:drawing>
      </w:r>
      <w:r>
        <w:rPr>
          <w:rFonts w:hint="default" w:ascii="Times New Roman" w:hAnsi="Times New Roman" w:eastAsia="宋体" w:cs="Times New Roman"/>
          <w:b/>
          <w:bCs/>
          <w:color w:val="000000" w:themeColor="text1"/>
          <w:sz w:val="28"/>
          <w:lang w:val="en-US" w:eastAsia="zh-CN"/>
          <w14:textFill>
            <w14:solidFill>
              <w14:schemeClr w14:val="tx1"/>
            </w14:solidFill>
          </w14:textFill>
        </w:rPr>
        <w:drawing>
          <wp:inline distT="0" distB="0" distL="114300" distR="114300">
            <wp:extent cx="5267960" cy="7450455"/>
            <wp:effectExtent l="0" t="0" r="8890" b="17145"/>
            <wp:docPr id="52" name="图片 52" descr="LJBG-A23042501 福建优倍特模塑科技有限公司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LJBG-A23042501 福建优倍特模塑科技有限公司_03"/>
                    <pic:cNvPicPr>
                      <a:picLocks noChangeAspect="1"/>
                    </pic:cNvPicPr>
                  </pic:nvPicPr>
                  <pic:blipFill>
                    <a:blip r:embed="rId31"/>
                    <a:stretch>
                      <a:fillRect/>
                    </a:stretch>
                  </pic:blipFill>
                  <pic:spPr>
                    <a:xfrm>
                      <a:off x="0" y="0"/>
                      <a:ext cx="5267960" cy="7450455"/>
                    </a:xfrm>
                    <a:prstGeom prst="rect">
                      <a:avLst/>
                    </a:prstGeom>
                  </pic:spPr>
                </pic:pic>
              </a:graphicData>
            </a:graphic>
          </wp:inline>
        </w:drawing>
      </w:r>
      <w:r>
        <w:rPr>
          <w:rFonts w:hint="default" w:ascii="Times New Roman" w:hAnsi="Times New Roman" w:eastAsia="宋体" w:cs="Times New Roman"/>
          <w:b/>
          <w:bCs/>
          <w:color w:val="000000" w:themeColor="text1"/>
          <w:sz w:val="28"/>
          <w:lang w:val="en-US" w:eastAsia="zh-CN"/>
          <w14:textFill>
            <w14:solidFill>
              <w14:schemeClr w14:val="tx1"/>
            </w14:solidFill>
          </w14:textFill>
        </w:rPr>
        <w:drawing>
          <wp:inline distT="0" distB="0" distL="114300" distR="114300">
            <wp:extent cx="5267960" cy="7450455"/>
            <wp:effectExtent l="0" t="0" r="8890" b="17145"/>
            <wp:docPr id="53" name="图片 53" descr="LJBG-A23042501 福建优倍特模塑科技有限公司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LJBG-A23042501 福建优倍特模塑科技有限公司_04"/>
                    <pic:cNvPicPr>
                      <a:picLocks noChangeAspect="1"/>
                    </pic:cNvPicPr>
                  </pic:nvPicPr>
                  <pic:blipFill>
                    <a:blip r:embed="rId32"/>
                    <a:stretch>
                      <a:fillRect/>
                    </a:stretch>
                  </pic:blipFill>
                  <pic:spPr>
                    <a:xfrm>
                      <a:off x="0" y="0"/>
                      <a:ext cx="5267960" cy="7450455"/>
                    </a:xfrm>
                    <a:prstGeom prst="rect">
                      <a:avLst/>
                    </a:prstGeom>
                  </pic:spPr>
                </pic:pic>
              </a:graphicData>
            </a:graphic>
          </wp:inline>
        </w:drawing>
      </w:r>
      <w:r>
        <w:rPr>
          <w:rFonts w:hint="default" w:ascii="Times New Roman" w:hAnsi="Times New Roman" w:eastAsia="宋体" w:cs="Times New Roman"/>
          <w:b/>
          <w:bCs/>
          <w:color w:val="000000" w:themeColor="text1"/>
          <w:sz w:val="28"/>
          <w:lang w:val="en-US" w:eastAsia="zh-CN"/>
          <w14:textFill>
            <w14:solidFill>
              <w14:schemeClr w14:val="tx1"/>
            </w14:solidFill>
          </w14:textFill>
        </w:rPr>
        <w:drawing>
          <wp:inline distT="0" distB="0" distL="114300" distR="114300">
            <wp:extent cx="5267960" cy="7450455"/>
            <wp:effectExtent l="0" t="0" r="8890" b="17145"/>
            <wp:docPr id="54" name="图片 54" descr="LJBG-A23042501 福建优倍特模塑科技有限公司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LJBG-A23042501 福建优倍特模塑科技有限公司_05"/>
                    <pic:cNvPicPr>
                      <a:picLocks noChangeAspect="1"/>
                    </pic:cNvPicPr>
                  </pic:nvPicPr>
                  <pic:blipFill>
                    <a:blip r:embed="rId33"/>
                    <a:stretch>
                      <a:fillRect/>
                    </a:stretch>
                  </pic:blipFill>
                  <pic:spPr>
                    <a:xfrm>
                      <a:off x="0" y="0"/>
                      <a:ext cx="5267960" cy="7450455"/>
                    </a:xfrm>
                    <a:prstGeom prst="rect">
                      <a:avLst/>
                    </a:prstGeom>
                  </pic:spPr>
                </pic:pic>
              </a:graphicData>
            </a:graphic>
          </wp:inline>
        </w:drawing>
      </w:r>
      <w:r>
        <w:rPr>
          <w:rFonts w:hint="default" w:ascii="Times New Roman" w:hAnsi="Times New Roman" w:eastAsia="宋体" w:cs="Times New Roman"/>
          <w:b/>
          <w:bCs/>
          <w:color w:val="000000" w:themeColor="text1"/>
          <w:sz w:val="28"/>
          <w:lang w:val="en-US" w:eastAsia="zh-CN"/>
          <w14:textFill>
            <w14:solidFill>
              <w14:schemeClr w14:val="tx1"/>
            </w14:solidFill>
          </w14:textFill>
        </w:rPr>
        <w:drawing>
          <wp:inline distT="0" distB="0" distL="114300" distR="114300">
            <wp:extent cx="5267960" cy="7450455"/>
            <wp:effectExtent l="0" t="0" r="8890" b="17145"/>
            <wp:docPr id="56" name="图片 56" descr="LJBG-A23042501 福建优倍特模塑科技有限公司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LJBG-A23042501 福建优倍特模塑科技有限公司_07"/>
                    <pic:cNvPicPr>
                      <a:picLocks noChangeAspect="1"/>
                    </pic:cNvPicPr>
                  </pic:nvPicPr>
                  <pic:blipFill>
                    <a:blip r:embed="rId34"/>
                    <a:stretch>
                      <a:fillRect/>
                    </a:stretch>
                  </pic:blipFill>
                  <pic:spPr>
                    <a:xfrm>
                      <a:off x="0" y="0"/>
                      <a:ext cx="5267960" cy="7450455"/>
                    </a:xfrm>
                    <a:prstGeom prst="rect">
                      <a:avLst/>
                    </a:prstGeom>
                  </pic:spPr>
                </pic:pic>
              </a:graphicData>
            </a:graphic>
          </wp:inline>
        </w:drawing>
      </w:r>
      <w:r>
        <w:rPr>
          <w:rFonts w:hint="default" w:ascii="Times New Roman" w:hAnsi="Times New Roman" w:eastAsia="宋体" w:cs="Times New Roman"/>
          <w:b/>
          <w:bCs/>
          <w:color w:val="000000" w:themeColor="text1"/>
          <w:sz w:val="28"/>
          <w:lang w:val="en-US" w:eastAsia="zh-CN"/>
          <w14:textFill>
            <w14:solidFill>
              <w14:schemeClr w14:val="tx1"/>
            </w14:solidFill>
          </w14:textFill>
        </w:rPr>
        <w:drawing>
          <wp:inline distT="0" distB="0" distL="114300" distR="114300">
            <wp:extent cx="5267960" cy="7450455"/>
            <wp:effectExtent l="0" t="0" r="8890" b="17145"/>
            <wp:docPr id="55" name="图片 55" descr="LJBG-A23042501 福建优倍特模塑科技有限公司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LJBG-A23042501 福建优倍特模塑科技有限公司_06"/>
                    <pic:cNvPicPr>
                      <a:picLocks noChangeAspect="1"/>
                    </pic:cNvPicPr>
                  </pic:nvPicPr>
                  <pic:blipFill>
                    <a:blip r:embed="rId35"/>
                    <a:stretch>
                      <a:fillRect/>
                    </a:stretch>
                  </pic:blipFill>
                  <pic:spPr>
                    <a:xfrm>
                      <a:off x="0" y="0"/>
                      <a:ext cx="5267960" cy="7450455"/>
                    </a:xfrm>
                    <a:prstGeom prst="rect">
                      <a:avLst/>
                    </a:prstGeom>
                  </pic:spPr>
                </pic:pic>
              </a:graphicData>
            </a:graphic>
          </wp:inline>
        </w:drawing>
      </w:r>
      <w:r>
        <w:rPr>
          <w:rFonts w:hint="default" w:ascii="Times New Roman" w:hAnsi="Times New Roman" w:eastAsia="宋体" w:cs="Times New Roman"/>
          <w:b/>
          <w:bCs/>
          <w:color w:val="000000" w:themeColor="text1"/>
          <w:sz w:val="28"/>
          <w:lang w:val="en-US" w:eastAsia="zh-CN"/>
          <w14:textFill>
            <w14:solidFill>
              <w14:schemeClr w14:val="tx1"/>
            </w14:solidFill>
          </w14:textFill>
        </w:rPr>
        <w:drawing>
          <wp:inline distT="0" distB="0" distL="114300" distR="114300">
            <wp:extent cx="5267960" cy="7450455"/>
            <wp:effectExtent l="0" t="0" r="8890" b="17145"/>
            <wp:docPr id="57" name="图片 57" descr="LJBG-A23042501 福建优倍特模塑科技有限公司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LJBG-A23042501 福建优倍特模塑科技有限公司_08"/>
                    <pic:cNvPicPr>
                      <a:picLocks noChangeAspect="1"/>
                    </pic:cNvPicPr>
                  </pic:nvPicPr>
                  <pic:blipFill>
                    <a:blip r:embed="rId36"/>
                    <a:stretch>
                      <a:fillRect/>
                    </a:stretch>
                  </pic:blipFill>
                  <pic:spPr>
                    <a:xfrm>
                      <a:off x="0" y="0"/>
                      <a:ext cx="5267960" cy="7450455"/>
                    </a:xfrm>
                    <a:prstGeom prst="rect">
                      <a:avLst/>
                    </a:prstGeom>
                  </pic:spPr>
                </pic:pic>
              </a:graphicData>
            </a:graphic>
          </wp:inline>
        </w:drawing>
      </w:r>
      <w:r>
        <w:rPr>
          <w:rFonts w:hint="default" w:ascii="Times New Roman" w:hAnsi="Times New Roman" w:eastAsia="宋体" w:cs="Times New Roman"/>
          <w:b/>
          <w:bCs/>
          <w:color w:val="000000" w:themeColor="text1"/>
          <w:sz w:val="28"/>
          <w:lang w:val="en-US" w:eastAsia="zh-CN"/>
          <w14:textFill>
            <w14:solidFill>
              <w14:schemeClr w14:val="tx1"/>
            </w14:solidFill>
          </w14:textFill>
        </w:rPr>
        <w:drawing>
          <wp:inline distT="0" distB="0" distL="114300" distR="114300">
            <wp:extent cx="5267960" cy="7450455"/>
            <wp:effectExtent l="0" t="0" r="8890" b="17145"/>
            <wp:docPr id="58" name="图片 58" descr="LJBG-A23042501 福建优倍特模塑科技有限公司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LJBG-A23042501 福建优倍特模塑科技有限公司_09"/>
                    <pic:cNvPicPr>
                      <a:picLocks noChangeAspect="1"/>
                    </pic:cNvPicPr>
                  </pic:nvPicPr>
                  <pic:blipFill>
                    <a:blip r:embed="rId37"/>
                    <a:stretch>
                      <a:fillRect/>
                    </a:stretch>
                  </pic:blipFill>
                  <pic:spPr>
                    <a:xfrm>
                      <a:off x="0" y="0"/>
                      <a:ext cx="5267960" cy="7450455"/>
                    </a:xfrm>
                    <a:prstGeom prst="rect">
                      <a:avLst/>
                    </a:prstGeom>
                  </pic:spPr>
                </pic:pic>
              </a:graphicData>
            </a:graphic>
          </wp:inline>
        </w:drawing>
      </w:r>
    </w:p>
    <w:p>
      <w:pPr>
        <w:pStyle w:val="2"/>
        <w:ind w:firstLine="0"/>
        <w:jc w:val="both"/>
        <w:outlineLvl w:val="1"/>
        <w:rPr>
          <w:rFonts w:hint="default" w:ascii="Times New Roman" w:hAnsi="Times New Roman" w:eastAsia="宋体" w:cs="Times New Roman"/>
          <w:color w:val="0000FF"/>
          <w:sz w:val="28"/>
          <w:szCs w:val="24"/>
          <w:lang w:val="en-US" w:eastAsia="zh-CN"/>
        </w:rPr>
      </w:pPr>
    </w:p>
    <w:sectPr>
      <w:footerReference r:id="rId9" w:type="default"/>
      <w:pgSz w:w="16838" w:h="11906" w:orient="landscape"/>
      <w:pgMar w:top="1474" w:right="1588" w:bottom="1474" w:left="1713" w:header="851" w:footer="992"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8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80F3C52" w:usb2="00000016" w:usb3="00000000" w:csb0="0004001F" w:csb1="00000000"/>
  </w:font>
  <w:font w:name="楷体_GB2312">
    <w:panose1 w:val="02010609030101010101"/>
    <w:charset w:val="86"/>
    <w:family w:val="modern"/>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6"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3"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s0lY7tAAAAAFAQAADwAAAAAAAAABACAAAAAiAAAAZHJzL2Rvd25yZXYueG1s&#10;UEsBAhQAFAAAAAgAh07iQHe3i9w5AgAAcAQAAA4AAAAAAAAAAQAgAAAAHwEAAGRycy9lMm9Eb2Mu&#10;eG1sUEsFBgAAAAAGAAYAWQEAAMoFA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6"/>
                          </w:pPr>
                          <w:r>
                            <w:fldChar w:fldCharType="begin"/>
                          </w:r>
                          <w:r>
                            <w:instrText xml:space="preserve"> PAGE  \* MERGEFORMAT </w:instrText>
                          </w:r>
                          <w:r>
                            <w:fldChar w:fldCharType="separate"/>
                          </w:r>
                          <w:r>
                            <w:t>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21"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NJWO7QAAAABQEAAA8AAAAAAAAAAQAgAAAAIgAAAGRycy9kb3ducmV2Lnht&#10;bFBLAQIUABQAAAAIAIdO4kAHohJSOgIAAHEEAAAOAAAAAAAAAAEAIAAAAB8BAABkcnMvZTJvRG9j&#10;LnhtbFBLBQYAAAAABgAGAFkBAADLBQ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9</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9342837"/>
      <w:docPartObj>
        <w:docPartGallery w:val="autotext"/>
      </w:docPartObj>
    </w:sdtPr>
    <w:sdtContent>
      <w:p>
        <w:pPr>
          <w:pStyle w:val="16"/>
          <w:jc w:val="center"/>
        </w:pPr>
        <w:r>
          <w:fldChar w:fldCharType="begin"/>
        </w:r>
        <w:r>
          <w:instrText xml:space="preserve"> PAGE   \* MERGEFORMAT </w:instrText>
        </w:r>
        <w:r>
          <w:fldChar w:fldCharType="separate"/>
        </w:r>
        <w:r>
          <w:rPr>
            <w:lang w:val="zh-CN"/>
          </w:rPr>
          <w:t>33</w:t>
        </w:r>
        <w:r>
          <w:rPr>
            <w:lang w:val="zh-CN"/>
          </w:rPr>
          <w:fldChar w:fldCharType="end"/>
        </w:r>
      </w:p>
    </w:sdtContent>
  </w:sdt>
  <w:p>
    <w:pPr>
      <w:pStyle w:val="16"/>
      <w:ind w:right="360" w:firstLine="36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spacing w:after="0" w:afterLines="0"/>
      <w:ind w:right="360" w:firstLine="360"/>
      <w:jc w:val="center"/>
      <w:rPr>
        <w:rFonts w:hint="eastAsia"/>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C6602CF"/>
    <w:multiLevelType w:val="singleLevel"/>
    <w:tmpl w:val="8C6602CF"/>
    <w:lvl w:ilvl="0" w:tentative="0">
      <w:start w:val="6"/>
      <w:numFmt w:val="decimal"/>
      <w:suff w:val="nothing"/>
      <w:lvlText w:val="%1、"/>
      <w:lvlJc w:val="left"/>
    </w:lvl>
  </w:abstractNum>
  <w:abstractNum w:abstractNumId="1">
    <w:nsid w:val="9524E60B"/>
    <w:multiLevelType w:val="singleLevel"/>
    <w:tmpl w:val="9524E60B"/>
    <w:lvl w:ilvl="0" w:tentative="0">
      <w:start w:val="1"/>
      <w:numFmt w:val="decimal"/>
      <w:suff w:val="nothing"/>
      <w:lvlText w:val="%1、"/>
      <w:lvlJc w:val="left"/>
    </w:lvl>
  </w:abstractNum>
  <w:abstractNum w:abstractNumId="2">
    <w:nsid w:val="C781A2C1"/>
    <w:multiLevelType w:val="singleLevel"/>
    <w:tmpl w:val="C781A2C1"/>
    <w:lvl w:ilvl="0" w:tentative="0">
      <w:start w:val="1"/>
      <w:numFmt w:val="decimal"/>
      <w:suff w:val="nothing"/>
      <w:lvlText w:val="%1、"/>
      <w:lvlJc w:val="left"/>
    </w:lvl>
  </w:abstractNum>
  <w:abstractNum w:abstractNumId="3">
    <w:nsid w:val="E8E746C5"/>
    <w:multiLevelType w:val="singleLevel"/>
    <w:tmpl w:val="E8E746C5"/>
    <w:lvl w:ilvl="0" w:tentative="0">
      <w:start w:val="1"/>
      <w:numFmt w:val="decimal"/>
      <w:suff w:val="space"/>
      <w:lvlText w:val="（%1）"/>
      <w:lvlJc w:val="left"/>
    </w:lvl>
  </w:abstractNum>
  <w:abstractNum w:abstractNumId="4">
    <w:nsid w:val="1DDA02F1"/>
    <w:multiLevelType w:val="singleLevel"/>
    <w:tmpl w:val="1DDA02F1"/>
    <w:lvl w:ilvl="0" w:tentative="0">
      <w:start w:val="1"/>
      <w:numFmt w:val="decimal"/>
      <w:suff w:val="nothing"/>
      <w:lvlText w:val="%1、"/>
      <w:lvlJc w:val="left"/>
    </w:lvl>
  </w:abstractNum>
  <w:abstractNum w:abstractNumId="5">
    <w:nsid w:val="68804528"/>
    <w:multiLevelType w:val="singleLevel"/>
    <w:tmpl w:val="68804528"/>
    <w:lvl w:ilvl="0" w:tentative="0">
      <w:start w:val="1"/>
      <w:numFmt w:val="decimal"/>
      <w:suff w:val="nothing"/>
      <w:lvlText w:val="%1、"/>
      <w:lvlJc w:val="left"/>
      <w:pPr>
        <w:ind w:left="-42"/>
      </w:pPr>
    </w:lvl>
  </w:abstractNum>
  <w:abstractNum w:abstractNumId="6">
    <w:nsid w:val="73D1E309"/>
    <w:multiLevelType w:val="singleLevel"/>
    <w:tmpl w:val="73D1E309"/>
    <w:lvl w:ilvl="0" w:tentative="0">
      <w:start w:val="2"/>
      <w:numFmt w:val="decimal"/>
      <w:suff w:val="nothing"/>
      <w:lvlText w:val="（%1）"/>
      <w:lvlJc w:val="left"/>
    </w:lvl>
  </w:abstractNum>
  <w:num w:numId="1">
    <w:abstractNumId w:val="2"/>
  </w:num>
  <w:num w:numId="2">
    <w:abstractNumId w:val="5"/>
  </w:num>
  <w:num w:numId="3">
    <w:abstractNumId w:val="0"/>
  </w:num>
  <w:num w:numId="4">
    <w:abstractNumId w:val="1"/>
  </w:num>
  <w:num w:numId="5">
    <w:abstractNumId w:val="3"/>
  </w:num>
  <w:num w:numId="6">
    <w:abstractNumId w:val="4"/>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attachedTemplate r:id="rId1"/>
  <w:documentProtection w:enforcement="0"/>
  <w:defaultTabStop w:val="420"/>
  <w:drawingGridHorizontalSpacing w:val="110"/>
  <w:drawingGridVerticalSpacing w:val="-794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mFiOTI4MTA4NWQ2YzBiMjIzMWFjZWQ3ZDYyNjM3MjAifQ=="/>
  </w:docVars>
  <w:rsids>
    <w:rsidRoot w:val="6B850C29"/>
    <w:rsid w:val="0000664E"/>
    <w:rsid w:val="00007B6D"/>
    <w:rsid w:val="000170F7"/>
    <w:rsid w:val="0002074F"/>
    <w:rsid w:val="00073298"/>
    <w:rsid w:val="000772E1"/>
    <w:rsid w:val="00084AF3"/>
    <w:rsid w:val="00122075"/>
    <w:rsid w:val="00122D18"/>
    <w:rsid w:val="001255F1"/>
    <w:rsid w:val="0013602C"/>
    <w:rsid w:val="00137A69"/>
    <w:rsid w:val="00143F5B"/>
    <w:rsid w:val="00182248"/>
    <w:rsid w:val="001846F3"/>
    <w:rsid w:val="001A39E2"/>
    <w:rsid w:val="001A4108"/>
    <w:rsid w:val="0021183F"/>
    <w:rsid w:val="002405CE"/>
    <w:rsid w:val="0024323C"/>
    <w:rsid w:val="00244857"/>
    <w:rsid w:val="00275400"/>
    <w:rsid w:val="002B46EF"/>
    <w:rsid w:val="002C1CB2"/>
    <w:rsid w:val="002E6A92"/>
    <w:rsid w:val="002F72ED"/>
    <w:rsid w:val="003046FF"/>
    <w:rsid w:val="00333893"/>
    <w:rsid w:val="00335560"/>
    <w:rsid w:val="00365893"/>
    <w:rsid w:val="003A6233"/>
    <w:rsid w:val="003C05F8"/>
    <w:rsid w:val="003C0E58"/>
    <w:rsid w:val="003C27A7"/>
    <w:rsid w:val="003C613D"/>
    <w:rsid w:val="003D63F6"/>
    <w:rsid w:val="00400ED9"/>
    <w:rsid w:val="004056D1"/>
    <w:rsid w:val="004120DE"/>
    <w:rsid w:val="00414DD7"/>
    <w:rsid w:val="00423B34"/>
    <w:rsid w:val="00456AD7"/>
    <w:rsid w:val="004B7A4E"/>
    <w:rsid w:val="004C40EC"/>
    <w:rsid w:val="004D6F31"/>
    <w:rsid w:val="004F76C0"/>
    <w:rsid w:val="00502735"/>
    <w:rsid w:val="00507E2D"/>
    <w:rsid w:val="00511197"/>
    <w:rsid w:val="0052103A"/>
    <w:rsid w:val="00533FDA"/>
    <w:rsid w:val="005839D7"/>
    <w:rsid w:val="0059023A"/>
    <w:rsid w:val="00596B9E"/>
    <w:rsid w:val="005D120E"/>
    <w:rsid w:val="005F53BF"/>
    <w:rsid w:val="00606883"/>
    <w:rsid w:val="006176E5"/>
    <w:rsid w:val="006230C1"/>
    <w:rsid w:val="006247C8"/>
    <w:rsid w:val="00625732"/>
    <w:rsid w:val="00634D69"/>
    <w:rsid w:val="00655A0D"/>
    <w:rsid w:val="0068079D"/>
    <w:rsid w:val="00693390"/>
    <w:rsid w:val="006A6EFD"/>
    <w:rsid w:val="006B0CFE"/>
    <w:rsid w:val="00703BD4"/>
    <w:rsid w:val="00705AFD"/>
    <w:rsid w:val="00726981"/>
    <w:rsid w:val="007276CA"/>
    <w:rsid w:val="00731732"/>
    <w:rsid w:val="00795431"/>
    <w:rsid w:val="007B4F1B"/>
    <w:rsid w:val="007B4FE2"/>
    <w:rsid w:val="007F1D7D"/>
    <w:rsid w:val="007F742E"/>
    <w:rsid w:val="0080473F"/>
    <w:rsid w:val="008103A3"/>
    <w:rsid w:val="00820918"/>
    <w:rsid w:val="00822E69"/>
    <w:rsid w:val="008271EE"/>
    <w:rsid w:val="00827AEA"/>
    <w:rsid w:val="00867BDE"/>
    <w:rsid w:val="00870741"/>
    <w:rsid w:val="008717A8"/>
    <w:rsid w:val="00880CB8"/>
    <w:rsid w:val="008A04D2"/>
    <w:rsid w:val="008D27CB"/>
    <w:rsid w:val="008D3252"/>
    <w:rsid w:val="008E0FFA"/>
    <w:rsid w:val="008E3AD1"/>
    <w:rsid w:val="008F7495"/>
    <w:rsid w:val="00902C93"/>
    <w:rsid w:val="00913646"/>
    <w:rsid w:val="009317D1"/>
    <w:rsid w:val="00946E55"/>
    <w:rsid w:val="0097365A"/>
    <w:rsid w:val="00973FB8"/>
    <w:rsid w:val="00981994"/>
    <w:rsid w:val="009B732C"/>
    <w:rsid w:val="009D19F6"/>
    <w:rsid w:val="009D2A8B"/>
    <w:rsid w:val="009F0F48"/>
    <w:rsid w:val="00A20350"/>
    <w:rsid w:val="00A21CB6"/>
    <w:rsid w:val="00A43A32"/>
    <w:rsid w:val="00A47D75"/>
    <w:rsid w:val="00A64FB7"/>
    <w:rsid w:val="00A6593F"/>
    <w:rsid w:val="00A7219D"/>
    <w:rsid w:val="00A815CC"/>
    <w:rsid w:val="00AA1F43"/>
    <w:rsid w:val="00AA7A19"/>
    <w:rsid w:val="00AE3743"/>
    <w:rsid w:val="00AF589D"/>
    <w:rsid w:val="00B02CF4"/>
    <w:rsid w:val="00B50557"/>
    <w:rsid w:val="00B569AE"/>
    <w:rsid w:val="00B6043D"/>
    <w:rsid w:val="00B81143"/>
    <w:rsid w:val="00B87950"/>
    <w:rsid w:val="00BA29EA"/>
    <w:rsid w:val="00BE3AC6"/>
    <w:rsid w:val="00C313C9"/>
    <w:rsid w:val="00C72774"/>
    <w:rsid w:val="00CA778C"/>
    <w:rsid w:val="00CB0D76"/>
    <w:rsid w:val="00CB431F"/>
    <w:rsid w:val="00CF240E"/>
    <w:rsid w:val="00D25CA4"/>
    <w:rsid w:val="00D3491B"/>
    <w:rsid w:val="00D60A9D"/>
    <w:rsid w:val="00DB4C43"/>
    <w:rsid w:val="00DB4EE0"/>
    <w:rsid w:val="00DC74A7"/>
    <w:rsid w:val="00DD5DB0"/>
    <w:rsid w:val="00DF2BCA"/>
    <w:rsid w:val="00E31175"/>
    <w:rsid w:val="00E34923"/>
    <w:rsid w:val="00E53EB7"/>
    <w:rsid w:val="00E7715D"/>
    <w:rsid w:val="00E82F34"/>
    <w:rsid w:val="00E86B61"/>
    <w:rsid w:val="00E91068"/>
    <w:rsid w:val="00EB1CB6"/>
    <w:rsid w:val="00EB33D5"/>
    <w:rsid w:val="00EC10CB"/>
    <w:rsid w:val="00EC22D1"/>
    <w:rsid w:val="00ED6A64"/>
    <w:rsid w:val="00F4033E"/>
    <w:rsid w:val="00F41B56"/>
    <w:rsid w:val="00F46D54"/>
    <w:rsid w:val="00FD4162"/>
    <w:rsid w:val="00FD44A1"/>
    <w:rsid w:val="00FF73D9"/>
    <w:rsid w:val="01074046"/>
    <w:rsid w:val="01087146"/>
    <w:rsid w:val="01320A89"/>
    <w:rsid w:val="013F4762"/>
    <w:rsid w:val="01555D36"/>
    <w:rsid w:val="01571B3E"/>
    <w:rsid w:val="015C039B"/>
    <w:rsid w:val="015D0B69"/>
    <w:rsid w:val="0162669E"/>
    <w:rsid w:val="01731009"/>
    <w:rsid w:val="017C1861"/>
    <w:rsid w:val="01814DD7"/>
    <w:rsid w:val="019330E1"/>
    <w:rsid w:val="019A26F4"/>
    <w:rsid w:val="01A76B9F"/>
    <w:rsid w:val="01B55669"/>
    <w:rsid w:val="01BB651F"/>
    <w:rsid w:val="01C77ACE"/>
    <w:rsid w:val="01CE06EA"/>
    <w:rsid w:val="01D504F3"/>
    <w:rsid w:val="01EE2233"/>
    <w:rsid w:val="020B5247"/>
    <w:rsid w:val="02117A13"/>
    <w:rsid w:val="02175600"/>
    <w:rsid w:val="02201996"/>
    <w:rsid w:val="022719BD"/>
    <w:rsid w:val="022B1076"/>
    <w:rsid w:val="02336432"/>
    <w:rsid w:val="023A0ACB"/>
    <w:rsid w:val="023F7854"/>
    <w:rsid w:val="02444CD5"/>
    <w:rsid w:val="024D3B57"/>
    <w:rsid w:val="02543B8E"/>
    <w:rsid w:val="02571FB0"/>
    <w:rsid w:val="0276779B"/>
    <w:rsid w:val="027D39E1"/>
    <w:rsid w:val="02847DB9"/>
    <w:rsid w:val="029C681D"/>
    <w:rsid w:val="02C9587A"/>
    <w:rsid w:val="02DB343C"/>
    <w:rsid w:val="02E318C8"/>
    <w:rsid w:val="02E75AF7"/>
    <w:rsid w:val="02E9438C"/>
    <w:rsid w:val="030339CF"/>
    <w:rsid w:val="03063938"/>
    <w:rsid w:val="030D661A"/>
    <w:rsid w:val="03107520"/>
    <w:rsid w:val="031E29D7"/>
    <w:rsid w:val="03236089"/>
    <w:rsid w:val="032D73EC"/>
    <w:rsid w:val="033D1FC5"/>
    <w:rsid w:val="03441AEB"/>
    <w:rsid w:val="03483054"/>
    <w:rsid w:val="03531B2E"/>
    <w:rsid w:val="03665FE4"/>
    <w:rsid w:val="036D76E4"/>
    <w:rsid w:val="037263D9"/>
    <w:rsid w:val="03742523"/>
    <w:rsid w:val="03815C3A"/>
    <w:rsid w:val="038559E0"/>
    <w:rsid w:val="03A21089"/>
    <w:rsid w:val="03AE7610"/>
    <w:rsid w:val="03CF5C14"/>
    <w:rsid w:val="03D07326"/>
    <w:rsid w:val="03DF073B"/>
    <w:rsid w:val="03E0331E"/>
    <w:rsid w:val="03E26B34"/>
    <w:rsid w:val="03E463D3"/>
    <w:rsid w:val="04003C23"/>
    <w:rsid w:val="041202D3"/>
    <w:rsid w:val="041B7AA1"/>
    <w:rsid w:val="04313574"/>
    <w:rsid w:val="043E1FEF"/>
    <w:rsid w:val="043F724A"/>
    <w:rsid w:val="0457724C"/>
    <w:rsid w:val="045D5E10"/>
    <w:rsid w:val="0478104E"/>
    <w:rsid w:val="04883E48"/>
    <w:rsid w:val="04884804"/>
    <w:rsid w:val="0491352B"/>
    <w:rsid w:val="0496529C"/>
    <w:rsid w:val="049C7734"/>
    <w:rsid w:val="049F249A"/>
    <w:rsid w:val="04D3141D"/>
    <w:rsid w:val="04F26F4E"/>
    <w:rsid w:val="05002400"/>
    <w:rsid w:val="05091489"/>
    <w:rsid w:val="050A32C4"/>
    <w:rsid w:val="052147EF"/>
    <w:rsid w:val="05432981"/>
    <w:rsid w:val="05513968"/>
    <w:rsid w:val="056636DB"/>
    <w:rsid w:val="05681A75"/>
    <w:rsid w:val="056D0811"/>
    <w:rsid w:val="05871DC9"/>
    <w:rsid w:val="05925DF6"/>
    <w:rsid w:val="05A35D37"/>
    <w:rsid w:val="05A40B04"/>
    <w:rsid w:val="05AB6CBE"/>
    <w:rsid w:val="05B35541"/>
    <w:rsid w:val="05BD097D"/>
    <w:rsid w:val="05C10E79"/>
    <w:rsid w:val="05C33333"/>
    <w:rsid w:val="05D45FEB"/>
    <w:rsid w:val="05DD7822"/>
    <w:rsid w:val="05E5128D"/>
    <w:rsid w:val="05F05F3C"/>
    <w:rsid w:val="05F33DE3"/>
    <w:rsid w:val="05F5438C"/>
    <w:rsid w:val="05FD2716"/>
    <w:rsid w:val="06023097"/>
    <w:rsid w:val="0604537E"/>
    <w:rsid w:val="06101C8C"/>
    <w:rsid w:val="062B60C2"/>
    <w:rsid w:val="06326A2D"/>
    <w:rsid w:val="064B7704"/>
    <w:rsid w:val="06575936"/>
    <w:rsid w:val="06602BB4"/>
    <w:rsid w:val="06637207"/>
    <w:rsid w:val="066C1959"/>
    <w:rsid w:val="067B719C"/>
    <w:rsid w:val="06807BE4"/>
    <w:rsid w:val="06820453"/>
    <w:rsid w:val="068948CD"/>
    <w:rsid w:val="06932FF7"/>
    <w:rsid w:val="06A341A7"/>
    <w:rsid w:val="06A82F5B"/>
    <w:rsid w:val="06B75333"/>
    <w:rsid w:val="06D44F60"/>
    <w:rsid w:val="06E86867"/>
    <w:rsid w:val="06EF4912"/>
    <w:rsid w:val="06FD211F"/>
    <w:rsid w:val="070159FE"/>
    <w:rsid w:val="07052346"/>
    <w:rsid w:val="070D4194"/>
    <w:rsid w:val="07106B48"/>
    <w:rsid w:val="071A4A25"/>
    <w:rsid w:val="071F425E"/>
    <w:rsid w:val="07335F45"/>
    <w:rsid w:val="07386A5E"/>
    <w:rsid w:val="07545637"/>
    <w:rsid w:val="075D175E"/>
    <w:rsid w:val="0760459B"/>
    <w:rsid w:val="07650044"/>
    <w:rsid w:val="07673522"/>
    <w:rsid w:val="07787161"/>
    <w:rsid w:val="077A7B8A"/>
    <w:rsid w:val="07A028AF"/>
    <w:rsid w:val="07A1396F"/>
    <w:rsid w:val="07A40B28"/>
    <w:rsid w:val="07A502F4"/>
    <w:rsid w:val="07BC729D"/>
    <w:rsid w:val="07C90E80"/>
    <w:rsid w:val="07D22F1A"/>
    <w:rsid w:val="07D608D5"/>
    <w:rsid w:val="07D87287"/>
    <w:rsid w:val="07DC5FAA"/>
    <w:rsid w:val="07E509E1"/>
    <w:rsid w:val="07F0031C"/>
    <w:rsid w:val="082D6213"/>
    <w:rsid w:val="082E414A"/>
    <w:rsid w:val="08342D07"/>
    <w:rsid w:val="0834513C"/>
    <w:rsid w:val="08483D46"/>
    <w:rsid w:val="08596130"/>
    <w:rsid w:val="08686183"/>
    <w:rsid w:val="086C4F68"/>
    <w:rsid w:val="08831B75"/>
    <w:rsid w:val="088D0831"/>
    <w:rsid w:val="08A211FF"/>
    <w:rsid w:val="08A623AF"/>
    <w:rsid w:val="08AC7940"/>
    <w:rsid w:val="08D36930"/>
    <w:rsid w:val="08E33990"/>
    <w:rsid w:val="08EA1524"/>
    <w:rsid w:val="08FB3880"/>
    <w:rsid w:val="0901439C"/>
    <w:rsid w:val="090E7C9B"/>
    <w:rsid w:val="091468DD"/>
    <w:rsid w:val="093375BB"/>
    <w:rsid w:val="09385D4D"/>
    <w:rsid w:val="094F58AB"/>
    <w:rsid w:val="094F5C49"/>
    <w:rsid w:val="095A0746"/>
    <w:rsid w:val="09844EBF"/>
    <w:rsid w:val="09882276"/>
    <w:rsid w:val="09886F8A"/>
    <w:rsid w:val="098B7D00"/>
    <w:rsid w:val="09927ABB"/>
    <w:rsid w:val="09987EDA"/>
    <w:rsid w:val="099929EC"/>
    <w:rsid w:val="09B25955"/>
    <w:rsid w:val="09B66121"/>
    <w:rsid w:val="09BF31F9"/>
    <w:rsid w:val="09C7288A"/>
    <w:rsid w:val="09CC00F6"/>
    <w:rsid w:val="09D32AA4"/>
    <w:rsid w:val="09D427C0"/>
    <w:rsid w:val="09DC4DF0"/>
    <w:rsid w:val="09EA3420"/>
    <w:rsid w:val="09EA7403"/>
    <w:rsid w:val="09F01221"/>
    <w:rsid w:val="09F64B8F"/>
    <w:rsid w:val="0A207B1F"/>
    <w:rsid w:val="0A2E5D2E"/>
    <w:rsid w:val="0A5C6E0F"/>
    <w:rsid w:val="0A796CC5"/>
    <w:rsid w:val="0A7D181C"/>
    <w:rsid w:val="0A827AF5"/>
    <w:rsid w:val="0A841A62"/>
    <w:rsid w:val="0A844B06"/>
    <w:rsid w:val="0A857D39"/>
    <w:rsid w:val="0A885898"/>
    <w:rsid w:val="0A8D64ED"/>
    <w:rsid w:val="0A8D7DFD"/>
    <w:rsid w:val="0A903042"/>
    <w:rsid w:val="0A917864"/>
    <w:rsid w:val="0AA01447"/>
    <w:rsid w:val="0AA95240"/>
    <w:rsid w:val="0ABF7418"/>
    <w:rsid w:val="0AD140C6"/>
    <w:rsid w:val="0AD36DC9"/>
    <w:rsid w:val="0AE1709D"/>
    <w:rsid w:val="0AEF1CA4"/>
    <w:rsid w:val="0AF62D76"/>
    <w:rsid w:val="0AFC7A29"/>
    <w:rsid w:val="0B0A635E"/>
    <w:rsid w:val="0B103B47"/>
    <w:rsid w:val="0B2064B2"/>
    <w:rsid w:val="0B2D4768"/>
    <w:rsid w:val="0B3558A5"/>
    <w:rsid w:val="0B385C98"/>
    <w:rsid w:val="0B3B3643"/>
    <w:rsid w:val="0B426D02"/>
    <w:rsid w:val="0B483DAF"/>
    <w:rsid w:val="0B4A77EA"/>
    <w:rsid w:val="0B4F1AAF"/>
    <w:rsid w:val="0B505CD8"/>
    <w:rsid w:val="0B5D4EE0"/>
    <w:rsid w:val="0B63435B"/>
    <w:rsid w:val="0B8A7168"/>
    <w:rsid w:val="0B99666A"/>
    <w:rsid w:val="0B997CAF"/>
    <w:rsid w:val="0B9E62C4"/>
    <w:rsid w:val="0BA13491"/>
    <w:rsid w:val="0BA51239"/>
    <w:rsid w:val="0BA645D0"/>
    <w:rsid w:val="0BC466F4"/>
    <w:rsid w:val="0BC631B1"/>
    <w:rsid w:val="0BD27054"/>
    <w:rsid w:val="0BD45DB0"/>
    <w:rsid w:val="0BE175FA"/>
    <w:rsid w:val="0BEB3035"/>
    <w:rsid w:val="0C2B34D5"/>
    <w:rsid w:val="0C346CC5"/>
    <w:rsid w:val="0C3D07BF"/>
    <w:rsid w:val="0C4613F7"/>
    <w:rsid w:val="0C4E32BB"/>
    <w:rsid w:val="0C5974B7"/>
    <w:rsid w:val="0C5E192C"/>
    <w:rsid w:val="0C7505D5"/>
    <w:rsid w:val="0C7722F9"/>
    <w:rsid w:val="0C810D74"/>
    <w:rsid w:val="0C825A90"/>
    <w:rsid w:val="0C8B1CB3"/>
    <w:rsid w:val="0C8C7FCB"/>
    <w:rsid w:val="0C8F7B18"/>
    <w:rsid w:val="0C9F555A"/>
    <w:rsid w:val="0CA347A7"/>
    <w:rsid w:val="0CB030D0"/>
    <w:rsid w:val="0CBD2E10"/>
    <w:rsid w:val="0CBD7D37"/>
    <w:rsid w:val="0CCA4B07"/>
    <w:rsid w:val="0CCF5AA7"/>
    <w:rsid w:val="0CD20F22"/>
    <w:rsid w:val="0CD42BF0"/>
    <w:rsid w:val="0CD574E2"/>
    <w:rsid w:val="0CD635DC"/>
    <w:rsid w:val="0D042796"/>
    <w:rsid w:val="0D1666C2"/>
    <w:rsid w:val="0D3201BB"/>
    <w:rsid w:val="0D446F88"/>
    <w:rsid w:val="0D6C0F92"/>
    <w:rsid w:val="0D862E26"/>
    <w:rsid w:val="0D871BC2"/>
    <w:rsid w:val="0D8F2357"/>
    <w:rsid w:val="0D9A621B"/>
    <w:rsid w:val="0DA16BA8"/>
    <w:rsid w:val="0DA77083"/>
    <w:rsid w:val="0DB11C19"/>
    <w:rsid w:val="0DCA2163"/>
    <w:rsid w:val="0DCC33D9"/>
    <w:rsid w:val="0DD07926"/>
    <w:rsid w:val="0DDB0847"/>
    <w:rsid w:val="0DDC7116"/>
    <w:rsid w:val="0DF3401C"/>
    <w:rsid w:val="0DF5249E"/>
    <w:rsid w:val="0E1A6B31"/>
    <w:rsid w:val="0E2461F6"/>
    <w:rsid w:val="0E2A3D70"/>
    <w:rsid w:val="0E3A01FA"/>
    <w:rsid w:val="0E3C19C8"/>
    <w:rsid w:val="0E4404B2"/>
    <w:rsid w:val="0E4410A5"/>
    <w:rsid w:val="0E4970D4"/>
    <w:rsid w:val="0E4B613E"/>
    <w:rsid w:val="0E4C3E08"/>
    <w:rsid w:val="0E543543"/>
    <w:rsid w:val="0E725931"/>
    <w:rsid w:val="0E761B6C"/>
    <w:rsid w:val="0E773ABB"/>
    <w:rsid w:val="0E7F3F63"/>
    <w:rsid w:val="0E8807BD"/>
    <w:rsid w:val="0E9B4995"/>
    <w:rsid w:val="0E9D4EFB"/>
    <w:rsid w:val="0EAD5805"/>
    <w:rsid w:val="0EBF4221"/>
    <w:rsid w:val="0EC1568B"/>
    <w:rsid w:val="0EC20938"/>
    <w:rsid w:val="0ED463D8"/>
    <w:rsid w:val="0EE42959"/>
    <w:rsid w:val="0EFD2849"/>
    <w:rsid w:val="0F0668CA"/>
    <w:rsid w:val="0F0D7B3F"/>
    <w:rsid w:val="0F2E7F18"/>
    <w:rsid w:val="0F31112A"/>
    <w:rsid w:val="0F3414E8"/>
    <w:rsid w:val="0F4126ED"/>
    <w:rsid w:val="0F4328C8"/>
    <w:rsid w:val="0F500AB0"/>
    <w:rsid w:val="0F5D3222"/>
    <w:rsid w:val="0F5D59BD"/>
    <w:rsid w:val="0F6147A0"/>
    <w:rsid w:val="0F76004A"/>
    <w:rsid w:val="0F7F46C4"/>
    <w:rsid w:val="0F8D109F"/>
    <w:rsid w:val="0F8F2578"/>
    <w:rsid w:val="0F945149"/>
    <w:rsid w:val="0FA56FC7"/>
    <w:rsid w:val="0FA96E6B"/>
    <w:rsid w:val="0FB6376E"/>
    <w:rsid w:val="0FBA4E83"/>
    <w:rsid w:val="0FBC73ED"/>
    <w:rsid w:val="0FBF07D3"/>
    <w:rsid w:val="0FC54EE6"/>
    <w:rsid w:val="0FD609C1"/>
    <w:rsid w:val="0FDE750E"/>
    <w:rsid w:val="0FE2665E"/>
    <w:rsid w:val="0FF6328B"/>
    <w:rsid w:val="10052627"/>
    <w:rsid w:val="100C3E07"/>
    <w:rsid w:val="1017171F"/>
    <w:rsid w:val="10206FB0"/>
    <w:rsid w:val="10230B93"/>
    <w:rsid w:val="103831C6"/>
    <w:rsid w:val="103E4562"/>
    <w:rsid w:val="10404158"/>
    <w:rsid w:val="10524AF7"/>
    <w:rsid w:val="10820F19"/>
    <w:rsid w:val="108A7C66"/>
    <w:rsid w:val="109A0CC1"/>
    <w:rsid w:val="10A136B9"/>
    <w:rsid w:val="10A42E2D"/>
    <w:rsid w:val="10A44B24"/>
    <w:rsid w:val="10A565D2"/>
    <w:rsid w:val="10AF51E5"/>
    <w:rsid w:val="10BA6E1A"/>
    <w:rsid w:val="10C2430D"/>
    <w:rsid w:val="10C90ACF"/>
    <w:rsid w:val="10CA3BDC"/>
    <w:rsid w:val="10CF3E89"/>
    <w:rsid w:val="10D805D5"/>
    <w:rsid w:val="10F918EB"/>
    <w:rsid w:val="112003A1"/>
    <w:rsid w:val="11293937"/>
    <w:rsid w:val="1146686D"/>
    <w:rsid w:val="11565CBD"/>
    <w:rsid w:val="11706D7A"/>
    <w:rsid w:val="11706ED2"/>
    <w:rsid w:val="117307F9"/>
    <w:rsid w:val="11796DD7"/>
    <w:rsid w:val="118A79F7"/>
    <w:rsid w:val="11941056"/>
    <w:rsid w:val="119909C8"/>
    <w:rsid w:val="119B2E2E"/>
    <w:rsid w:val="11A23BF6"/>
    <w:rsid w:val="11A6066D"/>
    <w:rsid w:val="11A87179"/>
    <w:rsid w:val="11AB4549"/>
    <w:rsid w:val="11AE7D52"/>
    <w:rsid w:val="11B52839"/>
    <w:rsid w:val="11CA4CC1"/>
    <w:rsid w:val="11D67F5D"/>
    <w:rsid w:val="11D75F2A"/>
    <w:rsid w:val="11DD0499"/>
    <w:rsid w:val="11DD31D1"/>
    <w:rsid w:val="11E42EA6"/>
    <w:rsid w:val="12046B3C"/>
    <w:rsid w:val="1208336E"/>
    <w:rsid w:val="1220793A"/>
    <w:rsid w:val="12211262"/>
    <w:rsid w:val="122C3702"/>
    <w:rsid w:val="122E55DD"/>
    <w:rsid w:val="12334A21"/>
    <w:rsid w:val="123D3805"/>
    <w:rsid w:val="12412EA7"/>
    <w:rsid w:val="126D039E"/>
    <w:rsid w:val="127508B0"/>
    <w:rsid w:val="1285444F"/>
    <w:rsid w:val="12AF2AF5"/>
    <w:rsid w:val="12C32643"/>
    <w:rsid w:val="12C752F2"/>
    <w:rsid w:val="12DA0E63"/>
    <w:rsid w:val="12DD4D68"/>
    <w:rsid w:val="12DE4FDF"/>
    <w:rsid w:val="12F04D11"/>
    <w:rsid w:val="12F176F2"/>
    <w:rsid w:val="12F56A98"/>
    <w:rsid w:val="12F862BA"/>
    <w:rsid w:val="130200A8"/>
    <w:rsid w:val="133875FC"/>
    <w:rsid w:val="133935F6"/>
    <w:rsid w:val="13394607"/>
    <w:rsid w:val="134A6FA1"/>
    <w:rsid w:val="13636863"/>
    <w:rsid w:val="137148E6"/>
    <w:rsid w:val="13926C8F"/>
    <w:rsid w:val="139460E2"/>
    <w:rsid w:val="139C0911"/>
    <w:rsid w:val="13A34909"/>
    <w:rsid w:val="13B26B58"/>
    <w:rsid w:val="13BF68B0"/>
    <w:rsid w:val="13C2059E"/>
    <w:rsid w:val="13CB2A15"/>
    <w:rsid w:val="13D34164"/>
    <w:rsid w:val="13E928B9"/>
    <w:rsid w:val="13EA53CB"/>
    <w:rsid w:val="13F8578D"/>
    <w:rsid w:val="14023E93"/>
    <w:rsid w:val="140D4CC3"/>
    <w:rsid w:val="141603FF"/>
    <w:rsid w:val="141A1890"/>
    <w:rsid w:val="1428784E"/>
    <w:rsid w:val="142F4A58"/>
    <w:rsid w:val="143343BC"/>
    <w:rsid w:val="143B3F94"/>
    <w:rsid w:val="143E155D"/>
    <w:rsid w:val="14434081"/>
    <w:rsid w:val="14524FEA"/>
    <w:rsid w:val="14537D60"/>
    <w:rsid w:val="145F55A0"/>
    <w:rsid w:val="146A2630"/>
    <w:rsid w:val="147E7D46"/>
    <w:rsid w:val="14874CB2"/>
    <w:rsid w:val="14B27947"/>
    <w:rsid w:val="14BE4E9D"/>
    <w:rsid w:val="14C11702"/>
    <w:rsid w:val="14C967EE"/>
    <w:rsid w:val="14DD0CB2"/>
    <w:rsid w:val="14E32182"/>
    <w:rsid w:val="14E5108F"/>
    <w:rsid w:val="14FC6299"/>
    <w:rsid w:val="15092CE2"/>
    <w:rsid w:val="15146B8D"/>
    <w:rsid w:val="151E3928"/>
    <w:rsid w:val="15270A82"/>
    <w:rsid w:val="153348AC"/>
    <w:rsid w:val="154926B6"/>
    <w:rsid w:val="1552403E"/>
    <w:rsid w:val="155D7538"/>
    <w:rsid w:val="15602622"/>
    <w:rsid w:val="15882251"/>
    <w:rsid w:val="158C79C7"/>
    <w:rsid w:val="15A27F8D"/>
    <w:rsid w:val="15B02087"/>
    <w:rsid w:val="15BC1A66"/>
    <w:rsid w:val="15C20B7F"/>
    <w:rsid w:val="15C63674"/>
    <w:rsid w:val="15C7162A"/>
    <w:rsid w:val="15C71BAE"/>
    <w:rsid w:val="15D62F35"/>
    <w:rsid w:val="15E31513"/>
    <w:rsid w:val="15E33711"/>
    <w:rsid w:val="15E74810"/>
    <w:rsid w:val="16094054"/>
    <w:rsid w:val="160B72AB"/>
    <w:rsid w:val="160F4D63"/>
    <w:rsid w:val="16214B8C"/>
    <w:rsid w:val="162504D3"/>
    <w:rsid w:val="163A210E"/>
    <w:rsid w:val="163A71FB"/>
    <w:rsid w:val="164C3FF0"/>
    <w:rsid w:val="165E551D"/>
    <w:rsid w:val="16757DC4"/>
    <w:rsid w:val="167B13A6"/>
    <w:rsid w:val="16A77DCA"/>
    <w:rsid w:val="16AF43BD"/>
    <w:rsid w:val="16B34234"/>
    <w:rsid w:val="16BC60CF"/>
    <w:rsid w:val="16D34240"/>
    <w:rsid w:val="16F76675"/>
    <w:rsid w:val="170764AD"/>
    <w:rsid w:val="1712743B"/>
    <w:rsid w:val="17146B43"/>
    <w:rsid w:val="17317359"/>
    <w:rsid w:val="17334AF3"/>
    <w:rsid w:val="1734260A"/>
    <w:rsid w:val="17373E74"/>
    <w:rsid w:val="17407BE4"/>
    <w:rsid w:val="1749489B"/>
    <w:rsid w:val="17566A11"/>
    <w:rsid w:val="17671511"/>
    <w:rsid w:val="176A1936"/>
    <w:rsid w:val="176D1612"/>
    <w:rsid w:val="176E29FA"/>
    <w:rsid w:val="177D7B9E"/>
    <w:rsid w:val="178A3401"/>
    <w:rsid w:val="17914411"/>
    <w:rsid w:val="17A35554"/>
    <w:rsid w:val="17A4371E"/>
    <w:rsid w:val="17A804B8"/>
    <w:rsid w:val="17BB244C"/>
    <w:rsid w:val="17C95459"/>
    <w:rsid w:val="17DA0856"/>
    <w:rsid w:val="17E7529B"/>
    <w:rsid w:val="17F21008"/>
    <w:rsid w:val="17F75769"/>
    <w:rsid w:val="17F91DD3"/>
    <w:rsid w:val="17FE294B"/>
    <w:rsid w:val="17FF78E9"/>
    <w:rsid w:val="18082A99"/>
    <w:rsid w:val="180F4BBB"/>
    <w:rsid w:val="18115A0E"/>
    <w:rsid w:val="182A6AA0"/>
    <w:rsid w:val="182C22CC"/>
    <w:rsid w:val="182E1F2D"/>
    <w:rsid w:val="182F2F78"/>
    <w:rsid w:val="183C3E93"/>
    <w:rsid w:val="18413D8A"/>
    <w:rsid w:val="186E6F89"/>
    <w:rsid w:val="187A0FAC"/>
    <w:rsid w:val="189268DB"/>
    <w:rsid w:val="189370B5"/>
    <w:rsid w:val="18965EA0"/>
    <w:rsid w:val="18A36151"/>
    <w:rsid w:val="18C21A9E"/>
    <w:rsid w:val="18CC3E05"/>
    <w:rsid w:val="18CE0FAF"/>
    <w:rsid w:val="18ED2160"/>
    <w:rsid w:val="18EE3749"/>
    <w:rsid w:val="18F676BF"/>
    <w:rsid w:val="19150E17"/>
    <w:rsid w:val="19161247"/>
    <w:rsid w:val="19241126"/>
    <w:rsid w:val="19332501"/>
    <w:rsid w:val="19444F26"/>
    <w:rsid w:val="195425EF"/>
    <w:rsid w:val="19584FD4"/>
    <w:rsid w:val="195B1ABE"/>
    <w:rsid w:val="195D28C8"/>
    <w:rsid w:val="19664670"/>
    <w:rsid w:val="19716B5F"/>
    <w:rsid w:val="19747000"/>
    <w:rsid w:val="19761130"/>
    <w:rsid w:val="198C6BA3"/>
    <w:rsid w:val="19944212"/>
    <w:rsid w:val="19A848CE"/>
    <w:rsid w:val="19AA00F1"/>
    <w:rsid w:val="19C84559"/>
    <w:rsid w:val="19DA3D6E"/>
    <w:rsid w:val="19E26A19"/>
    <w:rsid w:val="19ED508F"/>
    <w:rsid w:val="19F51DAE"/>
    <w:rsid w:val="19F809AC"/>
    <w:rsid w:val="1A05381A"/>
    <w:rsid w:val="1A061BAE"/>
    <w:rsid w:val="1A1A1755"/>
    <w:rsid w:val="1A3B7251"/>
    <w:rsid w:val="1A3D459F"/>
    <w:rsid w:val="1A481648"/>
    <w:rsid w:val="1A493DA2"/>
    <w:rsid w:val="1A566B3C"/>
    <w:rsid w:val="1A691311"/>
    <w:rsid w:val="1A7515F6"/>
    <w:rsid w:val="1A7E6681"/>
    <w:rsid w:val="1A934F6D"/>
    <w:rsid w:val="1A9A2DD4"/>
    <w:rsid w:val="1AA5105E"/>
    <w:rsid w:val="1ABC52F8"/>
    <w:rsid w:val="1AD67472"/>
    <w:rsid w:val="1AF77E4C"/>
    <w:rsid w:val="1AFA0F74"/>
    <w:rsid w:val="1AFA5DD3"/>
    <w:rsid w:val="1B31066B"/>
    <w:rsid w:val="1B35192F"/>
    <w:rsid w:val="1B425636"/>
    <w:rsid w:val="1B516820"/>
    <w:rsid w:val="1B5C685A"/>
    <w:rsid w:val="1B5F55F8"/>
    <w:rsid w:val="1B6400DD"/>
    <w:rsid w:val="1B6C3AA8"/>
    <w:rsid w:val="1B6C451D"/>
    <w:rsid w:val="1B6C67DE"/>
    <w:rsid w:val="1B8026BE"/>
    <w:rsid w:val="1B812BD5"/>
    <w:rsid w:val="1B8C246C"/>
    <w:rsid w:val="1BA416A0"/>
    <w:rsid w:val="1BAA7B74"/>
    <w:rsid w:val="1BB22F8B"/>
    <w:rsid w:val="1BB40836"/>
    <w:rsid w:val="1BCB7A49"/>
    <w:rsid w:val="1BD86F30"/>
    <w:rsid w:val="1BE3327A"/>
    <w:rsid w:val="1BE524A7"/>
    <w:rsid w:val="1BEF5590"/>
    <w:rsid w:val="1BF91DDE"/>
    <w:rsid w:val="1C0C4E7B"/>
    <w:rsid w:val="1C0E6A48"/>
    <w:rsid w:val="1C131BC5"/>
    <w:rsid w:val="1C170433"/>
    <w:rsid w:val="1C2B6512"/>
    <w:rsid w:val="1C35225B"/>
    <w:rsid w:val="1C3A55A5"/>
    <w:rsid w:val="1C4A573D"/>
    <w:rsid w:val="1C5B5AF6"/>
    <w:rsid w:val="1C5B7611"/>
    <w:rsid w:val="1C672E0C"/>
    <w:rsid w:val="1C6B579A"/>
    <w:rsid w:val="1C6F7FE7"/>
    <w:rsid w:val="1C8F0E9E"/>
    <w:rsid w:val="1CA01843"/>
    <w:rsid w:val="1CA6649C"/>
    <w:rsid w:val="1CBA5C7F"/>
    <w:rsid w:val="1CBC4B9A"/>
    <w:rsid w:val="1CC51C68"/>
    <w:rsid w:val="1CCF0419"/>
    <w:rsid w:val="1CD470CA"/>
    <w:rsid w:val="1CE03283"/>
    <w:rsid w:val="1CE62EE1"/>
    <w:rsid w:val="1CEF1669"/>
    <w:rsid w:val="1CF85411"/>
    <w:rsid w:val="1D28123C"/>
    <w:rsid w:val="1D286A1B"/>
    <w:rsid w:val="1D3421D3"/>
    <w:rsid w:val="1D37040F"/>
    <w:rsid w:val="1D484C1A"/>
    <w:rsid w:val="1D575B87"/>
    <w:rsid w:val="1D6C7639"/>
    <w:rsid w:val="1D6D45BF"/>
    <w:rsid w:val="1D7A122C"/>
    <w:rsid w:val="1D855AF8"/>
    <w:rsid w:val="1D890A47"/>
    <w:rsid w:val="1D8E61A0"/>
    <w:rsid w:val="1D964B50"/>
    <w:rsid w:val="1D992B27"/>
    <w:rsid w:val="1DA85724"/>
    <w:rsid w:val="1DAF6062"/>
    <w:rsid w:val="1DBF590D"/>
    <w:rsid w:val="1DC5555E"/>
    <w:rsid w:val="1DEE2BE4"/>
    <w:rsid w:val="1DF233E7"/>
    <w:rsid w:val="1E0844BA"/>
    <w:rsid w:val="1E0A2CBC"/>
    <w:rsid w:val="1E243669"/>
    <w:rsid w:val="1E2B5F08"/>
    <w:rsid w:val="1E392AA0"/>
    <w:rsid w:val="1E41460A"/>
    <w:rsid w:val="1E455165"/>
    <w:rsid w:val="1E664AE8"/>
    <w:rsid w:val="1E66787F"/>
    <w:rsid w:val="1E7C434A"/>
    <w:rsid w:val="1E840130"/>
    <w:rsid w:val="1E933284"/>
    <w:rsid w:val="1E992AE1"/>
    <w:rsid w:val="1EAB5F88"/>
    <w:rsid w:val="1EBD70F2"/>
    <w:rsid w:val="1EBF527E"/>
    <w:rsid w:val="1ED30E1E"/>
    <w:rsid w:val="1EE0406D"/>
    <w:rsid w:val="1F087131"/>
    <w:rsid w:val="1F0F65FB"/>
    <w:rsid w:val="1F114A63"/>
    <w:rsid w:val="1F2F5F8E"/>
    <w:rsid w:val="1F42409C"/>
    <w:rsid w:val="1F4D177B"/>
    <w:rsid w:val="1F4F0F9A"/>
    <w:rsid w:val="1F6B2BC8"/>
    <w:rsid w:val="1F7F2C8C"/>
    <w:rsid w:val="1F8A7DE4"/>
    <w:rsid w:val="1F924453"/>
    <w:rsid w:val="1FAF1436"/>
    <w:rsid w:val="1FD7167B"/>
    <w:rsid w:val="1FDA610A"/>
    <w:rsid w:val="1FE168A9"/>
    <w:rsid w:val="200978D3"/>
    <w:rsid w:val="201A0721"/>
    <w:rsid w:val="201A75A0"/>
    <w:rsid w:val="202277DA"/>
    <w:rsid w:val="203150CB"/>
    <w:rsid w:val="20454846"/>
    <w:rsid w:val="20455F75"/>
    <w:rsid w:val="20546F73"/>
    <w:rsid w:val="205B6B40"/>
    <w:rsid w:val="20601C02"/>
    <w:rsid w:val="2064698A"/>
    <w:rsid w:val="20695EC3"/>
    <w:rsid w:val="206E1F4D"/>
    <w:rsid w:val="20862C79"/>
    <w:rsid w:val="208716B2"/>
    <w:rsid w:val="20B32243"/>
    <w:rsid w:val="20B74057"/>
    <w:rsid w:val="20C12C2F"/>
    <w:rsid w:val="20CE1C4D"/>
    <w:rsid w:val="20D24E25"/>
    <w:rsid w:val="20D56BF9"/>
    <w:rsid w:val="20DD3DB8"/>
    <w:rsid w:val="20E36E34"/>
    <w:rsid w:val="20F0628E"/>
    <w:rsid w:val="21053910"/>
    <w:rsid w:val="21150C66"/>
    <w:rsid w:val="211E31CB"/>
    <w:rsid w:val="21247C7E"/>
    <w:rsid w:val="212A20DE"/>
    <w:rsid w:val="21342040"/>
    <w:rsid w:val="213C54CA"/>
    <w:rsid w:val="214D5B7C"/>
    <w:rsid w:val="215D336C"/>
    <w:rsid w:val="21641421"/>
    <w:rsid w:val="218C54DC"/>
    <w:rsid w:val="218D3B2C"/>
    <w:rsid w:val="2190457D"/>
    <w:rsid w:val="2194300F"/>
    <w:rsid w:val="21A40A5F"/>
    <w:rsid w:val="21A870E7"/>
    <w:rsid w:val="21C11051"/>
    <w:rsid w:val="21C9474B"/>
    <w:rsid w:val="21CA181C"/>
    <w:rsid w:val="21D01696"/>
    <w:rsid w:val="21E20C1C"/>
    <w:rsid w:val="21EB600E"/>
    <w:rsid w:val="220C246C"/>
    <w:rsid w:val="22242822"/>
    <w:rsid w:val="222F24C6"/>
    <w:rsid w:val="22311A43"/>
    <w:rsid w:val="22334AF4"/>
    <w:rsid w:val="223F0988"/>
    <w:rsid w:val="22431EAF"/>
    <w:rsid w:val="224B6A17"/>
    <w:rsid w:val="2257273D"/>
    <w:rsid w:val="225D3D01"/>
    <w:rsid w:val="2272644B"/>
    <w:rsid w:val="22730643"/>
    <w:rsid w:val="2276739F"/>
    <w:rsid w:val="228D1798"/>
    <w:rsid w:val="22934012"/>
    <w:rsid w:val="22945884"/>
    <w:rsid w:val="22B42350"/>
    <w:rsid w:val="22B5350F"/>
    <w:rsid w:val="22BB322B"/>
    <w:rsid w:val="22BD7151"/>
    <w:rsid w:val="22C604E0"/>
    <w:rsid w:val="22C9213E"/>
    <w:rsid w:val="22EE1F90"/>
    <w:rsid w:val="22F2208A"/>
    <w:rsid w:val="22FE2784"/>
    <w:rsid w:val="23002037"/>
    <w:rsid w:val="230E24AC"/>
    <w:rsid w:val="23322038"/>
    <w:rsid w:val="233F5379"/>
    <w:rsid w:val="2347109D"/>
    <w:rsid w:val="23512E0C"/>
    <w:rsid w:val="235204E6"/>
    <w:rsid w:val="23542ADE"/>
    <w:rsid w:val="2368536F"/>
    <w:rsid w:val="2373040B"/>
    <w:rsid w:val="2381456E"/>
    <w:rsid w:val="23886124"/>
    <w:rsid w:val="239F3402"/>
    <w:rsid w:val="23AA0394"/>
    <w:rsid w:val="23BC64A6"/>
    <w:rsid w:val="23C50F1D"/>
    <w:rsid w:val="23F35F5F"/>
    <w:rsid w:val="23FA4566"/>
    <w:rsid w:val="24122895"/>
    <w:rsid w:val="241909B7"/>
    <w:rsid w:val="24267C58"/>
    <w:rsid w:val="242F09CF"/>
    <w:rsid w:val="2436643F"/>
    <w:rsid w:val="24413E93"/>
    <w:rsid w:val="24424A6E"/>
    <w:rsid w:val="244E03E6"/>
    <w:rsid w:val="24535587"/>
    <w:rsid w:val="24565B3A"/>
    <w:rsid w:val="24754533"/>
    <w:rsid w:val="247B3488"/>
    <w:rsid w:val="24A90873"/>
    <w:rsid w:val="24B403E6"/>
    <w:rsid w:val="24B81B41"/>
    <w:rsid w:val="24C45A46"/>
    <w:rsid w:val="24CA28B6"/>
    <w:rsid w:val="24D275D2"/>
    <w:rsid w:val="24D45A2D"/>
    <w:rsid w:val="24D62DBD"/>
    <w:rsid w:val="24DC3896"/>
    <w:rsid w:val="24E444CC"/>
    <w:rsid w:val="24EA054D"/>
    <w:rsid w:val="24EE4DE2"/>
    <w:rsid w:val="24F072DB"/>
    <w:rsid w:val="251076B1"/>
    <w:rsid w:val="25213874"/>
    <w:rsid w:val="2527244E"/>
    <w:rsid w:val="2534254E"/>
    <w:rsid w:val="25383D75"/>
    <w:rsid w:val="25396E06"/>
    <w:rsid w:val="25433F14"/>
    <w:rsid w:val="254F3C66"/>
    <w:rsid w:val="2554089B"/>
    <w:rsid w:val="25570085"/>
    <w:rsid w:val="25610C4D"/>
    <w:rsid w:val="25633F3D"/>
    <w:rsid w:val="256C056F"/>
    <w:rsid w:val="257324A8"/>
    <w:rsid w:val="258624C1"/>
    <w:rsid w:val="25923550"/>
    <w:rsid w:val="25956E98"/>
    <w:rsid w:val="25993A71"/>
    <w:rsid w:val="259D3FBA"/>
    <w:rsid w:val="25A96929"/>
    <w:rsid w:val="25AB1F27"/>
    <w:rsid w:val="25B90704"/>
    <w:rsid w:val="25BA1E1C"/>
    <w:rsid w:val="25DC4D1F"/>
    <w:rsid w:val="25E312AC"/>
    <w:rsid w:val="25E558C7"/>
    <w:rsid w:val="25EB65E2"/>
    <w:rsid w:val="25ED33D2"/>
    <w:rsid w:val="25F862B3"/>
    <w:rsid w:val="262D5689"/>
    <w:rsid w:val="266346E2"/>
    <w:rsid w:val="266F5831"/>
    <w:rsid w:val="267758CC"/>
    <w:rsid w:val="268A2E91"/>
    <w:rsid w:val="268C7C25"/>
    <w:rsid w:val="268E6E1C"/>
    <w:rsid w:val="269173C1"/>
    <w:rsid w:val="26967D4F"/>
    <w:rsid w:val="26973DD9"/>
    <w:rsid w:val="269A7114"/>
    <w:rsid w:val="26B3580F"/>
    <w:rsid w:val="26B4679E"/>
    <w:rsid w:val="26BC3415"/>
    <w:rsid w:val="26C24FB6"/>
    <w:rsid w:val="26C95489"/>
    <w:rsid w:val="26E00AF2"/>
    <w:rsid w:val="26E312AF"/>
    <w:rsid w:val="26E35247"/>
    <w:rsid w:val="2713062B"/>
    <w:rsid w:val="27256622"/>
    <w:rsid w:val="272B516E"/>
    <w:rsid w:val="27410EC2"/>
    <w:rsid w:val="274A69E0"/>
    <w:rsid w:val="276175F4"/>
    <w:rsid w:val="276D0529"/>
    <w:rsid w:val="2779749B"/>
    <w:rsid w:val="277F08A2"/>
    <w:rsid w:val="27933927"/>
    <w:rsid w:val="27992A4C"/>
    <w:rsid w:val="27A33E35"/>
    <w:rsid w:val="27A94296"/>
    <w:rsid w:val="27B60BEB"/>
    <w:rsid w:val="27BD0064"/>
    <w:rsid w:val="27C34DE1"/>
    <w:rsid w:val="27D73488"/>
    <w:rsid w:val="27D8374E"/>
    <w:rsid w:val="27DA0F13"/>
    <w:rsid w:val="27EB437A"/>
    <w:rsid w:val="27F528CB"/>
    <w:rsid w:val="27F56315"/>
    <w:rsid w:val="28074CD0"/>
    <w:rsid w:val="28110A08"/>
    <w:rsid w:val="2828350A"/>
    <w:rsid w:val="282F72FA"/>
    <w:rsid w:val="28571957"/>
    <w:rsid w:val="28623C15"/>
    <w:rsid w:val="286E334A"/>
    <w:rsid w:val="287050B3"/>
    <w:rsid w:val="2889440F"/>
    <w:rsid w:val="288F5571"/>
    <w:rsid w:val="28A052D3"/>
    <w:rsid w:val="28A06F4C"/>
    <w:rsid w:val="28C146C3"/>
    <w:rsid w:val="28D67316"/>
    <w:rsid w:val="290254C7"/>
    <w:rsid w:val="29087A30"/>
    <w:rsid w:val="291B5205"/>
    <w:rsid w:val="29236F16"/>
    <w:rsid w:val="292F6200"/>
    <w:rsid w:val="29331E5F"/>
    <w:rsid w:val="29334BDF"/>
    <w:rsid w:val="294C6C0B"/>
    <w:rsid w:val="29515B93"/>
    <w:rsid w:val="295676E3"/>
    <w:rsid w:val="295F57D7"/>
    <w:rsid w:val="29733705"/>
    <w:rsid w:val="297A56E5"/>
    <w:rsid w:val="29814635"/>
    <w:rsid w:val="29A36393"/>
    <w:rsid w:val="29A76063"/>
    <w:rsid w:val="29AB72C4"/>
    <w:rsid w:val="29B85251"/>
    <w:rsid w:val="29BA74BA"/>
    <w:rsid w:val="29CF5EA1"/>
    <w:rsid w:val="29F1767A"/>
    <w:rsid w:val="2A0019E0"/>
    <w:rsid w:val="2A045FE7"/>
    <w:rsid w:val="2A072146"/>
    <w:rsid w:val="2A0F729D"/>
    <w:rsid w:val="2A1D74F2"/>
    <w:rsid w:val="2A2D7895"/>
    <w:rsid w:val="2A3F0385"/>
    <w:rsid w:val="2A430216"/>
    <w:rsid w:val="2A444CBB"/>
    <w:rsid w:val="2A5670C9"/>
    <w:rsid w:val="2A5E0C02"/>
    <w:rsid w:val="2A685432"/>
    <w:rsid w:val="2A7351C7"/>
    <w:rsid w:val="2A822840"/>
    <w:rsid w:val="2A9602BA"/>
    <w:rsid w:val="2A985E6C"/>
    <w:rsid w:val="2AB56028"/>
    <w:rsid w:val="2AB92391"/>
    <w:rsid w:val="2ACE37B6"/>
    <w:rsid w:val="2AEA2A93"/>
    <w:rsid w:val="2AEF5470"/>
    <w:rsid w:val="2AF509B4"/>
    <w:rsid w:val="2AF86D11"/>
    <w:rsid w:val="2AFC44BE"/>
    <w:rsid w:val="2B293D78"/>
    <w:rsid w:val="2B394314"/>
    <w:rsid w:val="2B3B1E2D"/>
    <w:rsid w:val="2B3E5205"/>
    <w:rsid w:val="2B603F9B"/>
    <w:rsid w:val="2B6C40D4"/>
    <w:rsid w:val="2B6E0D08"/>
    <w:rsid w:val="2B7447F6"/>
    <w:rsid w:val="2B8F3B05"/>
    <w:rsid w:val="2B997A76"/>
    <w:rsid w:val="2B9E755E"/>
    <w:rsid w:val="2BB16E20"/>
    <w:rsid w:val="2BD31423"/>
    <w:rsid w:val="2BD862CC"/>
    <w:rsid w:val="2BE06716"/>
    <w:rsid w:val="2BE96133"/>
    <w:rsid w:val="2BFB567E"/>
    <w:rsid w:val="2C085772"/>
    <w:rsid w:val="2C0B3A0F"/>
    <w:rsid w:val="2C233268"/>
    <w:rsid w:val="2C34202D"/>
    <w:rsid w:val="2C3D4A6C"/>
    <w:rsid w:val="2C474C25"/>
    <w:rsid w:val="2C703BB0"/>
    <w:rsid w:val="2C7F2782"/>
    <w:rsid w:val="2C827724"/>
    <w:rsid w:val="2C935F3D"/>
    <w:rsid w:val="2CA32DB0"/>
    <w:rsid w:val="2CA43C41"/>
    <w:rsid w:val="2CAF7EB1"/>
    <w:rsid w:val="2CB8065D"/>
    <w:rsid w:val="2CB847EB"/>
    <w:rsid w:val="2CBC5486"/>
    <w:rsid w:val="2CBE1783"/>
    <w:rsid w:val="2CC124B9"/>
    <w:rsid w:val="2CC97325"/>
    <w:rsid w:val="2CCE168E"/>
    <w:rsid w:val="2CD94E8D"/>
    <w:rsid w:val="2CDD46BD"/>
    <w:rsid w:val="2CE3074D"/>
    <w:rsid w:val="2CE73DBF"/>
    <w:rsid w:val="2CEA56B6"/>
    <w:rsid w:val="2CEF4854"/>
    <w:rsid w:val="2CF5740A"/>
    <w:rsid w:val="2CFE0737"/>
    <w:rsid w:val="2CFE4B72"/>
    <w:rsid w:val="2D023C70"/>
    <w:rsid w:val="2D0B00FE"/>
    <w:rsid w:val="2D0F4A83"/>
    <w:rsid w:val="2D1D6D45"/>
    <w:rsid w:val="2D31698D"/>
    <w:rsid w:val="2D3367EB"/>
    <w:rsid w:val="2D3B2CC7"/>
    <w:rsid w:val="2D4E072A"/>
    <w:rsid w:val="2D5E5EA2"/>
    <w:rsid w:val="2D730FC1"/>
    <w:rsid w:val="2D8674BF"/>
    <w:rsid w:val="2D8874B6"/>
    <w:rsid w:val="2D8C76AE"/>
    <w:rsid w:val="2D956579"/>
    <w:rsid w:val="2D983348"/>
    <w:rsid w:val="2DA34493"/>
    <w:rsid w:val="2DAC2659"/>
    <w:rsid w:val="2DC168A1"/>
    <w:rsid w:val="2DC81E94"/>
    <w:rsid w:val="2DD37126"/>
    <w:rsid w:val="2DE32195"/>
    <w:rsid w:val="2DE96A14"/>
    <w:rsid w:val="2DF27D78"/>
    <w:rsid w:val="2DFD129D"/>
    <w:rsid w:val="2DFF60D5"/>
    <w:rsid w:val="2E241E0A"/>
    <w:rsid w:val="2E283FBB"/>
    <w:rsid w:val="2E347B0A"/>
    <w:rsid w:val="2E3C2E20"/>
    <w:rsid w:val="2E3D0A0C"/>
    <w:rsid w:val="2E3F3833"/>
    <w:rsid w:val="2E4162D4"/>
    <w:rsid w:val="2E633B8A"/>
    <w:rsid w:val="2E794AF3"/>
    <w:rsid w:val="2E8A51A3"/>
    <w:rsid w:val="2E9457B5"/>
    <w:rsid w:val="2E9A4F05"/>
    <w:rsid w:val="2E9B28AA"/>
    <w:rsid w:val="2ECA0EEF"/>
    <w:rsid w:val="2ED02202"/>
    <w:rsid w:val="2EEC5878"/>
    <w:rsid w:val="2EF83766"/>
    <w:rsid w:val="2F131BDA"/>
    <w:rsid w:val="2F1E2431"/>
    <w:rsid w:val="2F2626A7"/>
    <w:rsid w:val="2F277782"/>
    <w:rsid w:val="2F33425A"/>
    <w:rsid w:val="2F40795E"/>
    <w:rsid w:val="2F436A32"/>
    <w:rsid w:val="2F600A4D"/>
    <w:rsid w:val="2F7B24D1"/>
    <w:rsid w:val="2F83447A"/>
    <w:rsid w:val="2F8B0E09"/>
    <w:rsid w:val="2F9711E1"/>
    <w:rsid w:val="2FA94010"/>
    <w:rsid w:val="2FAA2A46"/>
    <w:rsid w:val="2FBB48F5"/>
    <w:rsid w:val="2FC82F9D"/>
    <w:rsid w:val="2FCC58AE"/>
    <w:rsid w:val="2FD32DD7"/>
    <w:rsid w:val="2FD57D60"/>
    <w:rsid w:val="2FDE00E6"/>
    <w:rsid w:val="2FEF045A"/>
    <w:rsid w:val="2FFA067A"/>
    <w:rsid w:val="2FFD0EE1"/>
    <w:rsid w:val="2FFF4CDE"/>
    <w:rsid w:val="302A358E"/>
    <w:rsid w:val="30341738"/>
    <w:rsid w:val="303F05C3"/>
    <w:rsid w:val="30403AEC"/>
    <w:rsid w:val="306A75D7"/>
    <w:rsid w:val="307B141B"/>
    <w:rsid w:val="3082744B"/>
    <w:rsid w:val="308D6AFB"/>
    <w:rsid w:val="30944600"/>
    <w:rsid w:val="30B9486B"/>
    <w:rsid w:val="30D66A99"/>
    <w:rsid w:val="30D9386E"/>
    <w:rsid w:val="30DF79C5"/>
    <w:rsid w:val="30E74543"/>
    <w:rsid w:val="30F2736A"/>
    <w:rsid w:val="30F40C14"/>
    <w:rsid w:val="30F42C52"/>
    <w:rsid w:val="30F620F0"/>
    <w:rsid w:val="31360F60"/>
    <w:rsid w:val="31485711"/>
    <w:rsid w:val="315B7E50"/>
    <w:rsid w:val="316C0946"/>
    <w:rsid w:val="31796C3F"/>
    <w:rsid w:val="318077DA"/>
    <w:rsid w:val="31952860"/>
    <w:rsid w:val="31B91BCA"/>
    <w:rsid w:val="31BD7603"/>
    <w:rsid w:val="31C765B0"/>
    <w:rsid w:val="31D04EA3"/>
    <w:rsid w:val="31D33632"/>
    <w:rsid w:val="31D856DB"/>
    <w:rsid w:val="31E248BF"/>
    <w:rsid w:val="32147265"/>
    <w:rsid w:val="3230537A"/>
    <w:rsid w:val="32474245"/>
    <w:rsid w:val="32552601"/>
    <w:rsid w:val="32575271"/>
    <w:rsid w:val="3272345D"/>
    <w:rsid w:val="32765E32"/>
    <w:rsid w:val="32914DC9"/>
    <w:rsid w:val="329E7F73"/>
    <w:rsid w:val="32B02EB7"/>
    <w:rsid w:val="32B86B24"/>
    <w:rsid w:val="32CB6F7E"/>
    <w:rsid w:val="32D97036"/>
    <w:rsid w:val="32DF21C2"/>
    <w:rsid w:val="32E11FA2"/>
    <w:rsid w:val="32E213F3"/>
    <w:rsid w:val="32ED2891"/>
    <w:rsid w:val="32EE25C6"/>
    <w:rsid w:val="330208DF"/>
    <w:rsid w:val="33032076"/>
    <w:rsid w:val="330E0160"/>
    <w:rsid w:val="3312251F"/>
    <w:rsid w:val="33237F61"/>
    <w:rsid w:val="332467E5"/>
    <w:rsid w:val="33262E95"/>
    <w:rsid w:val="33337F0A"/>
    <w:rsid w:val="333E2CA0"/>
    <w:rsid w:val="335759EC"/>
    <w:rsid w:val="335C0183"/>
    <w:rsid w:val="335E3242"/>
    <w:rsid w:val="338E40D2"/>
    <w:rsid w:val="33A540C1"/>
    <w:rsid w:val="33A871A4"/>
    <w:rsid w:val="33A9665D"/>
    <w:rsid w:val="33B43691"/>
    <w:rsid w:val="33BA2267"/>
    <w:rsid w:val="33BD0809"/>
    <w:rsid w:val="33D47EAB"/>
    <w:rsid w:val="33DE7074"/>
    <w:rsid w:val="34082A81"/>
    <w:rsid w:val="34093853"/>
    <w:rsid w:val="341A1C5C"/>
    <w:rsid w:val="342147A0"/>
    <w:rsid w:val="34236EE7"/>
    <w:rsid w:val="34290276"/>
    <w:rsid w:val="343612DE"/>
    <w:rsid w:val="344B1B35"/>
    <w:rsid w:val="344D4F8E"/>
    <w:rsid w:val="34557EB5"/>
    <w:rsid w:val="345C0111"/>
    <w:rsid w:val="3494067B"/>
    <w:rsid w:val="34A81304"/>
    <w:rsid w:val="34AF26D6"/>
    <w:rsid w:val="34B50F41"/>
    <w:rsid w:val="34BC2A3C"/>
    <w:rsid w:val="34BC7739"/>
    <w:rsid w:val="34DD0BBB"/>
    <w:rsid w:val="34DE3166"/>
    <w:rsid w:val="34DE523E"/>
    <w:rsid w:val="34E061B4"/>
    <w:rsid w:val="34EA1DE0"/>
    <w:rsid w:val="352263E4"/>
    <w:rsid w:val="352B7666"/>
    <w:rsid w:val="353F0589"/>
    <w:rsid w:val="354E0428"/>
    <w:rsid w:val="355475E3"/>
    <w:rsid w:val="355A4DC7"/>
    <w:rsid w:val="35757D45"/>
    <w:rsid w:val="357D54E6"/>
    <w:rsid w:val="359D22F6"/>
    <w:rsid w:val="35A67C6D"/>
    <w:rsid w:val="35A97360"/>
    <w:rsid w:val="35AC5A16"/>
    <w:rsid w:val="35AE6707"/>
    <w:rsid w:val="35B1695D"/>
    <w:rsid w:val="35C027FD"/>
    <w:rsid w:val="35C15C9F"/>
    <w:rsid w:val="35CB5AA1"/>
    <w:rsid w:val="35F82C92"/>
    <w:rsid w:val="360F1C77"/>
    <w:rsid w:val="36375033"/>
    <w:rsid w:val="364A2085"/>
    <w:rsid w:val="365432CA"/>
    <w:rsid w:val="365956B3"/>
    <w:rsid w:val="365A06D0"/>
    <w:rsid w:val="36627FCC"/>
    <w:rsid w:val="36636EEA"/>
    <w:rsid w:val="366D4287"/>
    <w:rsid w:val="366F7E88"/>
    <w:rsid w:val="36707B69"/>
    <w:rsid w:val="36733E42"/>
    <w:rsid w:val="36884F23"/>
    <w:rsid w:val="36B074E7"/>
    <w:rsid w:val="36B201F6"/>
    <w:rsid w:val="36B318D7"/>
    <w:rsid w:val="36C26230"/>
    <w:rsid w:val="36CB22A7"/>
    <w:rsid w:val="36DE1E96"/>
    <w:rsid w:val="36F375F8"/>
    <w:rsid w:val="36F931B8"/>
    <w:rsid w:val="3713351B"/>
    <w:rsid w:val="37177C76"/>
    <w:rsid w:val="371F6BEB"/>
    <w:rsid w:val="37346A5E"/>
    <w:rsid w:val="37482AF0"/>
    <w:rsid w:val="374C5898"/>
    <w:rsid w:val="375A7D15"/>
    <w:rsid w:val="37712B91"/>
    <w:rsid w:val="37743765"/>
    <w:rsid w:val="37793122"/>
    <w:rsid w:val="377F3E72"/>
    <w:rsid w:val="378055B2"/>
    <w:rsid w:val="378528A8"/>
    <w:rsid w:val="378F140B"/>
    <w:rsid w:val="37B37D61"/>
    <w:rsid w:val="37C23051"/>
    <w:rsid w:val="37E118EB"/>
    <w:rsid w:val="380611BF"/>
    <w:rsid w:val="382429AE"/>
    <w:rsid w:val="382F4C63"/>
    <w:rsid w:val="3838196A"/>
    <w:rsid w:val="383C2B89"/>
    <w:rsid w:val="383F60A4"/>
    <w:rsid w:val="38601FC4"/>
    <w:rsid w:val="386661FF"/>
    <w:rsid w:val="386E6695"/>
    <w:rsid w:val="387E162E"/>
    <w:rsid w:val="388C6CF2"/>
    <w:rsid w:val="388D35F0"/>
    <w:rsid w:val="38914F5D"/>
    <w:rsid w:val="389A1BDF"/>
    <w:rsid w:val="38A54C47"/>
    <w:rsid w:val="38B13472"/>
    <w:rsid w:val="38B93642"/>
    <w:rsid w:val="38E12884"/>
    <w:rsid w:val="38FD5F09"/>
    <w:rsid w:val="391A645A"/>
    <w:rsid w:val="391B55AF"/>
    <w:rsid w:val="394F6727"/>
    <w:rsid w:val="39521E9F"/>
    <w:rsid w:val="3954537C"/>
    <w:rsid w:val="39725A4A"/>
    <w:rsid w:val="3980064E"/>
    <w:rsid w:val="399601BD"/>
    <w:rsid w:val="399A58EA"/>
    <w:rsid w:val="399B2127"/>
    <w:rsid w:val="399F08F3"/>
    <w:rsid w:val="399F1332"/>
    <w:rsid w:val="399F5FDA"/>
    <w:rsid w:val="39BF238F"/>
    <w:rsid w:val="39C73DB3"/>
    <w:rsid w:val="39E46FAD"/>
    <w:rsid w:val="39E91662"/>
    <w:rsid w:val="39F5297E"/>
    <w:rsid w:val="3A0258FE"/>
    <w:rsid w:val="3A3C6CFA"/>
    <w:rsid w:val="3A3C78D6"/>
    <w:rsid w:val="3A3E3E9F"/>
    <w:rsid w:val="3A6B176D"/>
    <w:rsid w:val="3A6B710D"/>
    <w:rsid w:val="3A700D10"/>
    <w:rsid w:val="3A714443"/>
    <w:rsid w:val="3A84298B"/>
    <w:rsid w:val="3A99116E"/>
    <w:rsid w:val="3A997D1F"/>
    <w:rsid w:val="3AA26A5D"/>
    <w:rsid w:val="3AA844FF"/>
    <w:rsid w:val="3AAA4B7B"/>
    <w:rsid w:val="3AB1112B"/>
    <w:rsid w:val="3AC7743B"/>
    <w:rsid w:val="3ACE70B0"/>
    <w:rsid w:val="3AD164BB"/>
    <w:rsid w:val="3AD7738D"/>
    <w:rsid w:val="3ADC39B3"/>
    <w:rsid w:val="3AFC0789"/>
    <w:rsid w:val="3B0475E9"/>
    <w:rsid w:val="3B0A6176"/>
    <w:rsid w:val="3B10004F"/>
    <w:rsid w:val="3B1D0F96"/>
    <w:rsid w:val="3B1F0A32"/>
    <w:rsid w:val="3B21328C"/>
    <w:rsid w:val="3B235BCB"/>
    <w:rsid w:val="3B3F3F46"/>
    <w:rsid w:val="3B4874EB"/>
    <w:rsid w:val="3B5211E7"/>
    <w:rsid w:val="3B6B6801"/>
    <w:rsid w:val="3B84771D"/>
    <w:rsid w:val="3B9A411F"/>
    <w:rsid w:val="3BB513C6"/>
    <w:rsid w:val="3BCF04EA"/>
    <w:rsid w:val="3BE10919"/>
    <w:rsid w:val="3C0274FD"/>
    <w:rsid w:val="3C0F4376"/>
    <w:rsid w:val="3C14548B"/>
    <w:rsid w:val="3C2F70BE"/>
    <w:rsid w:val="3C3050FD"/>
    <w:rsid w:val="3C3073EF"/>
    <w:rsid w:val="3C320FE1"/>
    <w:rsid w:val="3C325493"/>
    <w:rsid w:val="3C3616AF"/>
    <w:rsid w:val="3C3B6C18"/>
    <w:rsid w:val="3C4E0450"/>
    <w:rsid w:val="3C545870"/>
    <w:rsid w:val="3C7B3B44"/>
    <w:rsid w:val="3CA45331"/>
    <w:rsid w:val="3CA57CFE"/>
    <w:rsid w:val="3CAE4CF8"/>
    <w:rsid w:val="3CAE7AEC"/>
    <w:rsid w:val="3CCC781D"/>
    <w:rsid w:val="3CCE7C2A"/>
    <w:rsid w:val="3CE77340"/>
    <w:rsid w:val="3CE90379"/>
    <w:rsid w:val="3CFB3961"/>
    <w:rsid w:val="3CFF37D8"/>
    <w:rsid w:val="3D195B95"/>
    <w:rsid w:val="3D2329FD"/>
    <w:rsid w:val="3D29684E"/>
    <w:rsid w:val="3D39578E"/>
    <w:rsid w:val="3D52619D"/>
    <w:rsid w:val="3D5D4D44"/>
    <w:rsid w:val="3D614D99"/>
    <w:rsid w:val="3D6E5D8B"/>
    <w:rsid w:val="3D76742B"/>
    <w:rsid w:val="3D9C4C5C"/>
    <w:rsid w:val="3DA701B4"/>
    <w:rsid w:val="3DA83998"/>
    <w:rsid w:val="3DB16D2A"/>
    <w:rsid w:val="3DB80722"/>
    <w:rsid w:val="3DBD65F0"/>
    <w:rsid w:val="3DC01E6D"/>
    <w:rsid w:val="3DC7203E"/>
    <w:rsid w:val="3DD43D14"/>
    <w:rsid w:val="3DDA4533"/>
    <w:rsid w:val="3DE1146E"/>
    <w:rsid w:val="3DE12F32"/>
    <w:rsid w:val="3DEA3F0C"/>
    <w:rsid w:val="3DF65F0E"/>
    <w:rsid w:val="3DFF226A"/>
    <w:rsid w:val="3E025CF4"/>
    <w:rsid w:val="3E144F0D"/>
    <w:rsid w:val="3E1A10E9"/>
    <w:rsid w:val="3E1A2100"/>
    <w:rsid w:val="3E1B7092"/>
    <w:rsid w:val="3E1F40C4"/>
    <w:rsid w:val="3E20348B"/>
    <w:rsid w:val="3E217503"/>
    <w:rsid w:val="3E3D5661"/>
    <w:rsid w:val="3E5A71D5"/>
    <w:rsid w:val="3E73624E"/>
    <w:rsid w:val="3E7545B8"/>
    <w:rsid w:val="3E960E27"/>
    <w:rsid w:val="3E985F61"/>
    <w:rsid w:val="3EAD3EF7"/>
    <w:rsid w:val="3EE020AB"/>
    <w:rsid w:val="3F002AB5"/>
    <w:rsid w:val="3F007F87"/>
    <w:rsid w:val="3F1339B8"/>
    <w:rsid w:val="3F196A9F"/>
    <w:rsid w:val="3F1C125E"/>
    <w:rsid w:val="3F1C1904"/>
    <w:rsid w:val="3F224B09"/>
    <w:rsid w:val="3F240B0A"/>
    <w:rsid w:val="3F24608D"/>
    <w:rsid w:val="3F2653A3"/>
    <w:rsid w:val="3F284847"/>
    <w:rsid w:val="3F2E191C"/>
    <w:rsid w:val="3F3E4D72"/>
    <w:rsid w:val="3F487A21"/>
    <w:rsid w:val="3F4D2FAB"/>
    <w:rsid w:val="3F625DFB"/>
    <w:rsid w:val="3F6741A7"/>
    <w:rsid w:val="3F96539B"/>
    <w:rsid w:val="3F9A38BF"/>
    <w:rsid w:val="3F9C5D3D"/>
    <w:rsid w:val="3FA615BB"/>
    <w:rsid w:val="3FAE6978"/>
    <w:rsid w:val="3FB65F72"/>
    <w:rsid w:val="3FC921C5"/>
    <w:rsid w:val="3FCF0135"/>
    <w:rsid w:val="3FE56688"/>
    <w:rsid w:val="3FEF543D"/>
    <w:rsid w:val="3FFF7674"/>
    <w:rsid w:val="401B034E"/>
    <w:rsid w:val="402F643A"/>
    <w:rsid w:val="40323DF2"/>
    <w:rsid w:val="4043244B"/>
    <w:rsid w:val="404B0AFD"/>
    <w:rsid w:val="405A761E"/>
    <w:rsid w:val="405C4FD6"/>
    <w:rsid w:val="407511A9"/>
    <w:rsid w:val="408B409E"/>
    <w:rsid w:val="40B77ACC"/>
    <w:rsid w:val="40CE01B2"/>
    <w:rsid w:val="40D44447"/>
    <w:rsid w:val="40E3448C"/>
    <w:rsid w:val="40EE4695"/>
    <w:rsid w:val="40EF2E8F"/>
    <w:rsid w:val="40F42748"/>
    <w:rsid w:val="40FD344B"/>
    <w:rsid w:val="41044BF4"/>
    <w:rsid w:val="410B01A8"/>
    <w:rsid w:val="41252762"/>
    <w:rsid w:val="412B6625"/>
    <w:rsid w:val="412E0DDF"/>
    <w:rsid w:val="41503639"/>
    <w:rsid w:val="415D50BB"/>
    <w:rsid w:val="41670752"/>
    <w:rsid w:val="416A0599"/>
    <w:rsid w:val="41741AA2"/>
    <w:rsid w:val="418C16CB"/>
    <w:rsid w:val="41A5473E"/>
    <w:rsid w:val="41A6399F"/>
    <w:rsid w:val="41B938EB"/>
    <w:rsid w:val="41BD4A1A"/>
    <w:rsid w:val="41C76C5D"/>
    <w:rsid w:val="41CD41ED"/>
    <w:rsid w:val="41DB6B04"/>
    <w:rsid w:val="41DB7ACA"/>
    <w:rsid w:val="41E63E46"/>
    <w:rsid w:val="41E64231"/>
    <w:rsid w:val="41ED4A55"/>
    <w:rsid w:val="42027EA1"/>
    <w:rsid w:val="420B1F27"/>
    <w:rsid w:val="42182D34"/>
    <w:rsid w:val="424259D6"/>
    <w:rsid w:val="424802AA"/>
    <w:rsid w:val="428A4FE0"/>
    <w:rsid w:val="428E2E24"/>
    <w:rsid w:val="429017FC"/>
    <w:rsid w:val="4297701F"/>
    <w:rsid w:val="429C554F"/>
    <w:rsid w:val="42A26D50"/>
    <w:rsid w:val="42A73EBF"/>
    <w:rsid w:val="42B00F6D"/>
    <w:rsid w:val="42B10DBC"/>
    <w:rsid w:val="42BA1E7D"/>
    <w:rsid w:val="42BC6219"/>
    <w:rsid w:val="42C512CA"/>
    <w:rsid w:val="42C7289D"/>
    <w:rsid w:val="42C85A7F"/>
    <w:rsid w:val="42D54D2A"/>
    <w:rsid w:val="42D86242"/>
    <w:rsid w:val="42EF5BE0"/>
    <w:rsid w:val="42F851DA"/>
    <w:rsid w:val="42FE4918"/>
    <w:rsid w:val="430355D1"/>
    <w:rsid w:val="430931EF"/>
    <w:rsid w:val="431A01C5"/>
    <w:rsid w:val="43253BC4"/>
    <w:rsid w:val="432927A6"/>
    <w:rsid w:val="432A5BD6"/>
    <w:rsid w:val="432B7DEC"/>
    <w:rsid w:val="43342642"/>
    <w:rsid w:val="433821C6"/>
    <w:rsid w:val="433B122E"/>
    <w:rsid w:val="435E5073"/>
    <w:rsid w:val="43771E90"/>
    <w:rsid w:val="438063DF"/>
    <w:rsid w:val="43821D42"/>
    <w:rsid w:val="43987604"/>
    <w:rsid w:val="43B7549F"/>
    <w:rsid w:val="43B9286F"/>
    <w:rsid w:val="43BB4049"/>
    <w:rsid w:val="43BB4C9D"/>
    <w:rsid w:val="43C93EA9"/>
    <w:rsid w:val="43DD2294"/>
    <w:rsid w:val="43E92280"/>
    <w:rsid w:val="43F421E8"/>
    <w:rsid w:val="43F707D8"/>
    <w:rsid w:val="4401313F"/>
    <w:rsid w:val="4402298A"/>
    <w:rsid w:val="440A7998"/>
    <w:rsid w:val="440C2EEA"/>
    <w:rsid w:val="441D2BDD"/>
    <w:rsid w:val="441D3234"/>
    <w:rsid w:val="441F6C55"/>
    <w:rsid w:val="4420224D"/>
    <w:rsid w:val="442074C6"/>
    <w:rsid w:val="44243A14"/>
    <w:rsid w:val="44244565"/>
    <w:rsid w:val="44311C57"/>
    <w:rsid w:val="44370325"/>
    <w:rsid w:val="44514687"/>
    <w:rsid w:val="445459C2"/>
    <w:rsid w:val="44617D0A"/>
    <w:rsid w:val="44682D18"/>
    <w:rsid w:val="446944E9"/>
    <w:rsid w:val="446F13F6"/>
    <w:rsid w:val="44723BA6"/>
    <w:rsid w:val="4473705C"/>
    <w:rsid w:val="44783538"/>
    <w:rsid w:val="447C5BAA"/>
    <w:rsid w:val="4480015B"/>
    <w:rsid w:val="448174D9"/>
    <w:rsid w:val="4490304D"/>
    <w:rsid w:val="44A335B5"/>
    <w:rsid w:val="44A9401A"/>
    <w:rsid w:val="44AC3086"/>
    <w:rsid w:val="44BD076D"/>
    <w:rsid w:val="44C30184"/>
    <w:rsid w:val="44C8435A"/>
    <w:rsid w:val="44C93ABA"/>
    <w:rsid w:val="44CC451B"/>
    <w:rsid w:val="44DB36D1"/>
    <w:rsid w:val="44EB3F4C"/>
    <w:rsid w:val="44F75C85"/>
    <w:rsid w:val="44FB6168"/>
    <w:rsid w:val="44FD00BD"/>
    <w:rsid w:val="4504637B"/>
    <w:rsid w:val="452306AA"/>
    <w:rsid w:val="453C4611"/>
    <w:rsid w:val="4542601F"/>
    <w:rsid w:val="45471252"/>
    <w:rsid w:val="455B0F07"/>
    <w:rsid w:val="455B70CF"/>
    <w:rsid w:val="456125FB"/>
    <w:rsid w:val="45646D5D"/>
    <w:rsid w:val="456B16C4"/>
    <w:rsid w:val="45723D75"/>
    <w:rsid w:val="459E70EB"/>
    <w:rsid w:val="45B304D2"/>
    <w:rsid w:val="45C972E7"/>
    <w:rsid w:val="45F146F2"/>
    <w:rsid w:val="45FB5F89"/>
    <w:rsid w:val="45FF1EFE"/>
    <w:rsid w:val="461058D9"/>
    <w:rsid w:val="46165015"/>
    <w:rsid w:val="46280A29"/>
    <w:rsid w:val="463B4251"/>
    <w:rsid w:val="465027ED"/>
    <w:rsid w:val="465F4343"/>
    <w:rsid w:val="468539A4"/>
    <w:rsid w:val="46C66179"/>
    <w:rsid w:val="46CB17EB"/>
    <w:rsid w:val="46DE668F"/>
    <w:rsid w:val="46E551CD"/>
    <w:rsid w:val="47014483"/>
    <w:rsid w:val="4703333D"/>
    <w:rsid w:val="472F4367"/>
    <w:rsid w:val="473F3688"/>
    <w:rsid w:val="47522D9A"/>
    <w:rsid w:val="475B68AF"/>
    <w:rsid w:val="47763C9E"/>
    <w:rsid w:val="4778738B"/>
    <w:rsid w:val="477A3E46"/>
    <w:rsid w:val="47865720"/>
    <w:rsid w:val="478A29F0"/>
    <w:rsid w:val="478A3249"/>
    <w:rsid w:val="478C0ADF"/>
    <w:rsid w:val="4790736A"/>
    <w:rsid w:val="479A12BB"/>
    <w:rsid w:val="479E7121"/>
    <w:rsid w:val="47A65DF1"/>
    <w:rsid w:val="47A80B00"/>
    <w:rsid w:val="47AD45F5"/>
    <w:rsid w:val="47BA4FF1"/>
    <w:rsid w:val="47D7163B"/>
    <w:rsid w:val="47E064C7"/>
    <w:rsid w:val="47E77EB6"/>
    <w:rsid w:val="47F20C0E"/>
    <w:rsid w:val="48002C62"/>
    <w:rsid w:val="480515E9"/>
    <w:rsid w:val="48065890"/>
    <w:rsid w:val="48127D91"/>
    <w:rsid w:val="481E0218"/>
    <w:rsid w:val="48273063"/>
    <w:rsid w:val="482A5811"/>
    <w:rsid w:val="484031A0"/>
    <w:rsid w:val="48460E01"/>
    <w:rsid w:val="48474441"/>
    <w:rsid w:val="485A4946"/>
    <w:rsid w:val="487F196B"/>
    <w:rsid w:val="48843707"/>
    <w:rsid w:val="488A558E"/>
    <w:rsid w:val="48921589"/>
    <w:rsid w:val="48B1483E"/>
    <w:rsid w:val="48B65FD6"/>
    <w:rsid w:val="48C12BE1"/>
    <w:rsid w:val="48E8561D"/>
    <w:rsid w:val="48F0103C"/>
    <w:rsid w:val="48F3402C"/>
    <w:rsid w:val="48F62D03"/>
    <w:rsid w:val="48F77F22"/>
    <w:rsid w:val="49006A4D"/>
    <w:rsid w:val="492A6E95"/>
    <w:rsid w:val="493A24D0"/>
    <w:rsid w:val="493C6687"/>
    <w:rsid w:val="493D20BB"/>
    <w:rsid w:val="4959124E"/>
    <w:rsid w:val="495D071E"/>
    <w:rsid w:val="49664EA6"/>
    <w:rsid w:val="496B669D"/>
    <w:rsid w:val="496E712A"/>
    <w:rsid w:val="49722A47"/>
    <w:rsid w:val="4973140F"/>
    <w:rsid w:val="497C4BE1"/>
    <w:rsid w:val="49A31824"/>
    <w:rsid w:val="49B35477"/>
    <w:rsid w:val="49B66EC5"/>
    <w:rsid w:val="49B7682F"/>
    <w:rsid w:val="49BE306A"/>
    <w:rsid w:val="49C071A1"/>
    <w:rsid w:val="49C161D8"/>
    <w:rsid w:val="49C24A88"/>
    <w:rsid w:val="49CC3F16"/>
    <w:rsid w:val="49D81F13"/>
    <w:rsid w:val="49E31136"/>
    <w:rsid w:val="49ED057A"/>
    <w:rsid w:val="49EF1D86"/>
    <w:rsid w:val="4A057339"/>
    <w:rsid w:val="4A335BDC"/>
    <w:rsid w:val="4A344670"/>
    <w:rsid w:val="4A360F96"/>
    <w:rsid w:val="4A3A2422"/>
    <w:rsid w:val="4A3B40B2"/>
    <w:rsid w:val="4A551320"/>
    <w:rsid w:val="4A573C9B"/>
    <w:rsid w:val="4A5B1925"/>
    <w:rsid w:val="4A9B73F3"/>
    <w:rsid w:val="4AAC1814"/>
    <w:rsid w:val="4AB50E42"/>
    <w:rsid w:val="4AB82B50"/>
    <w:rsid w:val="4ABB4926"/>
    <w:rsid w:val="4ABE1639"/>
    <w:rsid w:val="4ADC08DA"/>
    <w:rsid w:val="4ADC4024"/>
    <w:rsid w:val="4AE17C2C"/>
    <w:rsid w:val="4AEA24F0"/>
    <w:rsid w:val="4AF5404E"/>
    <w:rsid w:val="4AF55886"/>
    <w:rsid w:val="4AF83131"/>
    <w:rsid w:val="4B036EDC"/>
    <w:rsid w:val="4B063561"/>
    <w:rsid w:val="4B150032"/>
    <w:rsid w:val="4B251B8B"/>
    <w:rsid w:val="4B6937DD"/>
    <w:rsid w:val="4B870600"/>
    <w:rsid w:val="4B8E0170"/>
    <w:rsid w:val="4B8E63E6"/>
    <w:rsid w:val="4B964E4F"/>
    <w:rsid w:val="4BC22732"/>
    <w:rsid w:val="4BC27D75"/>
    <w:rsid w:val="4BCC6CA8"/>
    <w:rsid w:val="4BCD53D9"/>
    <w:rsid w:val="4BCF38CB"/>
    <w:rsid w:val="4BEF4C5D"/>
    <w:rsid w:val="4BF0140A"/>
    <w:rsid w:val="4BFB520C"/>
    <w:rsid w:val="4BFC046E"/>
    <w:rsid w:val="4BFC6236"/>
    <w:rsid w:val="4C073CF8"/>
    <w:rsid w:val="4C102782"/>
    <w:rsid w:val="4C24124B"/>
    <w:rsid w:val="4C4277B4"/>
    <w:rsid w:val="4C4541E5"/>
    <w:rsid w:val="4C511CEE"/>
    <w:rsid w:val="4C5316E4"/>
    <w:rsid w:val="4C554428"/>
    <w:rsid w:val="4C5C3EA5"/>
    <w:rsid w:val="4C631272"/>
    <w:rsid w:val="4C8556B7"/>
    <w:rsid w:val="4C8A5A53"/>
    <w:rsid w:val="4C9F6D0C"/>
    <w:rsid w:val="4CA1222F"/>
    <w:rsid w:val="4CB76367"/>
    <w:rsid w:val="4CBF3179"/>
    <w:rsid w:val="4CCC16DA"/>
    <w:rsid w:val="4CDD168C"/>
    <w:rsid w:val="4CDE1580"/>
    <w:rsid w:val="4D05310C"/>
    <w:rsid w:val="4D0F7EAD"/>
    <w:rsid w:val="4D15514C"/>
    <w:rsid w:val="4D166BD9"/>
    <w:rsid w:val="4D1C782A"/>
    <w:rsid w:val="4D2237E5"/>
    <w:rsid w:val="4D2A6914"/>
    <w:rsid w:val="4D341316"/>
    <w:rsid w:val="4D44414D"/>
    <w:rsid w:val="4D4F3E2D"/>
    <w:rsid w:val="4D5077DD"/>
    <w:rsid w:val="4D706C30"/>
    <w:rsid w:val="4DA15110"/>
    <w:rsid w:val="4DB56ED5"/>
    <w:rsid w:val="4DB73A62"/>
    <w:rsid w:val="4DB97D79"/>
    <w:rsid w:val="4DD30E27"/>
    <w:rsid w:val="4E0C0C92"/>
    <w:rsid w:val="4E0D2791"/>
    <w:rsid w:val="4E1D44D2"/>
    <w:rsid w:val="4E1E3793"/>
    <w:rsid w:val="4E2241CB"/>
    <w:rsid w:val="4E251856"/>
    <w:rsid w:val="4E282639"/>
    <w:rsid w:val="4E317E06"/>
    <w:rsid w:val="4E416B1D"/>
    <w:rsid w:val="4E4B212D"/>
    <w:rsid w:val="4E4C1829"/>
    <w:rsid w:val="4E585AEF"/>
    <w:rsid w:val="4E5C563B"/>
    <w:rsid w:val="4E7E3962"/>
    <w:rsid w:val="4E9B7400"/>
    <w:rsid w:val="4EA548AD"/>
    <w:rsid w:val="4EB147B3"/>
    <w:rsid w:val="4EC30B2B"/>
    <w:rsid w:val="4EC30BAA"/>
    <w:rsid w:val="4EC522A1"/>
    <w:rsid w:val="4EDB7799"/>
    <w:rsid w:val="4EE80F4D"/>
    <w:rsid w:val="4EEF633A"/>
    <w:rsid w:val="4EF11B96"/>
    <w:rsid w:val="4EF5428A"/>
    <w:rsid w:val="4EF75441"/>
    <w:rsid w:val="4F067E7F"/>
    <w:rsid w:val="4F0F0E50"/>
    <w:rsid w:val="4F18079A"/>
    <w:rsid w:val="4F1B620F"/>
    <w:rsid w:val="4F206722"/>
    <w:rsid w:val="4F2717D1"/>
    <w:rsid w:val="4F557736"/>
    <w:rsid w:val="4F5C12A0"/>
    <w:rsid w:val="4F616F31"/>
    <w:rsid w:val="4F6E5F4E"/>
    <w:rsid w:val="4F7760C5"/>
    <w:rsid w:val="4F857B40"/>
    <w:rsid w:val="4F8D7933"/>
    <w:rsid w:val="4F923128"/>
    <w:rsid w:val="4F9D7F82"/>
    <w:rsid w:val="4F9E10B3"/>
    <w:rsid w:val="4FB72501"/>
    <w:rsid w:val="4FDB2A14"/>
    <w:rsid w:val="4FE5216E"/>
    <w:rsid w:val="4FEB6B02"/>
    <w:rsid w:val="4FEE43C5"/>
    <w:rsid w:val="4FEF7F19"/>
    <w:rsid w:val="4FF50AA2"/>
    <w:rsid w:val="4FF55E04"/>
    <w:rsid w:val="4FFA1F79"/>
    <w:rsid w:val="4FFE6D44"/>
    <w:rsid w:val="501C3419"/>
    <w:rsid w:val="501D4063"/>
    <w:rsid w:val="502A5FF4"/>
    <w:rsid w:val="50334961"/>
    <w:rsid w:val="504A2ECF"/>
    <w:rsid w:val="50503A64"/>
    <w:rsid w:val="50611C44"/>
    <w:rsid w:val="50641F16"/>
    <w:rsid w:val="506D39BB"/>
    <w:rsid w:val="506F3338"/>
    <w:rsid w:val="5094213E"/>
    <w:rsid w:val="509C1B97"/>
    <w:rsid w:val="509E1BF6"/>
    <w:rsid w:val="50A40B8B"/>
    <w:rsid w:val="50AB2E49"/>
    <w:rsid w:val="50AC26DF"/>
    <w:rsid w:val="50AE19B8"/>
    <w:rsid w:val="50B00860"/>
    <w:rsid w:val="50C02457"/>
    <w:rsid w:val="50C22147"/>
    <w:rsid w:val="50DA5D1D"/>
    <w:rsid w:val="50DF3746"/>
    <w:rsid w:val="50E00775"/>
    <w:rsid w:val="51065AE3"/>
    <w:rsid w:val="5130697A"/>
    <w:rsid w:val="513A25D2"/>
    <w:rsid w:val="51407712"/>
    <w:rsid w:val="51597A9B"/>
    <w:rsid w:val="51606D80"/>
    <w:rsid w:val="518D502C"/>
    <w:rsid w:val="51984E54"/>
    <w:rsid w:val="51A146B6"/>
    <w:rsid w:val="51AE3CED"/>
    <w:rsid w:val="51B13F5E"/>
    <w:rsid w:val="51B97C10"/>
    <w:rsid w:val="51BB5FF1"/>
    <w:rsid w:val="51C15D6C"/>
    <w:rsid w:val="51C606FB"/>
    <w:rsid w:val="51D854A9"/>
    <w:rsid w:val="51E30B6A"/>
    <w:rsid w:val="51EF1984"/>
    <w:rsid w:val="51F747E0"/>
    <w:rsid w:val="52103C34"/>
    <w:rsid w:val="52114A1C"/>
    <w:rsid w:val="52147E10"/>
    <w:rsid w:val="52151D21"/>
    <w:rsid w:val="52252690"/>
    <w:rsid w:val="52252BF9"/>
    <w:rsid w:val="52337F1C"/>
    <w:rsid w:val="52347A88"/>
    <w:rsid w:val="5236531B"/>
    <w:rsid w:val="5249689C"/>
    <w:rsid w:val="52525E85"/>
    <w:rsid w:val="52567E52"/>
    <w:rsid w:val="52802154"/>
    <w:rsid w:val="528B4CAA"/>
    <w:rsid w:val="528C13A2"/>
    <w:rsid w:val="528E1B19"/>
    <w:rsid w:val="52B07B8F"/>
    <w:rsid w:val="52BF6099"/>
    <w:rsid w:val="52D935FA"/>
    <w:rsid w:val="52E84EAB"/>
    <w:rsid w:val="52FA4A88"/>
    <w:rsid w:val="530326EF"/>
    <w:rsid w:val="531955E1"/>
    <w:rsid w:val="532173A6"/>
    <w:rsid w:val="53311999"/>
    <w:rsid w:val="533B7DA0"/>
    <w:rsid w:val="533C45DC"/>
    <w:rsid w:val="534534A3"/>
    <w:rsid w:val="534C36C4"/>
    <w:rsid w:val="535B5FF9"/>
    <w:rsid w:val="536D21D8"/>
    <w:rsid w:val="53796342"/>
    <w:rsid w:val="53820BB2"/>
    <w:rsid w:val="538D79B9"/>
    <w:rsid w:val="539911C5"/>
    <w:rsid w:val="53AA73C8"/>
    <w:rsid w:val="53C241C4"/>
    <w:rsid w:val="53C429B7"/>
    <w:rsid w:val="53E81D64"/>
    <w:rsid w:val="53EB712E"/>
    <w:rsid w:val="53F5628E"/>
    <w:rsid w:val="540A4448"/>
    <w:rsid w:val="54183F4F"/>
    <w:rsid w:val="541C53CD"/>
    <w:rsid w:val="54241077"/>
    <w:rsid w:val="54251052"/>
    <w:rsid w:val="542E1E30"/>
    <w:rsid w:val="54391E2A"/>
    <w:rsid w:val="543F370E"/>
    <w:rsid w:val="54505D70"/>
    <w:rsid w:val="54631A1F"/>
    <w:rsid w:val="54787ECC"/>
    <w:rsid w:val="54812C87"/>
    <w:rsid w:val="548361DF"/>
    <w:rsid w:val="54957EB4"/>
    <w:rsid w:val="54AA7585"/>
    <w:rsid w:val="54BB6BD3"/>
    <w:rsid w:val="54C63A10"/>
    <w:rsid w:val="54E50145"/>
    <w:rsid w:val="54F70681"/>
    <w:rsid w:val="55006CF5"/>
    <w:rsid w:val="55132040"/>
    <w:rsid w:val="551A6E9C"/>
    <w:rsid w:val="553E6CB0"/>
    <w:rsid w:val="55437516"/>
    <w:rsid w:val="554A1CE4"/>
    <w:rsid w:val="554B0A2E"/>
    <w:rsid w:val="555A19E2"/>
    <w:rsid w:val="555B33C1"/>
    <w:rsid w:val="55607B9B"/>
    <w:rsid w:val="55755D7B"/>
    <w:rsid w:val="55757CBD"/>
    <w:rsid w:val="55957379"/>
    <w:rsid w:val="55966F76"/>
    <w:rsid w:val="55AC349A"/>
    <w:rsid w:val="55B52048"/>
    <w:rsid w:val="55BD174C"/>
    <w:rsid w:val="55C81BB8"/>
    <w:rsid w:val="55CE6A55"/>
    <w:rsid w:val="55DF5269"/>
    <w:rsid w:val="55E216F8"/>
    <w:rsid w:val="55E25788"/>
    <w:rsid w:val="55E417AE"/>
    <w:rsid w:val="55EF6F20"/>
    <w:rsid w:val="55FF40FA"/>
    <w:rsid w:val="56047661"/>
    <w:rsid w:val="560D3F28"/>
    <w:rsid w:val="560F3D55"/>
    <w:rsid w:val="56105F34"/>
    <w:rsid w:val="56147900"/>
    <w:rsid w:val="561671B6"/>
    <w:rsid w:val="56231287"/>
    <w:rsid w:val="5629232E"/>
    <w:rsid w:val="563450DB"/>
    <w:rsid w:val="563E0D12"/>
    <w:rsid w:val="56444033"/>
    <w:rsid w:val="56582EC5"/>
    <w:rsid w:val="565A1147"/>
    <w:rsid w:val="56635A76"/>
    <w:rsid w:val="566E512C"/>
    <w:rsid w:val="567808EC"/>
    <w:rsid w:val="56864983"/>
    <w:rsid w:val="568E7350"/>
    <w:rsid w:val="56984E38"/>
    <w:rsid w:val="56A47248"/>
    <w:rsid w:val="56B96F71"/>
    <w:rsid w:val="56BA5D1B"/>
    <w:rsid w:val="56C44362"/>
    <w:rsid w:val="56CA4BBB"/>
    <w:rsid w:val="56DD6AC9"/>
    <w:rsid w:val="56E03E16"/>
    <w:rsid w:val="56ED3EE4"/>
    <w:rsid w:val="56F00B76"/>
    <w:rsid w:val="56F55395"/>
    <w:rsid w:val="56F745A8"/>
    <w:rsid w:val="56FF6F78"/>
    <w:rsid w:val="571635A1"/>
    <w:rsid w:val="57352F0E"/>
    <w:rsid w:val="57354B82"/>
    <w:rsid w:val="573B48F4"/>
    <w:rsid w:val="57415D44"/>
    <w:rsid w:val="57492FF5"/>
    <w:rsid w:val="574A5AA3"/>
    <w:rsid w:val="575C1A86"/>
    <w:rsid w:val="57767700"/>
    <w:rsid w:val="579A6EF3"/>
    <w:rsid w:val="579B330C"/>
    <w:rsid w:val="57A37560"/>
    <w:rsid w:val="57A83858"/>
    <w:rsid w:val="57AF5C54"/>
    <w:rsid w:val="57B42188"/>
    <w:rsid w:val="57B4655E"/>
    <w:rsid w:val="57D903E2"/>
    <w:rsid w:val="57FB0019"/>
    <w:rsid w:val="58150BC0"/>
    <w:rsid w:val="581A5F5A"/>
    <w:rsid w:val="58215951"/>
    <w:rsid w:val="5822625D"/>
    <w:rsid w:val="58264612"/>
    <w:rsid w:val="582F51D0"/>
    <w:rsid w:val="58306021"/>
    <w:rsid w:val="583078AE"/>
    <w:rsid w:val="583D2C7F"/>
    <w:rsid w:val="5843317B"/>
    <w:rsid w:val="58507329"/>
    <w:rsid w:val="587D5FE6"/>
    <w:rsid w:val="58821087"/>
    <w:rsid w:val="588F1C60"/>
    <w:rsid w:val="58953FF1"/>
    <w:rsid w:val="589849BB"/>
    <w:rsid w:val="58B41748"/>
    <w:rsid w:val="58C33DB9"/>
    <w:rsid w:val="58C425E3"/>
    <w:rsid w:val="58CF4446"/>
    <w:rsid w:val="58EE76E8"/>
    <w:rsid w:val="58FD2B7C"/>
    <w:rsid w:val="58FF0E69"/>
    <w:rsid w:val="59174271"/>
    <w:rsid w:val="59206ABC"/>
    <w:rsid w:val="59256ED3"/>
    <w:rsid w:val="59271FEC"/>
    <w:rsid w:val="59350CC7"/>
    <w:rsid w:val="59393975"/>
    <w:rsid w:val="59417210"/>
    <w:rsid w:val="5946051F"/>
    <w:rsid w:val="595B07E0"/>
    <w:rsid w:val="59692FF0"/>
    <w:rsid w:val="597645D2"/>
    <w:rsid w:val="597E453F"/>
    <w:rsid w:val="597E49BB"/>
    <w:rsid w:val="59932EFC"/>
    <w:rsid w:val="59967306"/>
    <w:rsid w:val="599D37A3"/>
    <w:rsid w:val="59B76C32"/>
    <w:rsid w:val="59C67DEE"/>
    <w:rsid w:val="59C9568A"/>
    <w:rsid w:val="59E74322"/>
    <w:rsid w:val="5A002FA3"/>
    <w:rsid w:val="5A007E30"/>
    <w:rsid w:val="5A0343C9"/>
    <w:rsid w:val="5A08125A"/>
    <w:rsid w:val="5A160D56"/>
    <w:rsid w:val="5A2179FB"/>
    <w:rsid w:val="5A243921"/>
    <w:rsid w:val="5A2776EF"/>
    <w:rsid w:val="5A45521F"/>
    <w:rsid w:val="5A4752B6"/>
    <w:rsid w:val="5A5051A4"/>
    <w:rsid w:val="5A6A69B7"/>
    <w:rsid w:val="5A6B504C"/>
    <w:rsid w:val="5A885001"/>
    <w:rsid w:val="5A8960C5"/>
    <w:rsid w:val="5A99743F"/>
    <w:rsid w:val="5A9E1877"/>
    <w:rsid w:val="5AA87A7C"/>
    <w:rsid w:val="5AB216C4"/>
    <w:rsid w:val="5ADD4D11"/>
    <w:rsid w:val="5AE26CDD"/>
    <w:rsid w:val="5AEA0953"/>
    <w:rsid w:val="5AEC23B4"/>
    <w:rsid w:val="5B052047"/>
    <w:rsid w:val="5B0F7EB6"/>
    <w:rsid w:val="5B32108D"/>
    <w:rsid w:val="5B3625B8"/>
    <w:rsid w:val="5B3F47FC"/>
    <w:rsid w:val="5B41351D"/>
    <w:rsid w:val="5B71170C"/>
    <w:rsid w:val="5B7339AD"/>
    <w:rsid w:val="5B813703"/>
    <w:rsid w:val="5B842A8E"/>
    <w:rsid w:val="5B9F61D8"/>
    <w:rsid w:val="5BA86394"/>
    <w:rsid w:val="5BB82B14"/>
    <w:rsid w:val="5BB95B06"/>
    <w:rsid w:val="5BFA335F"/>
    <w:rsid w:val="5C322A65"/>
    <w:rsid w:val="5C526F7B"/>
    <w:rsid w:val="5C595364"/>
    <w:rsid w:val="5C6C51C1"/>
    <w:rsid w:val="5C7B6810"/>
    <w:rsid w:val="5C7E1616"/>
    <w:rsid w:val="5C805B19"/>
    <w:rsid w:val="5C84485C"/>
    <w:rsid w:val="5C861F85"/>
    <w:rsid w:val="5C917CB2"/>
    <w:rsid w:val="5C92145C"/>
    <w:rsid w:val="5C99030E"/>
    <w:rsid w:val="5C9A4295"/>
    <w:rsid w:val="5C9B4F43"/>
    <w:rsid w:val="5C9E3C9E"/>
    <w:rsid w:val="5CAD01E8"/>
    <w:rsid w:val="5CAF2C65"/>
    <w:rsid w:val="5CB149DB"/>
    <w:rsid w:val="5CD40035"/>
    <w:rsid w:val="5CDF2B73"/>
    <w:rsid w:val="5CE9458D"/>
    <w:rsid w:val="5D0449CF"/>
    <w:rsid w:val="5D0E21AC"/>
    <w:rsid w:val="5D3468C4"/>
    <w:rsid w:val="5D3B635D"/>
    <w:rsid w:val="5D434714"/>
    <w:rsid w:val="5D457A5D"/>
    <w:rsid w:val="5D4E3012"/>
    <w:rsid w:val="5D4E3C68"/>
    <w:rsid w:val="5D5F23EC"/>
    <w:rsid w:val="5D797731"/>
    <w:rsid w:val="5D814602"/>
    <w:rsid w:val="5DA70253"/>
    <w:rsid w:val="5DCB09A1"/>
    <w:rsid w:val="5E0E1390"/>
    <w:rsid w:val="5E12327B"/>
    <w:rsid w:val="5E213EF8"/>
    <w:rsid w:val="5E2C29D6"/>
    <w:rsid w:val="5E2F5CFC"/>
    <w:rsid w:val="5E3036B9"/>
    <w:rsid w:val="5E464496"/>
    <w:rsid w:val="5E61698D"/>
    <w:rsid w:val="5E7E60A9"/>
    <w:rsid w:val="5E997894"/>
    <w:rsid w:val="5EB860D2"/>
    <w:rsid w:val="5EBC2E54"/>
    <w:rsid w:val="5EDA2CAC"/>
    <w:rsid w:val="5EDB00E0"/>
    <w:rsid w:val="5EDE5287"/>
    <w:rsid w:val="5EE61F49"/>
    <w:rsid w:val="5F1950E1"/>
    <w:rsid w:val="5F1E54FC"/>
    <w:rsid w:val="5F1E7070"/>
    <w:rsid w:val="5F315AA9"/>
    <w:rsid w:val="5F3F74F9"/>
    <w:rsid w:val="5F445B2E"/>
    <w:rsid w:val="5F5F359D"/>
    <w:rsid w:val="5F6820F4"/>
    <w:rsid w:val="5F6E41B1"/>
    <w:rsid w:val="5F714634"/>
    <w:rsid w:val="5F714A57"/>
    <w:rsid w:val="5F715D02"/>
    <w:rsid w:val="5F785CFF"/>
    <w:rsid w:val="5F7B5532"/>
    <w:rsid w:val="5F8C05DD"/>
    <w:rsid w:val="5F9136E2"/>
    <w:rsid w:val="5F945C6E"/>
    <w:rsid w:val="5F9609A6"/>
    <w:rsid w:val="5F976056"/>
    <w:rsid w:val="5F9A541A"/>
    <w:rsid w:val="5FA03C55"/>
    <w:rsid w:val="5FA96BB5"/>
    <w:rsid w:val="5FC26490"/>
    <w:rsid w:val="5FCC0F20"/>
    <w:rsid w:val="5FE3287C"/>
    <w:rsid w:val="5FE502FA"/>
    <w:rsid w:val="5FEF66DA"/>
    <w:rsid w:val="5FF727EF"/>
    <w:rsid w:val="600A2620"/>
    <w:rsid w:val="600D7226"/>
    <w:rsid w:val="60177C95"/>
    <w:rsid w:val="601C03AD"/>
    <w:rsid w:val="60226395"/>
    <w:rsid w:val="602B20E7"/>
    <w:rsid w:val="602F7A19"/>
    <w:rsid w:val="603C224B"/>
    <w:rsid w:val="604010A2"/>
    <w:rsid w:val="60444B10"/>
    <w:rsid w:val="605A36E6"/>
    <w:rsid w:val="605B0AB9"/>
    <w:rsid w:val="60612816"/>
    <w:rsid w:val="60615277"/>
    <w:rsid w:val="60695999"/>
    <w:rsid w:val="607346D5"/>
    <w:rsid w:val="60817750"/>
    <w:rsid w:val="60A023E2"/>
    <w:rsid w:val="60AC0BDD"/>
    <w:rsid w:val="60C86DFB"/>
    <w:rsid w:val="60D46DAF"/>
    <w:rsid w:val="60F87B91"/>
    <w:rsid w:val="6100676D"/>
    <w:rsid w:val="610757A6"/>
    <w:rsid w:val="610A1465"/>
    <w:rsid w:val="61124738"/>
    <w:rsid w:val="61224AC8"/>
    <w:rsid w:val="612416C4"/>
    <w:rsid w:val="612F062B"/>
    <w:rsid w:val="61316948"/>
    <w:rsid w:val="61355264"/>
    <w:rsid w:val="61366397"/>
    <w:rsid w:val="613D1908"/>
    <w:rsid w:val="616B34F1"/>
    <w:rsid w:val="61A8544A"/>
    <w:rsid w:val="61B34920"/>
    <w:rsid w:val="61B8363E"/>
    <w:rsid w:val="61D35210"/>
    <w:rsid w:val="61E10F96"/>
    <w:rsid w:val="61E20CAB"/>
    <w:rsid w:val="61E26A39"/>
    <w:rsid w:val="61EE361C"/>
    <w:rsid w:val="61F2346C"/>
    <w:rsid w:val="61F3564A"/>
    <w:rsid w:val="620455FF"/>
    <w:rsid w:val="62051E5E"/>
    <w:rsid w:val="62096860"/>
    <w:rsid w:val="620D5CAE"/>
    <w:rsid w:val="620F5FBB"/>
    <w:rsid w:val="621B439A"/>
    <w:rsid w:val="622542A4"/>
    <w:rsid w:val="62357B4C"/>
    <w:rsid w:val="623C3E79"/>
    <w:rsid w:val="624B1DCB"/>
    <w:rsid w:val="624D3860"/>
    <w:rsid w:val="627E4AA6"/>
    <w:rsid w:val="62B775E1"/>
    <w:rsid w:val="62B8695E"/>
    <w:rsid w:val="62C054DC"/>
    <w:rsid w:val="62C20E6C"/>
    <w:rsid w:val="62D50569"/>
    <w:rsid w:val="62D877BF"/>
    <w:rsid w:val="62DD303E"/>
    <w:rsid w:val="62E03F56"/>
    <w:rsid w:val="62EB1915"/>
    <w:rsid w:val="62F05B79"/>
    <w:rsid w:val="62F54D21"/>
    <w:rsid w:val="63145F63"/>
    <w:rsid w:val="63153B67"/>
    <w:rsid w:val="63191F45"/>
    <w:rsid w:val="631A114F"/>
    <w:rsid w:val="631D4DCC"/>
    <w:rsid w:val="631F4897"/>
    <w:rsid w:val="6327117C"/>
    <w:rsid w:val="633270F6"/>
    <w:rsid w:val="63340F00"/>
    <w:rsid w:val="633849E8"/>
    <w:rsid w:val="633F742D"/>
    <w:rsid w:val="63446387"/>
    <w:rsid w:val="63541E44"/>
    <w:rsid w:val="6359534E"/>
    <w:rsid w:val="638350A5"/>
    <w:rsid w:val="63854194"/>
    <w:rsid w:val="639123D5"/>
    <w:rsid w:val="63945C4D"/>
    <w:rsid w:val="639532D1"/>
    <w:rsid w:val="63A91068"/>
    <w:rsid w:val="63AA53D6"/>
    <w:rsid w:val="63AF6032"/>
    <w:rsid w:val="63BA23B1"/>
    <w:rsid w:val="63BE0768"/>
    <w:rsid w:val="63BE1EAF"/>
    <w:rsid w:val="63BE38DD"/>
    <w:rsid w:val="63BE4877"/>
    <w:rsid w:val="63CC1E6C"/>
    <w:rsid w:val="63D42E6F"/>
    <w:rsid w:val="63D56733"/>
    <w:rsid w:val="63DF01FA"/>
    <w:rsid w:val="63ED7418"/>
    <w:rsid w:val="63F55F2B"/>
    <w:rsid w:val="640E09AC"/>
    <w:rsid w:val="641423F7"/>
    <w:rsid w:val="6414705B"/>
    <w:rsid w:val="6418742C"/>
    <w:rsid w:val="642E0DC1"/>
    <w:rsid w:val="64383811"/>
    <w:rsid w:val="643B1DDB"/>
    <w:rsid w:val="64527EE2"/>
    <w:rsid w:val="6463704A"/>
    <w:rsid w:val="646D4927"/>
    <w:rsid w:val="64746411"/>
    <w:rsid w:val="64773568"/>
    <w:rsid w:val="64784319"/>
    <w:rsid w:val="648A53C3"/>
    <w:rsid w:val="649609B3"/>
    <w:rsid w:val="64B1582E"/>
    <w:rsid w:val="64C007C5"/>
    <w:rsid w:val="64C25AE1"/>
    <w:rsid w:val="64D8522D"/>
    <w:rsid w:val="64F459EF"/>
    <w:rsid w:val="64FC6A39"/>
    <w:rsid w:val="64FF5554"/>
    <w:rsid w:val="64FF5B33"/>
    <w:rsid w:val="650C735C"/>
    <w:rsid w:val="651A528F"/>
    <w:rsid w:val="652210F7"/>
    <w:rsid w:val="65252373"/>
    <w:rsid w:val="65310787"/>
    <w:rsid w:val="65320BD1"/>
    <w:rsid w:val="654A0485"/>
    <w:rsid w:val="655679F7"/>
    <w:rsid w:val="655C0221"/>
    <w:rsid w:val="656B28FD"/>
    <w:rsid w:val="657958FF"/>
    <w:rsid w:val="6584001B"/>
    <w:rsid w:val="658558D2"/>
    <w:rsid w:val="658B2995"/>
    <w:rsid w:val="65981B19"/>
    <w:rsid w:val="65A264C4"/>
    <w:rsid w:val="65B01F8D"/>
    <w:rsid w:val="65D63A96"/>
    <w:rsid w:val="65EE799E"/>
    <w:rsid w:val="65F46A63"/>
    <w:rsid w:val="65FF233E"/>
    <w:rsid w:val="660367A1"/>
    <w:rsid w:val="6607745E"/>
    <w:rsid w:val="66093FCB"/>
    <w:rsid w:val="660C1008"/>
    <w:rsid w:val="66130AAB"/>
    <w:rsid w:val="66247877"/>
    <w:rsid w:val="663F3D5C"/>
    <w:rsid w:val="66442B47"/>
    <w:rsid w:val="6645606B"/>
    <w:rsid w:val="664A5DB0"/>
    <w:rsid w:val="664F5592"/>
    <w:rsid w:val="666138BE"/>
    <w:rsid w:val="666B61C1"/>
    <w:rsid w:val="66704DB8"/>
    <w:rsid w:val="667430BA"/>
    <w:rsid w:val="6687181F"/>
    <w:rsid w:val="66991703"/>
    <w:rsid w:val="66A04B27"/>
    <w:rsid w:val="66AB0232"/>
    <w:rsid w:val="66AC42E9"/>
    <w:rsid w:val="66B20A89"/>
    <w:rsid w:val="66B327B0"/>
    <w:rsid w:val="66B57968"/>
    <w:rsid w:val="66B92610"/>
    <w:rsid w:val="66BB312E"/>
    <w:rsid w:val="66C65DA4"/>
    <w:rsid w:val="66CB27C0"/>
    <w:rsid w:val="66CD7497"/>
    <w:rsid w:val="66D525AE"/>
    <w:rsid w:val="66E67C21"/>
    <w:rsid w:val="66F939B6"/>
    <w:rsid w:val="67027284"/>
    <w:rsid w:val="673B45D2"/>
    <w:rsid w:val="67475E38"/>
    <w:rsid w:val="67537032"/>
    <w:rsid w:val="67656864"/>
    <w:rsid w:val="6766467F"/>
    <w:rsid w:val="676B362B"/>
    <w:rsid w:val="676D60D7"/>
    <w:rsid w:val="67775F53"/>
    <w:rsid w:val="67873F03"/>
    <w:rsid w:val="679773D7"/>
    <w:rsid w:val="67A2624C"/>
    <w:rsid w:val="67AE39D7"/>
    <w:rsid w:val="67B42723"/>
    <w:rsid w:val="67C26BE9"/>
    <w:rsid w:val="67CD5390"/>
    <w:rsid w:val="67CF66A0"/>
    <w:rsid w:val="67F41BB8"/>
    <w:rsid w:val="67F60BB7"/>
    <w:rsid w:val="67FC1404"/>
    <w:rsid w:val="68022384"/>
    <w:rsid w:val="6806232A"/>
    <w:rsid w:val="680B049B"/>
    <w:rsid w:val="681329CD"/>
    <w:rsid w:val="682870E2"/>
    <w:rsid w:val="682B1DC8"/>
    <w:rsid w:val="68322311"/>
    <w:rsid w:val="68514045"/>
    <w:rsid w:val="68541A0A"/>
    <w:rsid w:val="686E2CBE"/>
    <w:rsid w:val="68995A67"/>
    <w:rsid w:val="689E408E"/>
    <w:rsid w:val="68B77FEA"/>
    <w:rsid w:val="68CC65D0"/>
    <w:rsid w:val="68D121D5"/>
    <w:rsid w:val="68D8103F"/>
    <w:rsid w:val="68EE6D9D"/>
    <w:rsid w:val="68FB681C"/>
    <w:rsid w:val="69005F31"/>
    <w:rsid w:val="69010FD4"/>
    <w:rsid w:val="6934460D"/>
    <w:rsid w:val="694E280C"/>
    <w:rsid w:val="69607A6C"/>
    <w:rsid w:val="696B7A43"/>
    <w:rsid w:val="696D0FD1"/>
    <w:rsid w:val="697C6401"/>
    <w:rsid w:val="697D34E1"/>
    <w:rsid w:val="69865073"/>
    <w:rsid w:val="698C58DA"/>
    <w:rsid w:val="69954DA9"/>
    <w:rsid w:val="69A7696E"/>
    <w:rsid w:val="69AB6664"/>
    <w:rsid w:val="69C37CDD"/>
    <w:rsid w:val="69CD70A4"/>
    <w:rsid w:val="69F27551"/>
    <w:rsid w:val="6A017D99"/>
    <w:rsid w:val="6A114CCF"/>
    <w:rsid w:val="6A195EB9"/>
    <w:rsid w:val="6A322912"/>
    <w:rsid w:val="6A483D54"/>
    <w:rsid w:val="6A4E7F60"/>
    <w:rsid w:val="6A4F0FE3"/>
    <w:rsid w:val="6A632100"/>
    <w:rsid w:val="6A6E3D8A"/>
    <w:rsid w:val="6A907C90"/>
    <w:rsid w:val="6ABD2B8A"/>
    <w:rsid w:val="6AC122A3"/>
    <w:rsid w:val="6ACA5FB0"/>
    <w:rsid w:val="6ADE18EE"/>
    <w:rsid w:val="6ADF3594"/>
    <w:rsid w:val="6AE73F4D"/>
    <w:rsid w:val="6B0B1D32"/>
    <w:rsid w:val="6B0F0139"/>
    <w:rsid w:val="6B2142CE"/>
    <w:rsid w:val="6B2315D2"/>
    <w:rsid w:val="6B25182E"/>
    <w:rsid w:val="6B30021B"/>
    <w:rsid w:val="6B3B0707"/>
    <w:rsid w:val="6B471513"/>
    <w:rsid w:val="6B56083E"/>
    <w:rsid w:val="6B6B376C"/>
    <w:rsid w:val="6B7C613A"/>
    <w:rsid w:val="6B850C29"/>
    <w:rsid w:val="6B954CEF"/>
    <w:rsid w:val="6BA840D6"/>
    <w:rsid w:val="6BB87FC4"/>
    <w:rsid w:val="6BBE61C0"/>
    <w:rsid w:val="6BD46B4D"/>
    <w:rsid w:val="6BE73798"/>
    <w:rsid w:val="6C182FA3"/>
    <w:rsid w:val="6C1A082E"/>
    <w:rsid w:val="6C3707E3"/>
    <w:rsid w:val="6C553829"/>
    <w:rsid w:val="6C693AEA"/>
    <w:rsid w:val="6C6958BA"/>
    <w:rsid w:val="6C6A2B82"/>
    <w:rsid w:val="6C6E6BE1"/>
    <w:rsid w:val="6C860712"/>
    <w:rsid w:val="6C860B71"/>
    <w:rsid w:val="6C863AD3"/>
    <w:rsid w:val="6C8F0FB6"/>
    <w:rsid w:val="6C995B9F"/>
    <w:rsid w:val="6CB03800"/>
    <w:rsid w:val="6CB543F8"/>
    <w:rsid w:val="6CCA6C75"/>
    <w:rsid w:val="6CD3191A"/>
    <w:rsid w:val="6CE83B52"/>
    <w:rsid w:val="6CFD7470"/>
    <w:rsid w:val="6D193B0B"/>
    <w:rsid w:val="6D2162B4"/>
    <w:rsid w:val="6D222178"/>
    <w:rsid w:val="6D2C13DF"/>
    <w:rsid w:val="6D351109"/>
    <w:rsid w:val="6D535020"/>
    <w:rsid w:val="6D6A5CC8"/>
    <w:rsid w:val="6D6B3F91"/>
    <w:rsid w:val="6D7538E1"/>
    <w:rsid w:val="6D7707C3"/>
    <w:rsid w:val="6D8901BC"/>
    <w:rsid w:val="6D9346AE"/>
    <w:rsid w:val="6DB16CB7"/>
    <w:rsid w:val="6DB22D18"/>
    <w:rsid w:val="6DB96B12"/>
    <w:rsid w:val="6DC918BA"/>
    <w:rsid w:val="6DD16FED"/>
    <w:rsid w:val="6DE04488"/>
    <w:rsid w:val="6DEE7E36"/>
    <w:rsid w:val="6E132BBF"/>
    <w:rsid w:val="6E156AB9"/>
    <w:rsid w:val="6E233B75"/>
    <w:rsid w:val="6E255579"/>
    <w:rsid w:val="6E2A1D7A"/>
    <w:rsid w:val="6E347D9E"/>
    <w:rsid w:val="6E39640B"/>
    <w:rsid w:val="6E457FD7"/>
    <w:rsid w:val="6E4E1431"/>
    <w:rsid w:val="6E5140E8"/>
    <w:rsid w:val="6E523ECC"/>
    <w:rsid w:val="6E777980"/>
    <w:rsid w:val="6E8C433E"/>
    <w:rsid w:val="6E950807"/>
    <w:rsid w:val="6E9C45CA"/>
    <w:rsid w:val="6EBF54EA"/>
    <w:rsid w:val="6ECB09B7"/>
    <w:rsid w:val="6ECC5B21"/>
    <w:rsid w:val="6ED0560A"/>
    <w:rsid w:val="6EE62D04"/>
    <w:rsid w:val="6F2C025F"/>
    <w:rsid w:val="6F2C25D4"/>
    <w:rsid w:val="6F4308A1"/>
    <w:rsid w:val="6F46405D"/>
    <w:rsid w:val="6F484CA0"/>
    <w:rsid w:val="6F5603AA"/>
    <w:rsid w:val="6F582142"/>
    <w:rsid w:val="6F5A6648"/>
    <w:rsid w:val="6F6311C3"/>
    <w:rsid w:val="6F7B4F57"/>
    <w:rsid w:val="6F8173A5"/>
    <w:rsid w:val="6F8731F0"/>
    <w:rsid w:val="6F9016F3"/>
    <w:rsid w:val="6F98023F"/>
    <w:rsid w:val="6FBC0E57"/>
    <w:rsid w:val="6FC57B35"/>
    <w:rsid w:val="6FCB5618"/>
    <w:rsid w:val="6FF551F5"/>
    <w:rsid w:val="6FF901E4"/>
    <w:rsid w:val="70224DE3"/>
    <w:rsid w:val="703503A4"/>
    <w:rsid w:val="7036351C"/>
    <w:rsid w:val="703D6CEF"/>
    <w:rsid w:val="70412B93"/>
    <w:rsid w:val="70553D44"/>
    <w:rsid w:val="705D42D1"/>
    <w:rsid w:val="7062375F"/>
    <w:rsid w:val="70706378"/>
    <w:rsid w:val="7075364D"/>
    <w:rsid w:val="708B2925"/>
    <w:rsid w:val="70B16ED7"/>
    <w:rsid w:val="70C06B12"/>
    <w:rsid w:val="70C55B89"/>
    <w:rsid w:val="70CE5088"/>
    <w:rsid w:val="70D900D5"/>
    <w:rsid w:val="70EC759C"/>
    <w:rsid w:val="70FA1F63"/>
    <w:rsid w:val="710A05D6"/>
    <w:rsid w:val="71164870"/>
    <w:rsid w:val="71215B48"/>
    <w:rsid w:val="712357B2"/>
    <w:rsid w:val="71267D19"/>
    <w:rsid w:val="71315B56"/>
    <w:rsid w:val="713425DE"/>
    <w:rsid w:val="71362F91"/>
    <w:rsid w:val="71380537"/>
    <w:rsid w:val="71395FAD"/>
    <w:rsid w:val="713C7860"/>
    <w:rsid w:val="7158707F"/>
    <w:rsid w:val="715F7096"/>
    <w:rsid w:val="71634934"/>
    <w:rsid w:val="71684551"/>
    <w:rsid w:val="716C7616"/>
    <w:rsid w:val="71723E36"/>
    <w:rsid w:val="71760E9C"/>
    <w:rsid w:val="71895007"/>
    <w:rsid w:val="718C2955"/>
    <w:rsid w:val="718C3250"/>
    <w:rsid w:val="719C38AD"/>
    <w:rsid w:val="719D43E5"/>
    <w:rsid w:val="71BA2D03"/>
    <w:rsid w:val="71DD2475"/>
    <w:rsid w:val="71DD54E0"/>
    <w:rsid w:val="71E25D9B"/>
    <w:rsid w:val="71E93AFF"/>
    <w:rsid w:val="71EA1849"/>
    <w:rsid w:val="71FC4024"/>
    <w:rsid w:val="72097561"/>
    <w:rsid w:val="721B506B"/>
    <w:rsid w:val="724033F7"/>
    <w:rsid w:val="72433065"/>
    <w:rsid w:val="728175C3"/>
    <w:rsid w:val="728E5109"/>
    <w:rsid w:val="72A2415E"/>
    <w:rsid w:val="72AC288B"/>
    <w:rsid w:val="72B266AC"/>
    <w:rsid w:val="72C03295"/>
    <w:rsid w:val="72C346BD"/>
    <w:rsid w:val="72CE404E"/>
    <w:rsid w:val="72E47A77"/>
    <w:rsid w:val="72ED4786"/>
    <w:rsid w:val="72F5500F"/>
    <w:rsid w:val="72FD4B94"/>
    <w:rsid w:val="73035024"/>
    <w:rsid w:val="731822C5"/>
    <w:rsid w:val="73261C73"/>
    <w:rsid w:val="73274383"/>
    <w:rsid w:val="73296A24"/>
    <w:rsid w:val="733B25A8"/>
    <w:rsid w:val="733E766B"/>
    <w:rsid w:val="733F3107"/>
    <w:rsid w:val="734A04E5"/>
    <w:rsid w:val="736F044F"/>
    <w:rsid w:val="737410AC"/>
    <w:rsid w:val="73785F09"/>
    <w:rsid w:val="7391679E"/>
    <w:rsid w:val="73A53482"/>
    <w:rsid w:val="73AA5EEC"/>
    <w:rsid w:val="73B04236"/>
    <w:rsid w:val="73BB09D2"/>
    <w:rsid w:val="73BD186A"/>
    <w:rsid w:val="73BF77D7"/>
    <w:rsid w:val="73CB6CEC"/>
    <w:rsid w:val="73E27B00"/>
    <w:rsid w:val="73E65029"/>
    <w:rsid w:val="73EF42A9"/>
    <w:rsid w:val="73F017DA"/>
    <w:rsid w:val="73F07D9A"/>
    <w:rsid w:val="73F41526"/>
    <w:rsid w:val="74090D59"/>
    <w:rsid w:val="74180BBF"/>
    <w:rsid w:val="74266B95"/>
    <w:rsid w:val="742E73BF"/>
    <w:rsid w:val="743D2A5D"/>
    <w:rsid w:val="74451C3B"/>
    <w:rsid w:val="74566DBA"/>
    <w:rsid w:val="745A0BA9"/>
    <w:rsid w:val="745D2796"/>
    <w:rsid w:val="7460605D"/>
    <w:rsid w:val="74645E2C"/>
    <w:rsid w:val="747A5C59"/>
    <w:rsid w:val="748D4D0B"/>
    <w:rsid w:val="748F2873"/>
    <w:rsid w:val="74C07362"/>
    <w:rsid w:val="74E0416E"/>
    <w:rsid w:val="74EE09B3"/>
    <w:rsid w:val="74F03D4D"/>
    <w:rsid w:val="74F16FF8"/>
    <w:rsid w:val="75032417"/>
    <w:rsid w:val="751630F3"/>
    <w:rsid w:val="751B0EF7"/>
    <w:rsid w:val="751D677C"/>
    <w:rsid w:val="75231E7F"/>
    <w:rsid w:val="7544346D"/>
    <w:rsid w:val="75494DE0"/>
    <w:rsid w:val="754A58F7"/>
    <w:rsid w:val="754A5A14"/>
    <w:rsid w:val="75684184"/>
    <w:rsid w:val="75782865"/>
    <w:rsid w:val="75820D5E"/>
    <w:rsid w:val="759146BB"/>
    <w:rsid w:val="75B30DD6"/>
    <w:rsid w:val="75C25231"/>
    <w:rsid w:val="75C876B4"/>
    <w:rsid w:val="75DF4381"/>
    <w:rsid w:val="75E142B9"/>
    <w:rsid w:val="75E5151B"/>
    <w:rsid w:val="75EC37AE"/>
    <w:rsid w:val="75F16CCA"/>
    <w:rsid w:val="76054A17"/>
    <w:rsid w:val="76211AF6"/>
    <w:rsid w:val="76275FAE"/>
    <w:rsid w:val="762E39BD"/>
    <w:rsid w:val="763537F6"/>
    <w:rsid w:val="763B3B81"/>
    <w:rsid w:val="76417696"/>
    <w:rsid w:val="76453603"/>
    <w:rsid w:val="76686B17"/>
    <w:rsid w:val="767F314F"/>
    <w:rsid w:val="7683750C"/>
    <w:rsid w:val="76940D5A"/>
    <w:rsid w:val="7695521B"/>
    <w:rsid w:val="769F638C"/>
    <w:rsid w:val="771E342D"/>
    <w:rsid w:val="77241334"/>
    <w:rsid w:val="772E3EC9"/>
    <w:rsid w:val="778B1690"/>
    <w:rsid w:val="778B74B3"/>
    <w:rsid w:val="779C66D3"/>
    <w:rsid w:val="77A52D33"/>
    <w:rsid w:val="77B86D8D"/>
    <w:rsid w:val="77B95085"/>
    <w:rsid w:val="77C82507"/>
    <w:rsid w:val="77C94A5C"/>
    <w:rsid w:val="77D51602"/>
    <w:rsid w:val="77F359E9"/>
    <w:rsid w:val="780E6346"/>
    <w:rsid w:val="7810476F"/>
    <w:rsid w:val="781B6277"/>
    <w:rsid w:val="782402F6"/>
    <w:rsid w:val="7826124C"/>
    <w:rsid w:val="782D5E70"/>
    <w:rsid w:val="782E0211"/>
    <w:rsid w:val="783E6B68"/>
    <w:rsid w:val="786660BB"/>
    <w:rsid w:val="7876280E"/>
    <w:rsid w:val="787967A0"/>
    <w:rsid w:val="787E5DA4"/>
    <w:rsid w:val="7886011F"/>
    <w:rsid w:val="788E4C33"/>
    <w:rsid w:val="78A23C35"/>
    <w:rsid w:val="78AE55B9"/>
    <w:rsid w:val="78B1241F"/>
    <w:rsid w:val="78B5402C"/>
    <w:rsid w:val="78C33580"/>
    <w:rsid w:val="78CA3104"/>
    <w:rsid w:val="78DD724E"/>
    <w:rsid w:val="78E144CE"/>
    <w:rsid w:val="78E46F81"/>
    <w:rsid w:val="78E97DB2"/>
    <w:rsid w:val="78FB0EF8"/>
    <w:rsid w:val="78FE7A25"/>
    <w:rsid w:val="790300B9"/>
    <w:rsid w:val="792C6D0B"/>
    <w:rsid w:val="793731E3"/>
    <w:rsid w:val="79392389"/>
    <w:rsid w:val="793F4619"/>
    <w:rsid w:val="79476D94"/>
    <w:rsid w:val="795200ED"/>
    <w:rsid w:val="79533E74"/>
    <w:rsid w:val="79537BB7"/>
    <w:rsid w:val="79590D62"/>
    <w:rsid w:val="79651C45"/>
    <w:rsid w:val="796C1BE9"/>
    <w:rsid w:val="7972462B"/>
    <w:rsid w:val="797C1FFB"/>
    <w:rsid w:val="79872B48"/>
    <w:rsid w:val="798F727F"/>
    <w:rsid w:val="7998292C"/>
    <w:rsid w:val="79BC5130"/>
    <w:rsid w:val="79D82AAC"/>
    <w:rsid w:val="79F075B1"/>
    <w:rsid w:val="79FB0C04"/>
    <w:rsid w:val="79FD459D"/>
    <w:rsid w:val="79FE5779"/>
    <w:rsid w:val="7A0144E6"/>
    <w:rsid w:val="7A082841"/>
    <w:rsid w:val="7A0C5205"/>
    <w:rsid w:val="7A314E83"/>
    <w:rsid w:val="7A320584"/>
    <w:rsid w:val="7A444B44"/>
    <w:rsid w:val="7A4568FC"/>
    <w:rsid w:val="7A6639DD"/>
    <w:rsid w:val="7A697475"/>
    <w:rsid w:val="7A6D79AA"/>
    <w:rsid w:val="7A753B7E"/>
    <w:rsid w:val="7A7A62B5"/>
    <w:rsid w:val="7A7C4599"/>
    <w:rsid w:val="7A8157F4"/>
    <w:rsid w:val="7A8210D7"/>
    <w:rsid w:val="7A8E0619"/>
    <w:rsid w:val="7AC552F2"/>
    <w:rsid w:val="7AD53C91"/>
    <w:rsid w:val="7AD91D8E"/>
    <w:rsid w:val="7ADB5C40"/>
    <w:rsid w:val="7ADD7099"/>
    <w:rsid w:val="7AE53FA2"/>
    <w:rsid w:val="7AE91E92"/>
    <w:rsid w:val="7AF37660"/>
    <w:rsid w:val="7B126289"/>
    <w:rsid w:val="7B30530E"/>
    <w:rsid w:val="7B3846C8"/>
    <w:rsid w:val="7B390DDA"/>
    <w:rsid w:val="7B693808"/>
    <w:rsid w:val="7B6D58DE"/>
    <w:rsid w:val="7B8F488C"/>
    <w:rsid w:val="7B993DA4"/>
    <w:rsid w:val="7B9E0E8A"/>
    <w:rsid w:val="7BAA71B9"/>
    <w:rsid w:val="7BAF7D8E"/>
    <w:rsid w:val="7BB10B07"/>
    <w:rsid w:val="7BBF1BA5"/>
    <w:rsid w:val="7BDC2D7A"/>
    <w:rsid w:val="7BF71F56"/>
    <w:rsid w:val="7BFB33F0"/>
    <w:rsid w:val="7C0433BA"/>
    <w:rsid w:val="7C0467F7"/>
    <w:rsid w:val="7C052A99"/>
    <w:rsid w:val="7C1C2365"/>
    <w:rsid w:val="7C440D38"/>
    <w:rsid w:val="7C4A0704"/>
    <w:rsid w:val="7C4A26E6"/>
    <w:rsid w:val="7C59098D"/>
    <w:rsid w:val="7C816640"/>
    <w:rsid w:val="7C907C58"/>
    <w:rsid w:val="7C973CE5"/>
    <w:rsid w:val="7C9C5AAF"/>
    <w:rsid w:val="7CA26400"/>
    <w:rsid w:val="7CA504FC"/>
    <w:rsid w:val="7CA92D22"/>
    <w:rsid w:val="7CAB1228"/>
    <w:rsid w:val="7CB13DE8"/>
    <w:rsid w:val="7CB53CE5"/>
    <w:rsid w:val="7CB8747E"/>
    <w:rsid w:val="7CC66EA5"/>
    <w:rsid w:val="7CD91ED4"/>
    <w:rsid w:val="7CDA4FD7"/>
    <w:rsid w:val="7CDE6632"/>
    <w:rsid w:val="7CE31486"/>
    <w:rsid w:val="7CE355AB"/>
    <w:rsid w:val="7CED4739"/>
    <w:rsid w:val="7CF81AC1"/>
    <w:rsid w:val="7D051E6D"/>
    <w:rsid w:val="7D130BAA"/>
    <w:rsid w:val="7D293E37"/>
    <w:rsid w:val="7D2C2A2C"/>
    <w:rsid w:val="7D3C3A40"/>
    <w:rsid w:val="7D3D1E08"/>
    <w:rsid w:val="7D3F49EB"/>
    <w:rsid w:val="7D42460F"/>
    <w:rsid w:val="7D491923"/>
    <w:rsid w:val="7D4B0579"/>
    <w:rsid w:val="7D555FAC"/>
    <w:rsid w:val="7D625500"/>
    <w:rsid w:val="7D6B63FA"/>
    <w:rsid w:val="7D6C6BA9"/>
    <w:rsid w:val="7D7F0A40"/>
    <w:rsid w:val="7D8E409D"/>
    <w:rsid w:val="7D9E5BDD"/>
    <w:rsid w:val="7DDA0FC1"/>
    <w:rsid w:val="7DDC6964"/>
    <w:rsid w:val="7DE065A7"/>
    <w:rsid w:val="7DEB5334"/>
    <w:rsid w:val="7DF52D47"/>
    <w:rsid w:val="7DFA7B58"/>
    <w:rsid w:val="7E054DC3"/>
    <w:rsid w:val="7E0A7D52"/>
    <w:rsid w:val="7E0E2884"/>
    <w:rsid w:val="7E1813FE"/>
    <w:rsid w:val="7E250A47"/>
    <w:rsid w:val="7E2558C7"/>
    <w:rsid w:val="7E2B01D4"/>
    <w:rsid w:val="7E2E5534"/>
    <w:rsid w:val="7E2E67D3"/>
    <w:rsid w:val="7E3139AB"/>
    <w:rsid w:val="7E631219"/>
    <w:rsid w:val="7E7517E8"/>
    <w:rsid w:val="7E8E203F"/>
    <w:rsid w:val="7E8F25D0"/>
    <w:rsid w:val="7E9276AE"/>
    <w:rsid w:val="7EAB29B1"/>
    <w:rsid w:val="7EAC6DCF"/>
    <w:rsid w:val="7EBC1F58"/>
    <w:rsid w:val="7EC9106A"/>
    <w:rsid w:val="7EC957DD"/>
    <w:rsid w:val="7ED14DB6"/>
    <w:rsid w:val="7EDC3B37"/>
    <w:rsid w:val="7EE76915"/>
    <w:rsid w:val="7EEC6E13"/>
    <w:rsid w:val="7EF118F1"/>
    <w:rsid w:val="7EF47DC2"/>
    <w:rsid w:val="7F0B68A2"/>
    <w:rsid w:val="7F115E56"/>
    <w:rsid w:val="7F2039B5"/>
    <w:rsid w:val="7F24500C"/>
    <w:rsid w:val="7F2A6727"/>
    <w:rsid w:val="7F4419AA"/>
    <w:rsid w:val="7F45214C"/>
    <w:rsid w:val="7F4E793F"/>
    <w:rsid w:val="7F5579B0"/>
    <w:rsid w:val="7F58405D"/>
    <w:rsid w:val="7F617E8B"/>
    <w:rsid w:val="7F837A9D"/>
    <w:rsid w:val="7F947FF8"/>
    <w:rsid w:val="7F977394"/>
    <w:rsid w:val="7F9D1D7D"/>
    <w:rsid w:val="7FA450A9"/>
    <w:rsid w:val="7FA87001"/>
    <w:rsid w:val="7FB25208"/>
    <w:rsid w:val="7FB3330A"/>
    <w:rsid w:val="7FCB08BB"/>
    <w:rsid w:val="7FCC0E95"/>
    <w:rsid w:val="7FDA4E4D"/>
    <w:rsid w:val="7FFC5E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nhideWhenUsed="0" w:uiPriority="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adjustRightInd w:val="0"/>
      <w:snapToGrid w:val="0"/>
    </w:pPr>
    <w:rPr>
      <w:rFonts w:ascii="Tahoma" w:hAnsi="Tahoma" w:eastAsia="微软雅黑" w:cstheme="minorBidi"/>
      <w:sz w:val="22"/>
      <w:szCs w:val="22"/>
      <w:lang w:val="en-US" w:eastAsia="zh-CN" w:bidi="ar-SA"/>
    </w:rPr>
  </w:style>
  <w:style w:type="paragraph" w:styleId="3">
    <w:name w:val="heading 1"/>
    <w:basedOn w:val="1"/>
    <w:next w:val="1"/>
    <w:qFormat/>
    <w:uiPriority w:val="0"/>
    <w:pPr>
      <w:keepNext/>
      <w:keepLines/>
      <w:outlineLvl w:val="0"/>
    </w:pPr>
    <w:rPr>
      <w:b/>
      <w:bCs/>
      <w:kern w:val="44"/>
      <w:szCs w:val="44"/>
    </w:rPr>
  </w:style>
  <w:style w:type="paragraph" w:styleId="4">
    <w:name w:val="heading 2"/>
    <w:basedOn w:val="1"/>
    <w:next w:val="1"/>
    <w:qFormat/>
    <w:uiPriority w:val="0"/>
    <w:pPr>
      <w:keepNext/>
      <w:keepLines/>
      <w:spacing w:line="416" w:lineRule="auto"/>
      <w:outlineLvl w:val="1"/>
    </w:pPr>
    <w:rPr>
      <w:rFonts w:ascii="Arial" w:hAnsi="Arial" w:eastAsia="黑体"/>
      <w:b/>
      <w:bCs/>
      <w:kern w:val="2"/>
      <w:sz w:val="32"/>
      <w:szCs w:val="32"/>
    </w:rPr>
  </w:style>
  <w:style w:type="paragraph" w:styleId="5">
    <w:name w:val="heading 3"/>
    <w:basedOn w:val="1"/>
    <w:next w:val="1"/>
    <w:qFormat/>
    <w:uiPriority w:val="0"/>
    <w:pPr>
      <w:keepNext/>
      <w:outlineLvl w:val="2"/>
    </w:pPr>
    <w:rPr>
      <w:sz w:val="44"/>
      <w:shd w:val="pct10" w:color="auto" w:fill="FFFFFF"/>
    </w:rPr>
  </w:style>
  <w:style w:type="character" w:default="1" w:styleId="24">
    <w:name w:val="Default Paragraph Font"/>
    <w:semiHidden/>
    <w:unhideWhenUsed/>
    <w:qFormat/>
    <w:uiPriority w:val="1"/>
  </w:style>
  <w:style w:type="table" w:default="1" w:styleId="22">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1"/>
    <w:qFormat/>
    <w:uiPriority w:val="0"/>
    <w:pPr>
      <w:ind w:firstLine="420"/>
    </w:pPr>
  </w:style>
  <w:style w:type="paragraph" w:styleId="6">
    <w:name w:val="table of authorities"/>
    <w:basedOn w:val="1"/>
    <w:next w:val="1"/>
    <w:semiHidden/>
    <w:qFormat/>
    <w:uiPriority w:val="0"/>
    <w:pPr>
      <w:ind w:left="420" w:leftChars="200"/>
    </w:pPr>
  </w:style>
  <w:style w:type="paragraph" w:styleId="7">
    <w:name w:val="Note Heading"/>
    <w:basedOn w:val="1"/>
    <w:next w:val="1"/>
    <w:qFormat/>
    <w:uiPriority w:val="0"/>
    <w:pPr>
      <w:jc w:val="center"/>
    </w:pPr>
  </w:style>
  <w:style w:type="paragraph" w:styleId="8">
    <w:name w:val="Normal Indent"/>
    <w:basedOn w:val="1"/>
    <w:qFormat/>
    <w:uiPriority w:val="0"/>
    <w:pPr>
      <w:widowControl w:val="0"/>
      <w:spacing w:beforeLines="50" w:line="360" w:lineRule="auto"/>
      <w:ind w:firstLine="560" w:firstLineChars="200"/>
      <w:jc w:val="both"/>
    </w:pPr>
    <w:rPr>
      <w:kern w:val="2"/>
      <w:sz w:val="28"/>
    </w:rPr>
  </w:style>
  <w:style w:type="paragraph" w:styleId="9">
    <w:name w:val="Document Map"/>
    <w:basedOn w:val="1"/>
    <w:link w:val="61"/>
    <w:qFormat/>
    <w:uiPriority w:val="0"/>
    <w:rPr>
      <w:rFonts w:ascii="宋体" w:eastAsia="宋体"/>
      <w:sz w:val="18"/>
      <w:szCs w:val="18"/>
    </w:rPr>
  </w:style>
  <w:style w:type="paragraph" w:styleId="10">
    <w:name w:val="annotation text"/>
    <w:basedOn w:val="1"/>
    <w:qFormat/>
    <w:uiPriority w:val="0"/>
  </w:style>
  <w:style w:type="paragraph" w:styleId="11">
    <w:name w:val="Body Text"/>
    <w:basedOn w:val="1"/>
    <w:next w:val="7"/>
    <w:qFormat/>
    <w:uiPriority w:val="0"/>
    <w:rPr>
      <w:rFonts w:eastAsia="楷体_GB2312"/>
      <w:spacing w:val="-8"/>
      <w:sz w:val="24"/>
    </w:rPr>
  </w:style>
  <w:style w:type="paragraph" w:styleId="12">
    <w:name w:val="Body Text Indent"/>
    <w:basedOn w:val="1"/>
    <w:qFormat/>
    <w:uiPriority w:val="0"/>
    <w:pPr>
      <w:jc w:val="center"/>
    </w:pPr>
    <w:rPr>
      <w:rFonts w:eastAsia="楷体_GB2312"/>
      <w:sz w:val="24"/>
    </w:rPr>
  </w:style>
  <w:style w:type="paragraph" w:styleId="13">
    <w:name w:val="Block Text"/>
    <w:basedOn w:val="1"/>
    <w:qFormat/>
    <w:uiPriority w:val="0"/>
    <w:pPr>
      <w:spacing w:line="440" w:lineRule="exact"/>
      <w:ind w:left="113" w:right="113" w:firstLine="567"/>
    </w:pPr>
    <w:rPr>
      <w:rFonts w:ascii="仿宋_GB2312" w:eastAsia="仿宋_GB2312"/>
      <w:sz w:val="28"/>
      <w:szCs w:val="20"/>
    </w:rPr>
  </w:style>
  <w:style w:type="paragraph" w:styleId="14">
    <w:name w:val="Plain Text"/>
    <w:basedOn w:val="1"/>
    <w:unhideWhenUsed/>
    <w:qFormat/>
    <w:uiPriority w:val="99"/>
    <w:rPr>
      <w:rFonts w:ascii="宋体" w:hAnsi="Courier New"/>
      <w:sz w:val="20"/>
      <w:szCs w:val="21"/>
    </w:rPr>
  </w:style>
  <w:style w:type="paragraph" w:styleId="15">
    <w:name w:val="Balloon Text"/>
    <w:basedOn w:val="1"/>
    <w:link w:val="59"/>
    <w:qFormat/>
    <w:uiPriority w:val="0"/>
    <w:rPr>
      <w:sz w:val="18"/>
      <w:szCs w:val="18"/>
    </w:rPr>
  </w:style>
  <w:style w:type="paragraph" w:styleId="16">
    <w:name w:val="footer"/>
    <w:basedOn w:val="1"/>
    <w:link w:val="60"/>
    <w:qFormat/>
    <w:uiPriority w:val="99"/>
    <w:pPr>
      <w:tabs>
        <w:tab w:val="center" w:pos="4153"/>
        <w:tab w:val="right" w:pos="8306"/>
      </w:tabs>
    </w:pPr>
    <w:rPr>
      <w:sz w:val="18"/>
      <w:szCs w:val="18"/>
    </w:rPr>
  </w:style>
  <w:style w:type="paragraph" w:styleId="1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jc w:val="both"/>
    </w:pPr>
    <w:rPr>
      <w:sz w:val="18"/>
    </w:rPr>
  </w:style>
  <w:style w:type="paragraph" w:styleId="18">
    <w:name w:val="toc 1"/>
    <w:basedOn w:val="1"/>
    <w:next w:val="1"/>
    <w:qFormat/>
    <w:uiPriority w:val="0"/>
  </w:style>
  <w:style w:type="paragraph" w:styleId="19">
    <w:name w:val="List"/>
    <w:basedOn w:val="1"/>
    <w:qFormat/>
    <w:uiPriority w:val="0"/>
    <w:pPr>
      <w:ind w:left="200" w:hanging="200" w:hangingChars="200"/>
    </w:pPr>
  </w:style>
  <w:style w:type="paragraph" w:styleId="20">
    <w:name w:val="Normal (Web)"/>
    <w:basedOn w:val="1"/>
    <w:qFormat/>
    <w:uiPriority w:val="0"/>
    <w:pPr>
      <w:spacing w:before="100" w:beforeAutospacing="1" w:after="100" w:afterAutospacing="1"/>
    </w:pPr>
    <w:rPr>
      <w:rFonts w:ascii="宋体" w:hAnsi="宋体" w:cs="宋体"/>
      <w:sz w:val="24"/>
    </w:rPr>
  </w:style>
  <w:style w:type="paragraph" w:styleId="21">
    <w:name w:val="Body Text First Indent"/>
    <w:basedOn w:val="11"/>
    <w:qFormat/>
    <w:uiPriority w:val="0"/>
    <w:pPr>
      <w:ind w:firstLine="420" w:firstLineChars="100"/>
    </w:pPr>
    <w:rPr>
      <w:sz w:val="18"/>
    </w:rPr>
  </w:style>
  <w:style w:type="table" w:styleId="23">
    <w:name w:val="Table Grid"/>
    <w:basedOn w:val="2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5">
    <w:name w:val="page number"/>
    <w:basedOn w:val="24"/>
    <w:qFormat/>
    <w:uiPriority w:val="0"/>
  </w:style>
  <w:style w:type="character" w:styleId="26">
    <w:name w:val="Emphasis"/>
    <w:basedOn w:val="24"/>
    <w:qFormat/>
    <w:uiPriority w:val="0"/>
    <w:rPr>
      <w:i/>
    </w:rPr>
  </w:style>
  <w:style w:type="character" w:styleId="27">
    <w:name w:val="annotation reference"/>
    <w:semiHidden/>
    <w:qFormat/>
    <w:uiPriority w:val="0"/>
    <w:rPr>
      <w:sz w:val="21"/>
      <w:szCs w:val="21"/>
    </w:rPr>
  </w:style>
  <w:style w:type="paragraph" w:customStyle="1" w:styleId="28">
    <w:name w:val="Char Char Char Char Char2 Char Char Char Char"/>
    <w:basedOn w:val="1"/>
    <w:qFormat/>
    <w:uiPriority w:val="0"/>
    <w:pPr>
      <w:spacing w:line="360" w:lineRule="auto"/>
      <w:ind w:firstLine="200" w:firstLineChars="200"/>
    </w:pPr>
  </w:style>
  <w:style w:type="paragraph" w:customStyle="1" w:styleId="29">
    <w:name w:val="Default"/>
    <w:qFormat/>
    <w:uiPriority w:val="0"/>
    <w:pPr>
      <w:widowControl w:val="0"/>
      <w:autoSpaceDE w:val="0"/>
      <w:autoSpaceDN w:val="0"/>
      <w:adjustRightInd w:val="0"/>
    </w:pPr>
    <w:rPr>
      <w:rFonts w:ascii="宋体" w:hAnsi="宋体" w:eastAsia="宋体" w:cs="宋体"/>
      <w:color w:val="000000"/>
      <w:sz w:val="24"/>
      <w:szCs w:val="24"/>
      <w:lang w:val="en-US" w:eastAsia="zh-CN" w:bidi="ar-SA"/>
    </w:rPr>
  </w:style>
  <w:style w:type="paragraph" w:customStyle="1" w:styleId="30">
    <w:name w:val="列出段落1"/>
    <w:basedOn w:val="1"/>
    <w:qFormat/>
    <w:uiPriority w:val="0"/>
    <w:pPr>
      <w:widowControl w:val="0"/>
      <w:adjustRightInd/>
      <w:snapToGrid/>
      <w:ind w:firstLine="420" w:firstLineChars="200"/>
      <w:jc w:val="both"/>
    </w:pPr>
    <w:rPr>
      <w:rFonts w:ascii="Times New Roman" w:hAnsi="Times New Roman" w:eastAsia="宋体"/>
      <w:kern w:val="2"/>
      <w:sz w:val="21"/>
      <w:szCs w:val="20"/>
    </w:rPr>
  </w:style>
  <w:style w:type="paragraph" w:customStyle="1" w:styleId="31">
    <w:name w:val="谢—正文"/>
    <w:basedOn w:val="1"/>
    <w:qFormat/>
    <w:uiPriority w:val="0"/>
    <w:pPr>
      <w:spacing w:line="500" w:lineRule="exact"/>
      <w:ind w:firstLine="200" w:firstLineChars="200"/>
    </w:pPr>
    <w:rPr>
      <w:rFonts w:eastAsia="楷体_GB2312"/>
      <w:sz w:val="28"/>
    </w:rPr>
  </w:style>
  <w:style w:type="paragraph" w:customStyle="1" w:styleId="32">
    <w:name w:val="p0"/>
    <w:basedOn w:val="1"/>
    <w:qFormat/>
    <w:uiPriority w:val="0"/>
    <w:pPr>
      <w:spacing w:line="365" w:lineRule="atLeast"/>
      <w:ind w:left="1"/>
      <w:textAlignment w:val="bottom"/>
    </w:pPr>
    <w:rPr>
      <w:sz w:val="20"/>
      <w:szCs w:val="20"/>
    </w:rPr>
  </w:style>
  <w:style w:type="paragraph" w:customStyle="1" w:styleId="33">
    <w:name w:val="表格1"/>
    <w:basedOn w:val="14"/>
    <w:next w:val="1"/>
    <w:qFormat/>
    <w:uiPriority w:val="0"/>
  </w:style>
  <w:style w:type="paragraph" w:customStyle="1" w:styleId="34">
    <w:name w:val="0正文"/>
    <w:basedOn w:val="1"/>
    <w:semiHidden/>
    <w:qFormat/>
    <w:uiPriority w:val="99"/>
    <w:pPr>
      <w:spacing w:line="360" w:lineRule="auto"/>
      <w:ind w:firstLine="720" w:firstLineChars="200"/>
    </w:pPr>
    <w:rPr>
      <w:sz w:val="24"/>
      <w:szCs w:val="24"/>
    </w:rPr>
  </w:style>
  <w:style w:type="paragraph" w:customStyle="1" w:styleId="35">
    <w:name w:val="表内容123"/>
    <w:basedOn w:val="1"/>
    <w:qFormat/>
    <w:uiPriority w:val="0"/>
    <w:pPr>
      <w:pBdr>
        <w:top w:val="none" w:color="auto" w:sz="0" w:space="1"/>
        <w:left w:val="none" w:color="auto" w:sz="0" w:space="4"/>
        <w:bottom w:val="none" w:color="auto" w:sz="0" w:space="1"/>
        <w:right w:val="none" w:color="auto" w:sz="0" w:space="4"/>
      </w:pBdr>
      <w:spacing w:line="340" w:lineRule="exact"/>
      <w:jc w:val="center"/>
    </w:pPr>
    <w:rPr>
      <w:rFonts w:ascii="Times New Roman" w:hAnsi="Times New Roman"/>
      <w:sz w:val="21"/>
    </w:rPr>
  </w:style>
  <w:style w:type="paragraph" w:customStyle="1" w:styleId="36">
    <w:name w:val="样式4"/>
    <w:basedOn w:val="11"/>
    <w:qFormat/>
    <w:uiPriority w:val="0"/>
    <w:pPr>
      <w:widowControl w:val="0"/>
      <w:spacing w:line="360" w:lineRule="auto"/>
      <w:ind w:right="-120" w:rightChars="-50" w:firstLine="600" w:firstLineChars="250"/>
      <w:jc w:val="both"/>
    </w:pPr>
    <w:rPr>
      <w:rFonts w:hAnsi="宋体" w:eastAsia="宋体"/>
      <w:snapToGrid w:val="0"/>
      <w:spacing w:val="0"/>
      <w:kern w:val="2"/>
      <w:szCs w:val="24"/>
    </w:rPr>
  </w:style>
  <w:style w:type="paragraph" w:customStyle="1" w:styleId="37">
    <w:name w:val="样式1"/>
    <w:basedOn w:val="1"/>
    <w:qFormat/>
    <w:uiPriority w:val="0"/>
    <w:pPr>
      <w:jc w:val="center"/>
    </w:pPr>
    <w:rPr>
      <w:sz w:val="21"/>
      <w:szCs w:val="21"/>
    </w:rPr>
  </w:style>
  <w:style w:type="paragraph" w:customStyle="1" w:styleId="38">
    <w:name w:val="图图正文"/>
    <w:basedOn w:val="1"/>
    <w:qFormat/>
    <w:uiPriority w:val="0"/>
    <w:pPr>
      <w:widowControl w:val="0"/>
      <w:spacing w:line="360" w:lineRule="auto"/>
      <w:ind w:firstLine="200" w:firstLineChars="200"/>
      <w:jc w:val="both"/>
    </w:pPr>
    <w:rPr>
      <w:kern w:val="2"/>
      <w:sz w:val="24"/>
      <w:szCs w:val="24"/>
    </w:rPr>
  </w:style>
  <w:style w:type="paragraph" w:customStyle="1" w:styleId="39">
    <w:name w:val="啊啊正文"/>
    <w:basedOn w:val="1"/>
    <w:qFormat/>
    <w:uiPriority w:val="0"/>
    <w:pPr>
      <w:autoSpaceDE w:val="0"/>
      <w:autoSpaceDN w:val="0"/>
      <w:spacing w:line="360" w:lineRule="auto"/>
      <w:ind w:firstLine="200" w:firstLineChars="200"/>
    </w:pPr>
    <w:rPr>
      <w:rFonts w:cs="仿宋_GB2312"/>
      <w:sz w:val="24"/>
      <w:szCs w:val="28"/>
      <w:lang w:val="zh-CN"/>
    </w:rPr>
  </w:style>
  <w:style w:type="paragraph" w:customStyle="1" w:styleId="40">
    <w:name w:val="样式 首行缩进:  2 字符1"/>
    <w:basedOn w:val="1"/>
    <w:qFormat/>
    <w:uiPriority w:val="0"/>
    <w:pPr>
      <w:spacing w:line="360" w:lineRule="auto"/>
      <w:ind w:firstLine="480" w:firstLineChars="200"/>
    </w:pPr>
    <w:rPr>
      <w:rFonts w:cs="宋体"/>
      <w:szCs w:val="20"/>
    </w:rPr>
  </w:style>
  <w:style w:type="paragraph" w:customStyle="1" w:styleId="41">
    <w:name w:val="宗兴正文"/>
    <w:basedOn w:val="1"/>
    <w:qFormat/>
    <w:uiPriority w:val="0"/>
    <w:pPr>
      <w:ind w:firstLine="200"/>
      <w:jc w:val="both"/>
    </w:pPr>
    <w:rPr>
      <w:rFonts w:ascii="宋体" w:hAnsi="宋体"/>
      <w:spacing w:val="2"/>
      <w:sz w:val="21"/>
    </w:rPr>
  </w:style>
  <w:style w:type="paragraph" w:customStyle="1" w:styleId="42">
    <w:name w:val="正文 New New New New New New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3">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4">
    <w:name w:val="标题3"/>
    <w:basedOn w:val="6"/>
    <w:next w:val="5"/>
    <w:qFormat/>
    <w:uiPriority w:val="0"/>
    <w:pPr>
      <w:ind w:left="0" w:leftChars="0"/>
      <w:jc w:val="both"/>
    </w:pPr>
    <w:rPr>
      <w:rFonts w:ascii="宋体" w:hAnsi="宋体"/>
      <w:b/>
      <w:bCs/>
      <w:szCs w:val="24"/>
    </w:rPr>
  </w:style>
  <w:style w:type="paragraph" w:customStyle="1" w:styleId="45">
    <w:name w:val="标题2"/>
    <w:basedOn w:val="6"/>
    <w:qFormat/>
    <w:uiPriority w:val="0"/>
    <w:pPr>
      <w:spacing w:beforeLines="50" w:afterLines="50"/>
      <w:ind w:left="0" w:leftChars="0"/>
      <w:jc w:val="both"/>
    </w:pPr>
    <w:rPr>
      <w:rFonts w:ascii="宋体" w:hAnsi="宋体"/>
      <w:b/>
      <w:sz w:val="28"/>
      <w:szCs w:val="28"/>
    </w:rPr>
  </w:style>
  <w:style w:type="paragraph" w:customStyle="1" w:styleId="46">
    <w:name w:val="啊啊表格内容"/>
    <w:basedOn w:val="1"/>
    <w:qFormat/>
    <w:uiPriority w:val="0"/>
    <w:pPr>
      <w:autoSpaceDE w:val="0"/>
      <w:autoSpaceDN w:val="0"/>
      <w:spacing w:line="340" w:lineRule="exact"/>
    </w:pPr>
    <w:rPr>
      <w:rFonts w:ascii="宋体" w:hAnsi="宋体" w:cs="仿宋_GB2312"/>
      <w:szCs w:val="28"/>
      <w:lang w:val="zh-CN"/>
    </w:rPr>
  </w:style>
  <w:style w:type="paragraph" w:customStyle="1" w:styleId="47">
    <w:name w:val="正文表格"/>
    <w:basedOn w:val="1"/>
    <w:qFormat/>
    <w:uiPriority w:val="0"/>
    <w:pPr>
      <w:jc w:val="center"/>
    </w:pPr>
    <w:rPr>
      <w:rFonts w:eastAsia="楷体_GB2312"/>
      <w:bCs/>
      <w:sz w:val="24"/>
      <w:szCs w:val="20"/>
    </w:rPr>
  </w:style>
  <w:style w:type="paragraph" w:customStyle="1" w:styleId="48">
    <w:name w:val="Table Paragraph"/>
    <w:basedOn w:val="1"/>
    <w:qFormat/>
    <w:uiPriority w:val="0"/>
    <w:rPr>
      <w:rFonts w:ascii="Calibri" w:hAnsi="Calibri"/>
      <w:lang w:eastAsia="en-US"/>
    </w:rPr>
  </w:style>
  <w:style w:type="paragraph" w:customStyle="1" w:styleId="49">
    <w:name w:val="样式2"/>
    <w:basedOn w:val="1"/>
    <w:qFormat/>
    <w:uiPriority w:val="0"/>
    <w:pPr>
      <w:ind w:firstLine="964" w:firstLineChars="400"/>
    </w:pPr>
    <w:rPr>
      <w:rFonts w:ascii="黑体" w:eastAsia="黑体"/>
      <w:b/>
      <w:bCs/>
      <w:sz w:val="24"/>
    </w:rPr>
  </w:style>
  <w:style w:type="paragraph" w:customStyle="1" w:styleId="50">
    <w:name w:val="表"/>
    <w:basedOn w:val="19"/>
    <w:qFormat/>
    <w:uiPriority w:val="0"/>
    <w:pPr>
      <w:keepNext/>
      <w:keepLines/>
      <w:spacing w:line="240" w:lineRule="exact"/>
      <w:ind w:left="0" w:firstLine="0" w:firstLineChars="0"/>
      <w:jc w:val="center"/>
    </w:pPr>
  </w:style>
  <w:style w:type="character" w:customStyle="1" w:styleId="51">
    <w:name w:val="font31"/>
    <w:basedOn w:val="24"/>
    <w:qFormat/>
    <w:uiPriority w:val="0"/>
    <w:rPr>
      <w:rFonts w:hint="eastAsia" w:ascii="宋体" w:hAnsi="宋体" w:eastAsia="宋体" w:cs="宋体"/>
      <w:color w:val="000000"/>
      <w:sz w:val="22"/>
      <w:szCs w:val="22"/>
      <w:u w:val="none"/>
    </w:rPr>
  </w:style>
  <w:style w:type="paragraph" w:customStyle="1" w:styleId="52">
    <w:name w:val="123正文"/>
    <w:basedOn w:val="1"/>
    <w:link w:val="53"/>
    <w:qFormat/>
    <w:uiPriority w:val="0"/>
    <w:pPr>
      <w:spacing w:line="360" w:lineRule="auto"/>
      <w:ind w:firstLine="480" w:firstLineChars="200"/>
    </w:pPr>
    <w:rPr>
      <w:color w:val="0000FF"/>
      <w:sz w:val="24"/>
      <w:lang w:val="zh-CN"/>
    </w:rPr>
  </w:style>
  <w:style w:type="character" w:customStyle="1" w:styleId="53">
    <w:name w:val="123正文 Char"/>
    <w:link w:val="52"/>
    <w:qFormat/>
    <w:uiPriority w:val="0"/>
    <w:rPr>
      <w:color w:val="0000FF"/>
      <w:sz w:val="24"/>
      <w:lang w:val="zh-CN"/>
    </w:rPr>
  </w:style>
  <w:style w:type="paragraph" w:customStyle="1" w:styleId="54">
    <w:name w:val="1.1."/>
    <w:basedOn w:val="4"/>
    <w:qFormat/>
    <w:uiPriority w:val="0"/>
    <w:pPr>
      <w:spacing w:beforeLines="50" w:afterLines="50" w:line="360" w:lineRule="auto"/>
    </w:pPr>
    <w:rPr>
      <w:color w:val="0000FF"/>
      <w:sz w:val="28"/>
      <w:szCs w:val="28"/>
    </w:rPr>
  </w:style>
  <w:style w:type="paragraph" w:customStyle="1" w:styleId="55">
    <w:name w:val="正文 New New New New New New New New New New New New New New New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6">
    <w:name w:val="普通(网站)1"/>
    <w:basedOn w:val="1"/>
    <w:qFormat/>
    <w:uiPriority w:val="0"/>
    <w:pPr>
      <w:adjustRightInd/>
      <w:snapToGrid/>
      <w:spacing w:beforeAutospacing="1" w:afterAutospacing="1"/>
    </w:pPr>
    <w:rPr>
      <w:rFonts w:ascii="宋体" w:hAnsi="宋体" w:eastAsia="宋体" w:cs="宋体"/>
      <w:sz w:val="24"/>
      <w:szCs w:val="24"/>
    </w:rPr>
  </w:style>
  <w:style w:type="paragraph" w:customStyle="1" w:styleId="57">
    <w:name w:val="正文 New New New New"/>
    <w:qFormat/>
    <w:uiPriority w:val="0"/>
    <w:pPr>
      <w:widowControl w:val="0"/>
      <w:jc w:val="both"/>
    </w:pPr>
    <w:rPr>
      <w:rFonts w:ascii="Calibri" w:hAnsi="Calibri" w:eastAsia="宋体" w:cs="Times New Roman"/>
      <w:kern w:val="2"/>
      <w:sz w:val="21"/>
      <w:szCs w:val="24"/>
      <w:lang w:val="en-US" w:eastAsia="zh-CN" w:bidi="ar-SA"/>
    </w:rPr>
  </w:style>
  <w:style w:type="paragraph" w:customStyle="1" w:styleId="58">
    <w:name w:val="一级aaa"/>
    <w:basedOn w:val="3"/>
    <w:qFormat/>
    <w:uiPriority w:val="0"/>
    <w:pPr>
      <w:keepNext w:val="0"/>
      <w:keepLines w:val="0"/>
      <w:widowControl w:val="0"/>
      <w:spacing w:beforeLines="100" w:afterLines="100" w:line="360" w:lineRule="auto"/>
    </w:pPr>
    <w:rPr>
      <w:kern w:val="0"/>
      <w:sz w:val="32"/>
      <w:szCs w:val="20"/>
    </w:rPr>
  </w:style>
  <w:style w:type="character" w:customStyle="1" w:styleId="59">
    <w:name w:val="批注框文本 Char"/>
    <w:basedOn w:val="24"/>
    <w:link w:val="15"/>
    <w:qFormat/>
    <w:uiPriority w:val="0"/>
    <w:rPr>
      <w:rFonts w:ascii="Tahoma" w:hAnsi="Tahoma" w:eastAsia="微软雅黑" w:cstheme="minorBidi"/>
      <w:sz w:val="18"/>
      <w:szCs w:val="18"/>
    </w:rPr>
  </w:style>
  <w:style w:type="character" w:customStyle="1" w:styleId="60">
    <w:name w:val="页脚 Char"/>
    <w:basedOn w:val="24"/>
    <w:link w:val="16"/>
    <w:qFormat/>
    <w:uiPriority w:val="99"/>
    <w:rPr>
      <w:rFonts w:ascii="Tahoma" w:hAnsi="Tahoma" w:eastAsia="微软雅黑" w:cstheme="minorBidi"/>
      <w:sz w:val="18"/>
      <w:szCs w:val="18"/>
    </w:rPr>
  </w:style>
  <w:style w:type="character" w:customStyle="1" w:styleId="61">
    <w:name w:val="文档结构图 Char"/>
    <w:basedOn w:val="24"/>
    <w:link w:val="9"/>
    <w:qFormat/>
    <w:uiPriority w:val="0"/>
    <w:rPr>
      <w:rFonts w:ascii="宋体" w:hAnsi="Tahoma" w:cstheme="minorBidi"/>
      <w:sz w:val="18"/>
      <w:szCs w:val="18"/>
    </w:rPr>
  </w:style>
  <w:style w:type="paragraph" w:customStyle="1" w:styleId="62">
    <w:name w:val="Normal (Web)"/>
    <w:basedOn w:val="1"/>
    <w:qFormat/>
    <w:uiPriority w:val="0"/>
    <w:pPr>
      <w:adjustRightInd/>
      <w:snapToGrid/>
      <w:spacing w:before="100" w:beforeLines="0" w:beforeAutospacing="1" w:after="100" w:afterLines="0" w:afterAutospacing="1"/>
    </w:pPr>
    <w:rPr>
      <w:rFonts w:ascii="宋体" w:hAnsi="宋体" w:eastAsia="宋体" w:cs="宋体"/>
      <w:sz w:val="24"/>
      <w:szCs w:val="24"/>
    </w:rPr>
  </w:style>
  <w:style w:type="paragraph" w:customStyle="1" w:styleId="63">
    <w:name w:val="1.1.1"/>
    <w:basedOn w:val="64"/>
    <w:qFormat/>
    <w:uiPriority w:val="0"/>
    <w:pPr>
      <w:spacing w:before="120" w:beforeLines="50" w:after="120" w:afterLines="50"/>
      <w:ind w:firstLine="0" w:firstLineChars="0"/>
      <w:outlineLvl w:val="2"/>
    </w:pPr>
    <w:rPr>
      <w:rFonts w:eastAsia="宋体"/>
      <w:b/>
      <w:color w:val="0000FF"/>
      <w:sz w:val="24"/>
      <w:szCs w:val="24"/>
    </w:rPr>
  </w:style>
  <w:style w:type="paragraph" w:customStyle="1" w:styleId="64">
    <w:name w:val="样式3"/>
    <w:basedOn w:val="1"/>
    <w:qFormat/>
    <w:uiPriority w:val="0"/>
    <w:pPr>
      <w:spacing w:line="360" w:lineRule="auto"/>
      <w:ind w:firstLine="200" w:firstLineChars="200"/>
    </w:pPr>
    <w:rPr>
      <w:rFonts w:eastAsia="楷体_GB2312"/>
      <w:sz w:val="28"/>
      <w:szCs w:val="20"/>
    </w:rPr>
  </w:style>
  <w:style w:type="paragraph" w:customStyle="1" w:styleId="65">
    <w:name w:val="正文(首行缩进)"/>
    <w:basedOn w:val="1"/>
    <w:qFormat/>
    <w:uiPriority w:val="0"/>
    <w:pPr>
      <w:widowControl w:val="0"/>
      <w:adjustRightInd w:val="0"/>
      <w:snapToGrid w:val="0"/>
      <w:spacing w:line="360" w:lineRule="auto"/>
      <w:ind w:firstLine="200" w:firstLineChars="200"/>
      <w:jc w:val="both"/>
    </w:pPr>
    <w:rPr>
      <w:snapToGrid w:val="0"/>
      <w:szCs w:val="24"/>
    </w:rPr>
  </w:style>
  <w:style w:type="paragraph" w:customStyle="1" w:styleId="66">
    <w:name w:val="Default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67">
    <w:name w:val="xry表格文字"/>
    <w:basedOn w:val="1"/>
    <w:qFormat/>
    <w:uiPriority w:val="0"/>
    <w:pPr>
      <w:spacing w:line="240" w:lineRule="auto"/>
      <w:ind w:firstLine="0"/>
      <w:jc w:val="center"/>
    </w:pPr>
    <w:rPr>
      <w:sz w:val="21"/>
      <w:szCs w:val="24"/>
    </w:rPr>
  </w:style>
  <w:style w:type="character" w:customStyle="1" w:styleId="68">
    <w:name w:val="font11"/>
    <w:basedOn w:val="24"/>
    <w:qFormat/>
    <w:uiPriority w:val="0"/>
    <w:rPr>
      <w:rFonts w:hint="eastAsia" w:ascii="宋体" w:hAnsi="宋体" w:eastAsia="宋体" w:cs="宋体"/>
      <w:color w:val="000000"/>
      <w:sz w:val="21"/>
      <w:szCs w:val="21"/>
      <w:u w:val="none"/>
    </w:r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 Type="http://schemas.openxmlformats.org/officeDocument/2006/relationships/footer" Target="footer5.xml"/><Relationship Id="rId7" Type="http://schemas.openxmlformats.org/officeDocument/2006/relationships/header" Target="header1.xml"/><Relationship Id="rId6" Type="http://schemas.openxmlformats.org/officeDocument/2006/relationships/footer" Target="footer4.xml"/><Relationship Id="rId5" Type="http://schemas.openxmlformats.org/officeDocument/2006/relationships/footer" Target="footer3.xml"/><Relationship Id="rId40" Type="http://schemas.openxmlformats.org/officeDocument/2006/relationships/fontTable" Target="fontTable.xml"/><Relationship Id="rId4" Type="http://schemas.openxmlformats.org/officeDocument/2006/relationships/footer" Target="footer2.xml"/><Relationship Id="rId39" Type="http://schemas.openxmlformats.org/officeDocument/2006/relationships/numbering" Target="numbering.xml"/><Relationship Id="rId38" Type="http://schemas.openxmlformats.org/officeDocument/2006/relationships/customXml" Target="../customXml/item1.xml"/><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footer" Target="foot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jpe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jpeg"/><Relationship Id="rId22" Type="http://schemas.openxmlformats.org/officeDocument/2006/relationships/image" Target="media/image12.jpeg"/><Relationship Id="rId21" Type="http://schemas.openxmlformats.org/officeDocument/2006/relationships/image" Target="media/image11.jpe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jpe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jpeg"/><Relationship Id="rId12" Type="http://schemas.openxmlformats.org/officeDocument/2006/relationships/image" Target="media/image2.jpeg"/><Relationship Id="rId11" Type="http://schemas.openxmlformats.org/officeDocument/2006/relationships/image" Target="media/image1.jpeg"/><Relationship Id="rId10" Type="http://schemas.openxmlformats.org/officeDocument/2006/relationships/theme" Target="theme/theme1.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Kingsoft\wps\addons\pool\win-i386\knewfileruby_1.0.0.10\template\wps\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0.docx</Template>
  <Pages>53</Pages>
  <Words>15890</Words>
  <Characters>17995</Characters>
  <Lines>133</Lines>
  <Paragraphs>37</Paragraphs>
  <TotalTime>0</TotalTime>
  <ScaleCrop>false</ScaleCrop>
  <LinksUpToDate>false</LinksUpToDate>
  <CharactersWithSpaces>18090</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2018-06-07T06:22:00Z</dcterms:created>
  <dc:creator>sM</dc:creator>
  <cp:lastModifiedBy>绿园环保</cp:lastModifiedBy>
  <cp:lastPrinted>2020-03-20T01:19:00Z</cp:lastPrinted>
  <dcterms:modified xsi:type="dcterms:W3CDTF">2023-06-25T08:47:03Z</dcterms:modified>
  <dc:title>年扩建5000万个纸质品项目竣工环境保护验收监测报告表</dc:title>
  <cp:revision>92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6509E084C1B743E8930A8A52CE00E5F2_13</vt:lpwstr>
  </property>
</Properties>
</file>