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000000" w:themeColor="text1"/>
          <w:sz w:val="52"/>
          <w:szCs w:val="52"/>
          <w:lang w:eastAsia="zh-CN"/>
          <w14:textFill>
            <w14:solidFill>
              <w14:schemeClr w14:val="tx1"/>
            </w14:solidFill>
          </w14:textFill>
        </w:rPr>
      </w:pPr>
    </w:p>
    <w:p>
      <w:pPr>
        <w:pStyle w:val="4"/>
        <w:rPr>
          <w:rFonts w:hint="eastAsia"/>
          <w:color w:val="000000" w:themeColor="text1"/>
          <w:lang w:eastAsia="zh-CN"/>
          <w14:textFill>
            <w14:solidFill>
              <w14:schemeClr w14:val="tx1"/>
            </w14:solidFill>
          </w14:textFill>
        </w:rPr>
      </w:pPr>
    </w:p>
    <w:p>
      <w:pPr>
        <w:spacing w:line="360" w:lineRule="auto"/>
        <w:jc w:val="center"/>
        <w:rPr>
          <w:rFonts w:ascii="Times New Roman" w:hAnsi="Times New Roman" w:eastAsia="宋体" w:cs="Times New Roman"/>
          <w:b/>
          <w:color w:val="000000" w:themeColor="text1"/>
          <w:sz w:val="52"/>
          <w:szCs w:val="52"/>
          <w14:textFill>
            <w14:solidFill>
              <w14:schemeClr w14:val="tx1"/>
            </w14:solidFill>
          </w14:textFill>
        </w:rPr>
      </w:pPr>
      <w:r>
        <w:rPr>
          <w:rFonts w:hint="eastAsia" w:ascii="Times New Roman" w:hAnsi="Times New Roman" w:eastAsia="宋体" w:cs="Times New Roman"/>
          <w:b/>
          <w:color w:val="000000" w:themeColor="text1"/>
          <w:sz w:val="52"/>
          <w:szCs w:val="52"/>
          <w:lang w:eastAsia="zh-CN"/>
          <w14:textFill>
            <w14:solidFill>
              <w14:schemeClr w14:val="tx1"/>
            </w14:solidFill>
          </w14:textFill>
        </w:rPr>
        <w:t>福建鑫华毅建材有限公司年产1000万平方米环保型弹性体沥青防水卷材项目</w:t>
      </w:r>
      <w:r>
        <w:rPr>
          <w:rFonts w:ascii="Times New Roman" w:hAnsi="Times New Roman" w:eastAsia="宋体" w:cs="Times New Roman"/>
          <w:b/>
          <w:color w:val="000000" w:themeColor="text1"/>
          <w:sz w:val="52"/>
          <w:szCs w:val="52"/>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4"/>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14:textFill>
            <w14:solidFill>
              <w14:schemeClr w14:val="tx1"/>
            </w14:solidFill>
          </w14:textFill>
        </w:rPr>
      </w:pPr>
    </w:p>
    <w:p>
      <w:pPr>
        <w:pStyle w:val="24"/>
        <w:ind w:firstLine="164"/>
        <w:rPr>
          <w:rFonts w:ascii="Times New Roman" w:hAnsi="Times New Roman" w:eastAsia="宋体" w:cs="Times New Roman"/>
          <w:color w:val="000000" w:themeColor="text1"/>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福建鑫华毅建材有限公司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福建鑫华毅建材有限公司</w:t>
      </w:r>
    </w:p>
    <w:p>
      <w:pPr>
        <w:pStyle w:val="37"/>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3</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3</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00" w:themeColor="text1"/>
          <w:sz w:val="28"/>
          <w14:textFill>
            <w14:solidFill>
              <w14:schemeClr w14:val="tx1"/>
            </w14:solidFill>
          </w14:textFill>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费华强</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费华强</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eastAsia" w:ascii="Times New Roman" w:hAnsi="Times New Roman" w:eastAsia="宋体" w:cs="Times New Roman"/>
          <w:bCs/>
          <w:color w:val="000000" w:themeColor="text1"/>
          <w:sz w:val="28"/>
          <w:lang w:val="en-US" w:eastAsia="zh-CN"/>
          <w14:textFill>
            <w14:solidFill>
              <w14:schemeClr w14:val="tx1"/>
            </w14:solidFill>
          </w14:textFill>
        </w:rPr>
        <w:t>费华强</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eastAsia" w:ascii="Times New Roman" w:hAnsi="Times New Roman" w:eastAsia="宋体" w:cs="Times New Roman"/>
          <w:bCs/>
          <w:color w:val="000000" w:themeColor="text1"/>
          <w:sz w:val="28"/>
          <w:lang w:val="en-US" w:eastAsia="zh-CN"/>
          <w14:textFill>
            <w14:solidFill>
              <w14:schemeClr w14:val="tx1"/>
            </w14:solidFill>
          </w14:textFill>
        </w:rPr>
        <w:t>费华强</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spacing w:line="360" w:lineRule="auto"/>
        <w:rPr>
          <w:rFonts w:ascii="Times New Roman" w:hAnsi="Times New Roman" w:eastAsia="宋体" w:cs="Times New Roman"/>
          <w:color w:val="000000" w:themeColor="text1"/>
          <w:sz w:val="28"/>
          <w14:textFill>
            <w14:solidFill>
              <w14:schemeClr w14:val="tx1"/>
            </w14:solidFill>
          </w14:textFill>
        </w:rPr>
      </w:pPr>
    </w:p>
    <w:tbl>
      <w:tblPr>
        <w:tblStyle w:val="27"/>
        <w:tblW w:w="96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福建鑫华毅建材有限公司</w:t>
            </w:r>
          </w:p>
        </w:tc>
        <w:tc>
          <w:tcPr>
            <w:tcW w:w="48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福建鑫华毅建材有限公司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电话:13306966691</w:t>
            </w:r>
          </w:p>
        </w:tc>
        <w:tc>
          <w:tcPr>
            <w:tcW w:w="48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电话:13306966691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8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邮编:363700</w:t>
            </w:r>
          </w:p>
        </w:tc>
        <w:tc>
          <w:tcPr>
            <w:tcW w:w="4810" w:type="dxa"/>
            <w:vAlign w:val="top"/>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w:t>
            </w:r>
            <w:bookmarkStart w:id="0" w:name="邮政编码"/>
            <w:r>
              <w:rPr>
                <w:rFonts w:hint="eastAsia" w:ascii="Times New Roman" w:hAnsi="Times New Roman" w:eastAsia="宋体" w:cs="Times New Roman"/>
                <w:color w:val="000000" w:themeColor="text1"/>
                <w:sz w:val="28"/>
                <w:lang w:val="en-US" w:eastAsia="zh-CN"/>
                <w14:textFill>
                  <w14:solidFill>
                    <w14:schemeClr w14:val="tx1"/>
                  </w14:solidFill>
                </w14:textFill>
              </w:rPr>
              <w:t>363</w:t>
            </w:r>
            <w:bookmarkEnd w:id="0"/>
            <w:r>
              <w:rPr>
                <w:rFonts w:hint="eastAsia" w:ascii="Times New Roman" w:hAnsi="Times New Roman" w:eastAsia="宋体" w:cs="Times New Roman"/>
                <w:color w:val="000000" w:themeColor="text1"/>
                <w:sz w:val="28"/>
                <w:lang w:val="en-US" w:eastAsia="zh-CN"/>
                <w14:textFill>
                  <w14:solidFill>
                    <w14:schemeClr w14:val="tx1"/>
                  </w14:solidFill>
                </w14:textFill>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地址: 福建省漳州市平和县文峰镇黄井村兴业路160号</w:t>
            </w:r>
          </w:p>
        </w:tc>
        <w:tc>
          <w:tcPr>
            <w:tcW w:w="48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地址: 福建省漳州市平和县文峰镇黄井村兴业路160号</w:t>
            </w:r>
          </w:p>
        </w:tc>
      </w:tr>
    </w:tbl>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表一</w:t>
      </w:r>
    </w:p>
    <w:tbl>
      <w:tblPr>
        <w:tblStyle w:val="26"/>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福建鑫华毅建材有限公司年产1000万平方米环保型弹性体沥青防水卷材项目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福建鑫华毅建材有限公司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福建省漳州市平和县文峰镇黄井村兴业路160号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环保型弹性体沥青防水卷材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年产1000万平方米环保型弹性体沥青防水卷材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年产1000万平方米环保型弹性体沥青防水卷材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建设项目环评时间</w:t>
            </w:r>
          </w:p>
        </w:tc>
        <w:tc>
          <w:tcPr>
            <w:tcW w:w="2441"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2021</w:t>
            </w:r>
            <w:r>
              <w:rPr>
                <w:rFonts w:hint="eastAsia"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月</w:t>
            </w:r>
          </w:p>
        </w:tc>
        <w:tc>
          <w:tcPr>
            <w:tcW w:w="17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开工建设时间</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竣工时间</w:t>
            </w:r>
          </w:p>
        </w:tc>
        <w:tc>
          <w:tcPr>
            <w:tcW w:w="244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2022年4月</w:t>
            </w:r>
          </w:p>
        </w:tc>
        <w:tc>
          <w:tcPr>
            <w:tcW w:w="175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验收现场监测</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时间</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20220414-20220415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漳州市平和生态环境局</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福建华力翔环境技术有限公司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自建</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环保设施施工</w:t>
            </w:r>
          </w:p>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1" w:name="总投资"/>
            <w:r>
              <w:rPr>
                <w:rFonts w:hint="default" w:ascii="Times New Roman" w:hAnsi="Times New Roman" w:eastAsia="宋体" w:cs="Times New Roman"/>
                <w:color w:val="000000" w:themeColor="text1"/>
                <w:sz w:val="21"/>
                <w:szCs w:val="21"/>
                <w14:textFill>
                  <w14:solidFill>
                    <w14:schemeClr w14:val="tx1"/>
                  </w14:solidFill>
                </w14:textFill>
              </w:rPr>
              <w:t>5238</w:t>
            </w:r>
            <w:bookmarkEnd w:id="1"/>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r>
              <w:rPr>
                <w:rFonts w:hint="default" w:ascii="Times New Roman" w:hAnsi="Times New Roman" w:eastAsia="宋体" w:cs="Times New Roman"/>
                <w:color w:val="000000" w:themeColor="text1"/>
                <w:sz w:val="21"/>
                <w:szCs w:val="21"/>
                <w14:textFill>
                  <w14:solidFill>
                    <w14:schemeClr w14:val="tx1"/>
                  </w14:solidFill>
                </w14:textFill>
              </w:rPr>
              <w:t>万元</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5238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r>
              <w:rPr>
                <w:rFonts w:hint="default" w:ascii="Times New Roman" w:hAnsi="Times New Roman" w:eastAsia="宋体" w:cs="Times New Roman"/>
                <w:color w:val="000000" w:themeColor="text1"/>
                <w:sz w:val="21"/>
                <w:szCs w:val="21"/>
                <w14:textFill>
                  <w14:solidFill>
                    <w14:schemeClr w14:val="tx1"/>
                  </w14:solidFill>
                </w14:textFill>
              </w:rPr>
              <w:t>万元</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335"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4号；</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13"/>
              <w:spacing w:line="240" w:lineRule="auto"/>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《中华人民共和国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hint="default" w:ascii="Times New Roman" w:hAnsi="Times New Roman" w:eastAsia="宋体" w:cs="Times New Roman"/>
                <w:color w:val="000000" w:themeColor="text1"/>
                <w:sz w:val="21"/>
                <w:szCs w:val="21"/>
                <w14:textFill>
                  <w14:solidFill>
                    <w14:schemeClr w14:val="tx1"/>
                  </w14:solidFill>
                </w14:textFill>
              </w:rPr>
              <w:t>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2017</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、《产业结构调整指导目录（201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年本）》（201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 xml:space="preserve">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、《福建省环境保护条例》，2012 年3 月31 日实施。</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福建鑫华毅建材有限公司年产1000万平方米环保型弹性体沥青防水卷材项目</w:t>
            </w:r>
            <w:r>
              <w:rPr>
                <w:rFonts w:hint="default" w:ascii="Times New Roman" w:hAnsi="Times New Roman" w:eastAsia="宋体" w:cs="Times New Roman"/>
                <w:color w:val="000000" w:themeColor="text1"/>
                <w:sz w:val="21"/>
                <w:szCs w:val="21"/>
                <w14:textFill>
                  <w14:solidFill>
                    <w14:schemeClr w14:val="tx1"/>
                  </w14:solidFill>
                </w14:textFill>
              </w:rPr>
              <w:t>环境影响报告表》；</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漳州市平和生态环境局</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福建鑫华毅建材有限公司年产1000万平方米环保型弹性体沥青防水卷材项目</w:t>
            </w:r>
            <w:r>
              <w:rPr>
                <w:rFonts w:hint="default"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00" w:hRule="atLeast"/>
        </w:trPr>
        <w:tc>
          <w:tcPr>
            <w:tcW w:w="1655" w:type="dxa"/>
            <w:vAlign w:val="center"/>
          </w:tcPr>
          <w:p>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验收监测评价标准、标号、级别、限值</w:t>
            </w:r>
          </w:p>
        </w:tc>
        <w:tc>
          <w:tcPr>
            <w:tcW w:w="7269" w:type="dxa"/>
            <w:gridSpan w:val="5"/>
            <w:vAlign w:val="center"/>
          </w:tcPr>
          <w:p>
            <w:pPr>
              <w:pStyle w:val="55"/>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right="0" w:firstLine="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 16297-1996 表 2 限值，即：</w:t>
            </w:r>
            <w:r>
              <w:rPr>
                <w:rFonts w:hint="eastAsia" w:ascii="Times New Roman" w:hAnsi="Times New Roman" w:eastAsia="宋体" w:cs="Times New Roman"/>
                <w:color w:val="auto"/>
                <w:sz w:val="21"/>
                <w:szCs w:val="21"/>
                <w:lang w:val="en-US" w:eastAsia="zh-CN"/>
              </w:rPr>
              <w:t>沥青烟</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kern w:val="2"/>
                <w:sz w:val="21"/>
                <w:szCs w:val="21"/>
                <w:lang w:val="en-US" w:eastAsia="zh-CN" w:bidi="ar-SA"/>
              </w:rPr>
              <w:t>75</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sz w:val="24"/>
                <w:szCs w:val="24"/>
                <w:lang w:val="en-US" w:eastAsia="zh-CN"/>
              </w:rPr>
              <w:t>苯并[a]芘</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i w:val="0"/>
                <w:iCs w:val="0"/>
                <w:color w:val="auto"/>
                <w:kern w:val="0"/>
                <w:sz w:val="21"/>
                <w:szCs w:val="21"/>
                <w:vertAlign w:val="baseline"/>
                <w:lang w:val="en-US" w:eastAsia="zh-CN" w:bidi="ar-SA"/>
              </w:rPr>
              <w:t>0.0003</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r>
              <w:rPr>
                <w:rFonts w:hint="eastAsia" w:ascii="Times New Roman" w:hAnsi="Times New Roman" w:eastAsia="宋体" w:cs="Times New Roman"/>
                <w:color w:val="auto"/>
                <w:sz w:val="21"/>
                <w:szCs w:val="21"/>
                <w:lang w:val="en-US" w:eastAsia="zh-CN"/>
              </w:rPr>
              <w:t>，无组织颗粒物</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i w:val="0"/>
                <w:iCs w:val="0"/>
                <w:color w:val="auto"/>
                <w:kern w:val="0"/>
                <w:sz w:val="21"/>
                <w:szCs w:val="21"/>
                <w:vertAlign w:val="baseline"/>
                <w:lang w:val="en-US" w:eastAsia="zh-CN" w:bidi="ar-SA"/>
              </w:rPr>
              <w:t>1.0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p>
            <w:pPr>
              <w:pStyle w:val="55"/>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right="0" w:firstLine="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《工业企业挥发性有机物排放标准》DB 35/1782-2018 表1</w:t>
            </w:r>
            <w:r>
              <w:rPr>
                <w:rFonts w:hint="eastAsia" w:ascii="Times New Roman" w:hAnsi="Times New Roman" w:eastAsia="宋体" w:cs="Times New Roman"/>
                <w:color w:val="auto"/>
                <w:sz w:val="21"/>
                <w:szCs w:val="21"/>
                <w:lang w:val="en-US" w:eastAsia="zh-CN"/>
              </w:rPr>
              <w:t>限值，</w:t>
            </w:r>
            <w:r>
              <w:rPr>
                <w:rFonts w:hint="default" w:ascii="Times New Roman" w:hAnsi="Times New Roman" w:eastAsia="宋体" w:cs="Times New Roman"/>
                <w:color w:val="auto"/>
                <w:sz w:val="21"/>
                <w:szCs w:val="21"/>
                <w:lang w:val="en-US" w:eastAsia="zh-CN"/>
              </w:rPr>
              <w:t>即：</w:t>
            </w: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r>
              <w:rPr>
                <w:rFonts w:hint="eastAsia" w:ascii="Times New Roman" w:hAnsi="Times New Roman" w:eastAsia="宋体" w:cs="Times New Roman"/>
                <w:color w:val="auto"/>
                <w:sz w:val="21"/>
                <w:szCs w:val="21"/>
                <w:lang w:val="en-US" w:eastAsia="zh-CN"/>
              </w:rPr>
              <w:t>，无组织非甲烷总烃</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p>
            <w:pPr>
              <w:pStyle w:val="55"/>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right="0" w:firstLine="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《恶臭污染物排放标准》GB 14554-93 表2</w:t>
            </w:r>
            <w:r>
              <w:rPr>
                <w:rFonts w:hint="eastAsia" w:ascii="Times New Roman" w:hAnsi="Times New Roman" w:eastAsia="宋体" w:cs="Times New Roman"/>
                <w:color w:val="auto"/>
                <w:sz w:val="21"/>
                <w:szCs w:val="21"/>
                <w:lang w:val="en-US" w:eastAsia="zh-CN"/>
              </w:rPr>
              <w:t>限值，</w:t>
            </w:r>
            <w:r>
              <w:rPr>
                <w:rFonts w:hint="default" w:ascii="Times New Roman" w:hAnsi="Times New Roman" w:eastAsia="宋体" w:cs="Times New Roman"/>
                <w:color w:val="auto"/>
                <w:sz w:val="21"/>
                <w:szCs w:val="21"/>
                <w:lang w:val="en-US" w:eastAsia="zh-CN"/>
              </w:rPr>
              <w:t>即：</w:t>
            </w:r>
            <w:r>
              <w:rPr>
                <w:rFonts w:hint="eastAsia" w:ascii="Times New Roman" w:hAnsi="Times New Roman" w:eastAsia="宋体" w:cs="Times New Roman"/>
                <w:color w:val="auto"/>
                <w:sz w:val="21"/>
                <w:szCs w:val="21"/>
                <w:lang w:val="en-US" w:eastAsia="zh-CN"/>
              </w:rPr>
              <w:t>臭气浓度</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1000，无组织臭气浓度</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w:t>
            </w:r>
          </w:p>
          <w:p>
            <w:pPr>
              <w:pStyle w:val="55"/>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right="0" w:firstLine="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《锅炉大气污染物排放标准》GB 13271-2014 表2</w:t>
            </w:r>
            <w:r>
              <w:rPr>
                <w:rFonts w:hint="eastAsia" w:ascii="Times New Roman" w:hAnsi="Times New Roman" w:eastAsia="宋体" w:cs="Times New Roman"/>
                <w:color w:val="auto"/>
                <w:sz w:val="21"/>
                <w:szCs w:val="21"/>
                <w:lang w:val="en-US" w:eastAsia="zh-CN"/>
              </w:rPr>
              <w:t>燃气锅炉限值，即：颗粒物</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r>
              <w:rPr>
                <w:rFonts w:hint="eastAsia"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r>
              <w:rPr>
                <w:rFonts w:hint="eastAsia"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200</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p>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eastAsia" w:eastAsia="宋体"/>
                <w:color w:val="auto"/>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《工业企业厂界环境噪声排放标准》（GB12348-2008）中的</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昼间≤</w:t>
            </w:r>
            <w:r>
              <w:rPr>
                <w:rFonts w:hint="eastAsia"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dB（A）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夜间≤</w:t>
            </w:r>
            <w:r>
              <w:rPr>
                <w:rFonts w:hint="eastAsia"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dB（A）</w:t>
            </w:r>
          </w:p>
        </w:tc>
      </w:tr>
    </w:tbl>
    <w:p>
      <w:pPr>
        <w:outlineLvl w:val="0"/>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13"/>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FF"/>
                <w:sz w:val="24"/>
                <w:szCs w:val="24"/>
                <w:vertAlign w:val="baseline"/>
                <w:lang w:val="en-US" w:eastAsia="zh-CN"/>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福建鑫华毅建材有限公司年产1000万平方米环保型弹性体沥青防水卷材项目位于福建省漳州市平和县文峰镇黄井村兴业路160号，主要生产环保型弹性体沥青防水卷材，</w:t>
            </w:r>
            <w:r>
              <w:rPr>
                <w:rFonts w:hint="default" w:ascii="Times New Roman" w:hAnsi="Times New Roman" w:eastAsia="宋体" w:cs="Times New Roman"/>
                <w:color w:val="000000" w:themeColor="text1"/>
                <w14:textFill>
                  <w14:solidFill>
                    <w14:schemeClr w14:val="tx1"/>
                  </w14:solidFill>
                </w14:textFill>
              </w:rPr>
              <w:t>项目租赁</w:t>
            </w:r>
            <w:r>
              <w:rPr>
                <w:rFonts w:hint="default" w:ascii="Times New Roman" w:hAnsi="Times New Roman" w:eastAsia="宋体" w:cs="Times New Roman"/>
                <w:color w:val="000000" w:themeColor="text1"/>
                <w:lang w:eastAsia="zh-CN"/>
                <w14:textFill>
                  <w14:solidFill>
                    <w14:schemeClr w14:val="tx1"/>
                  </w14:solidFill>
                </w14:textFill>
              </w:rPr>
              <w:t>漳州市琪佳辉贸易有限公司3#厂房部分</w:t>
            </w:r>
            <w:r>
              <w:rPr>
                <w:rFonts w:hint="default" w:ascii="Times New Roman" w:hAnsi="Times New Roman" w:eastAsia="宋体" w:cs="Times New Roman"/>
                <w:color w:val="000000" w:themeColor="text1"/>
                <w14:textFill>
                  <w14:solidFill>
                    <w14:schemeClr w14:val="tx1"/>
                  </w14:solidFill>
                </w14:textFill>
              </w:rPr>
              <w:t>进行</w:t>
            </w:r>
            <w:r>
              <w:rPr>
                <w:rFonts w:hint="default" w:ascii="Times New Roman" w:hAnsi="Times New Roman" w:eastAsia="宋体" w:cs="Times New Roman"/>
                <w:color w:val="000000" w:themeColor="text1"/>
                <w:lang w:eastAsia="zh-CN"/>
                <w14:textFill>
                  <w14:solidFill>
                    <w14:schemeClr w14:val="tx1"/>
                  </w14:solidFill>
                </w14:textFill>
              </w:rPr>
              <w:t>环保型弹性体沥青防水卷材</w:t>
            </w:r>
            <w:r>
              <w:rPr>
                <w:rFonts w:hint="default" w:ascii="Times New Roman" w:hAnsi="Times New Roman" w:eastAsia="宋体" w:cs="Times New Roman"/>
                <w:color w:val="000000" w:themeColor="text1"/>
                <w14:textFill>
                  <w14:solidFill>
                    <w14:schemeClr w14:val="tx1"/>
                  </w14:solidFill>
                </w14:textFill>
              </w:rPr>
              <w:t>生产，租赁厂房面积</w:t>
            </w:r>
            <w:r>
              <w:rPr>
                <w:rFonts w:hint="default" w:ascii="Times New Roman" w:hAnsi="Times New Roman" w:eastAsia="宋体" w:cs="Times New Roman"/>
                <w:color w:val="000000" w:themeColor="text1"/>
                <w:lang w:eastAsia="zh-CN"/>
                <w14:textFill>
                  <w14:solidFill>
                    <w14:schemeClr w14:val="tx1"/>
                  </w14:solidFill>
                </w14:textFill>
              </w:rPr>
              <w:t>1350</w:t>
            </w:r>
            <w:r>
              <w:rPr>
                <w:rFonts w:hint="default" w:ascii="Times New Roman" w:hAnsi="Times New Roman" w:eastAsia="宋体" w:cs="Times New Roman"/>
                <w:color w:val="000000" w:themeColor="text1"/>
                <w14:textFill>
                  <w14:solidFill>
                    <w14:schemeClr w14:val="tx1"/>
                  </w14:solidFill>
                </w14:textFill>
              </w:rPr>
              <w:t>㎡，总建筑面积</w:t>
            </w:r>
            <w:r>
              <w:rPr>
                <w:rFonts w:hint="default" w:ascii="Times New Roman" w:hAnsi="Times New Roman" w:eastAsia="宋体" w:cs="Times New Roman"/>
                <w:color w:val="000000" w:themeColor="text1"/>
                <w:lang w:eastAsia="zh-CN"/>
                <w14:textFill>
                  <w14:solidFill>
                    <w14:schemeClr w14:val="tx1"/>
                  </w14:solidFill>
                </w14:textFill>
              </w:rPr>
              <w:t>1350</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福建鑫华毅建材有限公司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需进行环境影响评价。</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于2021年3月委托福建华力翔环境技术有限公司编制《福建鑫华毅建材有限公司年产1000万平方米环保型弹性</w:t>
            </w:r>
            <w:r>
              <w:rPr>
                <w:rFonts w:hint="eastAsia" w:ascii="Times New Roman" w:hAnsi="Times New Roman" w:eastAsia="宋体" w:cs="Times New Roman"/>
                <w:color w:val="auto"/>
                <w:sz w:val="24"/>
                <w:szCs w:val="24"/>
                <w:vertAlign w:val="baseline"/>
                <w:lang w:val="en-US" w:eastAsia="zh-CN"/>
              </w:rPr>
              <w:t>体沥青防水卷材项目环境影响报告表》，于2019年4月9日通过漳州市平和生态环境局审批</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本项目实际总投资5238万元，环保投资53万元，实际生产能力为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年产1000万平方米环保型弹性体沥青防水卷材</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，年工作天数320天，每天工作12小时</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，夜间不生产</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位于平和县文峰镇黄井村兴业路160号，项目东侧为出租方厂房部分，隔厂房东侧为山地，北侧为福州百尚装饰有限公司，西侧为漳州众鑫橡胶有限公司，南侧为山地，项目最近的敏感目标为西北侧约123m的庵仔下居住区。</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vertAlign w:val="baseline"/>
                <w:lang w:val="en-US" w:eastAsia="zh-CN"/>
              </w:rPr>
              <w:t>本项目2021年4月开工建设，并于2022年4月竣工并投入试生产，目前本项目已全部建成。根据《建设项目环境保护管理条例》和《建设项目竣</w:t>
            </w:r>
            <w:r>
              <w:rPr>
                <w:rFonts w:ascii="Times New Roman" w:hAnsi="Times New Roman" w:eastAsia="宋体" w:cs="Times New Roman"/>
                <w:color w:val="auto"/>
                <w:sz w:val="24"/>
                <w:szCs w:val="24"/>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14</w:t>
            </w:r>
            <w:r>
              <w:rPr>
                <w:rFonts w:hint="eastAsia" w:ascii="Times New Roman" w:hAnsi="Times New Roman" w:eastAsia="宋体" w:cs="Times New Roman"/>
                <w:color w:val="auto"/>
                <w:sz w:val="24"/>
                <w:szCs w:val="24"/>
                <w:lang w:eastAsia="zh-CN"/>
              </w:rPr>
              <w:t>日至202</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lang w:eastAsia="zh-CN"/>
              </w:rPr>
              <w:t>日</w:t>
            </w:r>
            <w:r>
              <w:rPr>
                <w:rFonts w:ascii="Times New Roman" w:hAnsi="Times New Roman" w:eastAsia="宋体" w:cs="Times New Roman"/>
                <w:color w:val="auto"/>
                <w:sz w:val="24"/>
                <w:szCs w:val="24"/>
              </w:rPr>
              <w:t>委托</w:t>
            </w:r>
            <w:r>
              <w:rPr>
                <w:rFonts w:hint="eastAsia" w:ascii="Times New Roman" w:hAnsi="Times New Roman" w:eastAsia="宋体" w:cs="Times New Roman"/>
                <w:color w:val="auto"/>
                <w:sz w:val="24"/>
                <w:szCs w:val="24"/>
                <w:lang w:val="en-US" w:eastAsia="zh-CN"/>
              </w:rPr>
              <w:t>厦门华夏学苑检测有限公司对</w:t>
            </w:r>
            <w:r>
              <w:rPr>
                <w:rFonts w:ascii="Times New Roman" w:hAnsi="Times New Roman" w:eastAsia="宋体" w:cs="Times New Roman"/>
                <w:color w:val="auto"/>
                <w:sz w:val="24"/>
                <w:szCs w:val="24"/>
              </w:rPr>
              <w:t>本项目开展竣工环境保护验收监测，根据现场监测情况、样品监测分析结果及现场调查情况，编制</w:t>
            </w:r>
            <w:r>
              <w:rPr>
                <w:rFonts w:hint="eastAsia" w:ascii="Times New Roman" w:hAnsi="Times New Roman" w:eastAsia="宋体" w:cs="Times New Roman"/>
                <w:color w:val="auto"/>
                <w:sz w:val="24"/>
                <w:szCs w:val="24"/>
                <w:lang w:val="en-US" w:eastAsia="zh-CN"/>
              </w:rPr>
              <w:t>竣工环境保护</w:t>
            </w:r>
            <w:r>
              <w:rPr>
                <w:rFonts w:ascii="Times New Roman" w:hAnsi="Times New Roman" w:eastAsia="宋体" w:cs="Times New Roman"/>
                <w:color w:val="auto"/>
                <w:sz w:val="24"/>
                <w:szCs w:val="24"/>
              </w:rPr>
              <w:t>验收监测报告表。</w:t>
            </w:r>
          </w:p>
          <w:p>
            <w:pPr>
              <w:pStyle w:val="37"/>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具体建设内容见下表</w:t>
            </w:r>
            <w:r>
              <w:rPr>
                <w:rFonts w:hint="eastAsia" w:ascii="Times New Roman" w:hAnsi="Times New Roman" w:cs="Times New Roman"/>
                <w:color w:val="auto"/>
              </w:rPr>
              <w:t>2-1</w:t>
            </w:r>
            <w:r>
              <w:rPr>
                <w:rFonts w:ascii="Times New Roman" w:hAnsi="Times New Roman" w:cs="Times New Roman"/>
                <w:color w:val="auto"/>
              </w:rPr>
              <w:t>：</w:t>
            </w: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5"/>
              <w:widowControl w:val="0"/>
              <w:ind w:left="0" w:leftChars="0" w:firstLine="0" w:firstLineChars="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表2-1 项目</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工程</w:t>
            </w:r>
            <w:r>
              <w:rPr>
                <w:rFonts w:hint="eastAsia" w:ascii="Times New Roman" w:hAnsi="Times New Roman" w:eastAsia="宋体" w:cs="Times New Roman"/>
                <w:b/>
                <w:bCs/>
                <w:color w:val="000000" w:themeColor="text1"/>
                <w:sz w:val="21"/>
                <w:szCs w:val="21"/>
                <w14:textFill>
                  <w14:solidFill>
                    <w14:schemeClr w14:val="tx1"/>
                  </w14:solidFill>
                </w14:textFill>
              </w:rPr>
              <w:t>组成一览表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31"/>
              <w:gridCol w:w="542"/>
              <w:gridCol w:w="1353"/>
              <w:gridCol w:w="4391"/>
              <w:gridCol w:w="174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工程类别</w:t>
                  </w: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组成</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环评设计</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实际情况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流水线1条</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设置1条环保型弹性体沥青防水卷材生产流水线，同时配套相应的设备</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锅炉房</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新建1间导热油炉锅炉房，内含1座天燃气导热油锅炉，用于供热使用，天燃气导热油锅炉炉型号： 150万大卡天燃气导热油锅炉</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检验区</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用于检验产品规格等</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事故应急池</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拟建，用于消防时使用</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循环水池</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用于冷却水等循环使用</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区域电网供应</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供水</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自来水管网供给</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接市政污水管网</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办公室</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用于职工休息</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储运工程</w:t>
                  </w: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原材料堆放区</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，用于原材料堆放</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成品堆放区</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800m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，用于成品堆放</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氧化罐</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用于原料搅拌</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地下存料罐</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2个，直径2.5m，长度9.6m，用于地下存储物料使用</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309" w:type="pct"/>
                  <w:vMerge w:val="restart"/>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772"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沥青烟气</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本项目产生的废气经集气罩收集后由1套“喷淋塔+电捕焦油器+UV光氧催化+活性炭吸附处理后”由1根15m高的1#排气筒排放</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309" w:type="pct"/>
                  <w:vMerge w:val="continue"/>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772"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滑石粉粉尘</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滑石粉粉尘经粉罐顶自带仓顶除尘器，粉尘经仓顶除尘器处理后少量粉尘由1根15m高的2#排气筒排放</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309" w:type="pct"/>
                  <w:vMerge w:val="continue"/>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772"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燃天然气导热油炉产生的烟气</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燃天然气导热油炉产生的烟气经1根8m高的3#烟囱排放</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依托漳州市琪佳辉贸易有限公司已建化粪池处理后接入市政污水管网</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合理布局，选用低噪声设备，车间隔声，加强设备维护，加强厂区绿化等</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配备建设生活垃圾临时收集桶</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设置规范的危险废物暂存间，定期委托有资质的单位统一处置</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1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081"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250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配备建设一般固废贮存场所</w:t>
                  </w:r>
                </w:p>
              </w:tc>
              <w:tc>
                <w:tcPr>
                  <w:tcW w:w="99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与环评设计一致</w:t>
                  </w:r>
                </w:p>
              </w:tc>
            </w:tr>
          </w:tbl>
          <w:p>
            <w:pPr>
              <w:pStyle w:val="37"/>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7"/>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福建鑫华毅建材有限公司年产1000万平方米环保型弹性体沥青防水卷材项目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福建省漳州市平和县文峰镇黄井村兴业路160号</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福建鑫华毅建材有限公司年产1000万平方米环保型弹性体沥青防水卷材项目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整体验收</w:t>
            </w:r>
            <w:r>
              <w:rPr>
                <w:rFonts w:hint="default" w:ascii="Times New Roman" w:eastAsia="宋体"/>
                <w:color w:val="000000" w:themeColor="text1"/>
                <w:sz w:val="24"/>
                <w:szCs w:val="24"/>
                <w:lang w:val="en-US" w:eastAsia="zh-CN"/>
                <w14:textFill>
                  <w14:solidFill>
                    <w14:schemeClr w14:val="tx1"/>
                  </w14:solidFill>
                </w14:textFill>
              </w:rPr>
              <w:t>。</w:t>
            </w:r>
          </w:p>
          <w:p>
            <w:pPr>
              <w:pStyle w:val="37"/>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pStyle w:val="3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工程变动情况一览表</w:t>
            </w:r>
          </w:p>
          <w:tbl>
            <w:tblPr>
              <w:tblStyle w:val="27"/>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023"/>
              <w:gridCol w:w="310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项目</w:t>
                  </w:r>
                </w:p>
              </w:tc>
              <w:tc>
                <w:tcPr>
                  <w:tcW w:w="302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环评阶段</w:t>
                  </w:r>
                </w:p>
              </w:tc>
              <w:tc>
                <w:tcPr>
                  <w:tcW w:w="310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302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310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302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年产1000万平方米环保型弹性体沥青防水卷材</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年产1000万平方米环保型弹性体沥青防水卷材</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302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福建省漳州市平和县文峰镇黄井村兴业路160号</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福建省漳州市平和县文峰镇黄井村兴业路160号</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生产工艺</w:t>
                  </w:r>
                </w:p>
              </w:tc>
              <w:tc>
                <w:tcPr>
                  <w:tcW w:w="3023" w:type="dxa"/>
                  <w:tcBorders>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详见工艺图</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详见工艺图</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9" w:hRule="atLeast"/>
                <w:jc w:val="center"/>
              </w:trPr>
              <w:tc>
                <w:tcPr>
                  <w:tcW w:w="788"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环保措施</w:t>
                  </w:r>
                </w:p>
              </w:tc>
              <w:tc>
                <w:tcPr>
                  <w:tcW w:w="3023" w:type="dxa"/>
                  <w:tcBorders>
                    <w:tl2br w:val="nil"/>
                    <w:tr2bl w:val="nil"/>
                  </w:tcBorders>
                  <w:vAlign w:val="center"/>
                </w:tcPr>
                <w:p>
                  <w:pPr>
                    <w:pStyle w:val="13"/>
                    <w:widowControl w:val="0"/>
                    <w:spacing w:before="189" w:line="240" w:lineRule="auto"/>
                    <w:ind w:right="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t>生活废水依托漳州市琪佳辉贸易有限公司已建化粪池处理后接入市政污水管网。</w:t>
                  </w:r>
                </w:p>
              </w:tc>
              <w:tc>
                <w:tcPr>
                  <w:tcW w:w="310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t>生活废水依托漳州市琪佳辉贸易有限公司已建化粪池处理后接入市政污水管网</w:t>
                  </w:r>
                  <w:r>
                    <w:rPr>
                      <w:rFonts w:hint="eastAsia" w:ascii="Times New Roman" w:hAnsi="Times New Roman" w:eastAsia="宋体" w:cs="Times New Roman"/>
                      <w:color w:val="000000" w:themeColor="text1"/>
                      <w:spacing w:val="0"/>
                      <w:kern w:val="0"/>
                      <w:sz w:val="21"/>
                      <w:szCs w:val="21"/>
                      <w:lang w:val="zh-CN" w:eastAsia="zh-CN" w:bidi="ar-SA"/>
                      <w14:textFill>
                        <w14:solidFill>
                          <w14:schemeClr w14:val="tx1"/>
                        </w14:solidFill>
                      </w14:textFill>
                    </w:rPr>
                    <w:t>。</w:t>
                  </w:r>
                </w:p>
              </w:tc>
              <w:tc>
                <w:tcPr>
                  <w:tcW w:w="1292"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color w:val="000000" w:themeColor="text1"/>
                      <w14:textFill>
                        <w14:solidFill>
                          <w14:schemeClr w14:val="tx1"/>
                        </w14:solidFill>
                      </w14:textFill>
                    </w:rPr>
                  </w:pPr>
                </w:p>
              </w:tc>
              <w:tc>
                <w:tcPr>
                  <w:tcW w:w="3023" w:type="dxa"/>
                  <w:tcBorders>
                    <w:tl2br w:val="nil"/>
                    <w:tr2bl w:val="nil"/>
                  </w:tcBorders>
                  <w:vAlign w:val="center"/>
                </w:tcPr>
                <w:p>
                  <w:pPr>
                    <w:widowControl/>
                    <w:spacing w:line="240" w:lineRule="auto"/>
                    <w:jc w:val="both"/>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t>废气：</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项目废气主要</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为导热油炉废气、沥青废气、滑石粉装卸废气</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沥青废气：项目生产过程中沥青改性由集气管道收集沥青烟气，氧化、混合过程中产生的沥青烟经集气收集后统一通过“喷淋塔+电捕焦油器+UV光氧催化+活性炭吸附装置”废气处理设施处理后引至1根15m高的排气筒排放。滑石粉装卸废气：粉罐顶自带仓顶除尘器，粉尘经仓顶除尘器处理后少量粉尘由1根15m高的排气筒排放。导热油炉废气：导热油炉废气经10m高排气筒排放。</w:t>
                  </w:r>
                </w:p>
              </w:tc>
              <w:tc>
                <w:tcPr>
                  <w:tcW w:w="3105" w:type="dxa"/>
                  <w:tcBorders>
                    <w:tl2br w:val="nil"/>
                    <w:tr2bl w:val="nil"/>
                  </w:tcBorders>
                  <w:vAlign w:val="center"/>
                </w:tcPr>
                <w:p>
                  <w:pPr>
                    <w:widowControl/>
                    <w:spacing w:line="240" w:lineRule="auto"/>
                    <w:jc w:val="both"/>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项目废气主要</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为导热油炉废气、沥青废气、滑石粉装卸废气</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p>
                <w:p>
                  <w:pPr>
                    <w:widowControl/>
                    <w:spacing w:line="240" w:lineRule="auto"/>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沥青废气：项目生产过程中沥青改性由集气管道收集沥青烟气，氧化、混合过程中产生的沥青烟经集气收集后统一通过“喷淋塔+电捕焦油器+UV光氧催化+活性炭吸附装置”废气处理设施处理后引至1根15m高的排气筒排放。滑石粉装卸废气：粉罐顶自带仓顶除尘器，粉尘经仓顶除尘器处理后少量粉尘由1根15m高的排气筒排放。导热油炉废气：导热油炉废气经10m高排气筒排放。</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c>
                <w:tcPr>
                  <w:tcW w:w="302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项目噪声主要来源于机台设备运行产生的噪声</w:t>
                  </w:r>
                </w:p>
              </w:tc>
              <w:tc>
                <w:tcPr>
                  <w:tcW w:w="310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c>
                <w:tcPr>
                  <w:tcW w:w="3023" w:type="dxa"/>
                  <w:tcBorders>
                    <w:tl2br w:val="nil"/>
                    <w:tr2bl w:val="nil"/>
                  </w:tcBorders>
                  <w:vAlign w:val="center"/>
                </w:tcPr>
                <w:p>
                  <w:pPr>
                    <w:pStyle w:val="59"/>
                    <w:widowControl w:val="0"/>
                    <w:numPr>
                      <w:ilvl w:val="0"/>
                      <w:numId w:val="0"/>
                    </w:numPr>
                    <w:spacing w:line="240" w:lineRule="auto"/>
                    <w:jc w:val="both"/>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0"/>
                      <w:sz w:val="21"/>
                      <w:szCs w:val="21"/>
                      <w:lang w:val="en-US" w:eastAsia="zh-CN" w:bidi="ar-SA"/>
                      <w14:textFill>
                        <w14:solidFill>
                          <w14:schemeClr w14:val="tx1"/>
                        </w14:solidFill>
                      </w14:textFill>
                    </w:rPr>
                    <w:t>固废：</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生产过程中产生的一般工业固废主要有废包装材料（废纸箱、废包装袋等包装物）、边角料、焦油、废矿物油、废活性炭吸附饱和物、UV光氧废灯管、导热油等以及员工生活垃圾。废包装材料（废纸箱、废包装袋等包装物）、边角料等集中收集后出售给可回收利用单位回收利用。</w:t>
                  </w:r>
                </w:p>
              </w:tc>
              <w:tc>
                <w:tcPr>
                  <w:tcW w:w="3105" w:type="dxa"/>
                  <w:tcBorders>
                    <w:tl2br w:val="nil"/>
                    <w:tr2bl w:val="nil"/>
                  </w:tcBorders>
                  <w:vAlign w:val="center"/>
                </w:tcPr>
                <w:p>
                  <w:pPr>
                    <w:pStyle w:val="59"/>
                    <w:widowControl w:val="0"/>
                    <w:numPr>
                      <w:ilvl w:val="0"/>
                      <w:numId w:val="0"/>
                    </w:numPr>
                    <w:spacing w:line="240" w:lineRule="auto"/>
                    <w:jc w:val="both"/>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本项目生产过程中产生的固废主要有废包装材料（废纸箱、废包装袋等包装物）、边角料、焦油、废矿物油、废活性炭吸附饱和物、UV光氧废灯管、导热油等以及员工生活垃圾。</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一般工业固废集中收集后出售给可回收利用单位，危险废物收集后厂区内暂存于危险废物暂存间内，定期委托有资质单位处置，生活垃圾集中收集，统一交由环卫部门清运处理。</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r>
          </w:tbl>
          <w:p>
            <w:pPr>
              <w:pStyle w:val="37"/>
              <w:spacing w:line="360" w:lineRule="auto"/>
              <w:ind w:firstLine="480" w:firstLineChars="200"/>
              <w:jc w:val="both"/>
              <w:rPr>
                <w:rFonts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根据项目实际建设情况，经过与《污染影响类建设项目重大变动清单（试行）》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十三条内容逐一对照</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，最终得出结论：本项目不存在《污染影响类建设项目重大变动清单（试行）》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十三条内容的重大变动</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情形。</w:t>
            </w:r>
          </w:p>
          <w:p>
            <w:pPr>
              <w:pStyle w:val="37"/>
              <w:spacing w:line="360" w:lineRule="auto"/>
              <w:jc w:val="cente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重大变动情况对照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493"/>
              <w:gridCol w:w="2664"/>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2565"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污染影响类建设项目重大变动清单</w:t>
                  </w:r>
                </w:p>
              </w:tc>
              <w:tc>
                <w:tcPr>
                  <w:tcW w:w="152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建设项目开发、使用功能发生变化的。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生产、处置或储存能力增大30%及以上的。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生产、处置或储存能力增大，导致废水第一类污染物排放量增加的。</w:t>
                  </w:r>
                </w:p>
              </w:tc>
              <w:tc>
                <w:tcPr>
                  <w:tcW w:w="152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2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重新选址；在原厂址附近调整（包括总平面布置变化）导致环境防护距离范围变化且新增敏感点的。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项目建设位置无变化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565" w:type="pct"/>
                  <w:vAlign w:val="top"/>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新增产品品种或生产工艺（含主要生产装置、设备及配套设施）、主要原辅材料、燃料变化，导致以下情形之一：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（1）新增排放污染物种类的（毒性、挥发性降低的除外）；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（2）位于环境质量不达标区的建设项目相应污染物排放量增加的；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（3）废水第一类污染物排放量增加的；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（4）其他污染物排放量增加10%及以上的。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项目不新增产品及生产工艺，原辅材料及燃料未发生变化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物料运输、装卸、贮存方式变化，导致大气污染物无组织排放量增加10%及以上的。</w:t>
                  </w:r>
                </w:p>
              </w:tc>
              <w:tc>
                <w:tcPr>
                  <w:tcW w:w="152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1521"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废气、废水污染防治措施无变化</w:t>
                  </w:r>
                </w:p>
              </w:tc>
              <w:tc>
                <w:tcPr>
                  <w:tcW w:w="668"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565" w:type="pct"/>
                </w:tcPr>
                <w:p>
                  <w:pPr>
                    <w:spacing w:line="240" w:lineRule="auto"/>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新增废水直接排放口；废水由间接排放改为直接排放；废水直接排放口位置变化，导致不利环境影响加重的。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废水排放方式及排放口与环评设计一致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565" w:type="pct"/>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新增废气主要排放口（废气无组织排放改为有组织排放的除外）；主要排放口排气筒高度降低10%及以上的。</w:t>
                  </w:r>
                </w:p>
              </w:tc>
              <w:tc>
                <w:tcPr>
                  <w:tcW w:w="152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项目不新增废气主要排放口</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565" w:type="pct"/>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噪声、土壤或地下水污染防治措施变化，导致不利环境影响加重的。</w:t>
                  </w:r>
                </w:p>
              </w:tc>
              <w:tc>
                <w:tcPr>
                  <w:tcW w:w="152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565" w:type="pct"/>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1521"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固体废物污染防治措施与环评设计一致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565" w:type="pct"/>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事故废水暂存能力或拦截设施变化，导致环境风险防范能力弱化或降低的。</w:t>
                  </w:r>
                </w:p>
              </w:tc>
              <w:tc>
                <w:tcPr>
                  <w:tcW w:w="1521"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事故废水暂存能力或拦截设施与环评设计一致</w:t>
                  </w:r>
                </w:p>
              </w:tc>
              <w:tc>
                <w:tcPr>
                  <w:tcW w:w="668"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bl>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pacing w:line="360" w:lineRule="auto"/>
              <w:ind w:firstLine="491" w:firstLineChars="205"/>
              <w:jc w:val="both"/>
              <w:rPr>
                <w:rFonts w:hint="eastAsia" w:ascii="Times New Roman" w:hAnsi="Times New Roman" w:eastAsia="宋体" w:cs="Times New Roman"/>
                <w:color w:val="000000" w:themeColor="text1"/>
                <w:sz w:val="24"/>
                <w:szCs w:val="24"/>
                <w:lang w:val="zh-CN" w:eastAsia="zh-CN"/>
                <w14:textFill>
                  <w14:solidFill>
                    <w14:schemeClr w14:val="tx1"/>
                  </w14:solidFill>
                </w14:textFill>
              </w:rPr>
            </w:pPr>
            <w:r>
              <w:rPr>
                <w:rFonts w:hint="eastAsia" w:ascii="Times New Roman" w:hAnsi="Times New Roman" w:eastAsia="宋体" w:cs="Times New Roman"/>
                <w:color w:val="000000" w:themeColor="text1"/>
                <w:sz w:val="24"/>
                <w:szCs w:val="24"/>
                <w:lang w:val="zh-CN" w:eastAsia="zh-CN"/>
                <w14:textFill>
                  <w14:solidFill>
                    <w14:schemeClr w14:val="tx1"/>
                  </w14:solidFill>
                </w14:textFill>
              </w:rPr>
              <w:t>项目运行过程中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主要为员工生活用水和冷却用水</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p>
          <w:p>
            <w:pPr>
              <w:pStyle w:val="59"/>
              <w:widowControl w:val="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⑴职工的生活污水</w:t>
            </w:r>
          </w:p>
          <w:p>
            <w:pPr>
              <w:pStyle w:val="59"/>
              <w:widowControl w:val="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本项目职工定员8人，职工均不住厂，故生活用水量及废水量即为全厂用水量及废水量。根据《建筑给水排水设计规范》（GB 50015-2019），不住厂职工生活用水量取</w:t>
            </w:r>
            <w:bookmarkStart w:id="2" w:name="生活污水排放系数1"/>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50</w:t>
            </w:r>
            <w:bookmarkEnd w:id="2"/>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L/d·人，则项目厂区内职工生活用水量为0.4m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/d。年工作天数为320天，则生活用水量128m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/a。生活废水排水系数按80%计，则污水排放量</w:t>
            </w:r>
            <w:bookmarkStart w:id="3" w:name="生活污水年排放量1"/>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0.32m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/d(102.4</w:t>
            </w:r>
            <w:bookmarkEnd w:id="3"/>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/a)。</w:t>
            </w:r>
          </w:p>
          <w:p>
            <w:pPr>
              <w:pStyle w:val="59"/>
              <w:widowControl w:val="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⑵冷却循环水和补充水</w:t>
            </w:r>
          </w:p>
          <w:p>
            <w:pPr>
              <w:pStyle w:val="59"/>
              <w:widowControl w:val="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项目生产废水主要为产品降温的冷却循环水，项目冷却水经管道喷淋至产品表面进行，冷却后的水经地沟回流至冷却循环水池，冷却水经沉淀后循环使用，不外排，根据建设单位提供的材料，冷却循环水用量为16t/a(冷却循环水池容积的80%)，根据分析冷却水损失按照10%计算，则补充的冷却水量为1.6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/d，年工作天数为320天，则冷却水补充用水量512m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/a。</w:t>
            </w:r>
          </w:p>
          <w:p>
            <w:pPr>
              <w:pStyle w:val="13"/>
              <w:keepNext w:val="0"/>
              <w:keepLines w:val="0"/>
              <w:pageBreakBefore w:val="0"/>
              <w:widowControl/>
              <w:kinsoku/>
              <w:wordWrap/>
              <w:overflowPunct/>
              <w:topLinePunct w:val="0"/>
              <w:autoSpaceDE/>
              <w:autoSpaceDN/>
              <w:bidi w:val="0"/>
              <w:adjustRightInd w:val="0"/>
              <w:snapToGrid w:val="0"/>
              <w:spacing w:line="360" w:lineRule="auto"/>
              <w:ind w:left="0" w:right="0" w:firstLine="448" w:firstLineChars="200"/>
              <w:jc w:val="left"/>
              <w:textAlignment w:val="auto"/>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综上，项目全厂新鲜用水量为656m³/a，废水排放量为</w:t>
            </w:r>
            <w:bookmarkStart w:id="4" w:name="生活污水年排放量"/>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102.4</w:t>
            </w:r>
            <w:bookmarkEnd w:id="4"/>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 xml:space="preserve"> 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/a。</w:t>
            </w:r>
          </w:p>
          <w:p>
            <w:pPr>
              <w:pStyle w:val="5"/>
              <w:keepNext w:val="0"/>
              <w:keepLines w:val="0"/>
              <w:pageBreakBefore w:val="0"/>
              <w:widowControl/>
              <w:tabs>
                <w:tab w:val="left" w:pos="4027"/>
              </w:tabs>
              <w:kinsoku/>
              <w:wordWrap/>
              <w:overflowPunct/>
              <w:topLinePunct w:val="0"/>
              <w:autoSpaceDE/>
              <w:autoSpaceDN/>
              <w:bidi w:val="0"/>
              <w:adjustRightInd w:val="0"/>
              <w:snapToGrid w:val="0"/>
              <w:spacing w:before="0" w:line="360" w:lineRule="auto"/>
              <w:ind w:left="0" w:right="0"/>
              <w:jc w:val="center"/>
              <w:textAlignment w:val="auto"/>
            </w:pPr>
            <w:r>
              <w:drawing>
                <wp:inline distT="0" distB="0" distL="114300" distR="114300">
                  <wp:extent cx="5219700" cy="1800225"/>
                  <wp:effectExtent l="0" t="0" r="0" b="952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2"/>
                          <a:stretch>
                            <a:fillRect/>
                          </a:stretch>
                        </pic:blipFill>
                        <pic:spPr>
                          <a:xfrm>
                            <a:off x="0" y="0"/>
                            <a:ext cx="5219700" cy="1800225"/>
                          </a:xfrm>
                          <a:prstGeom prst="rect">
                            <a:avLst/>
                          </a:prstGeom>
                          <a:noFill/>
                          <a:ln>
                            <a:noFill/>
                          </a:ln>
                        </pic:spPr>
                      </pic:pic>
                    </a:graphicData>
                  </a:graphic>
                </wp:inline>
              </w:drawing>
            </w:r>
          </w:p>
          <w:p>
            <w:pPr>
              <w:widowControl w:val="0"/>
              <w:jc w:val="cente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t>图1 水平衡图</w:t>
            </w:r>
          </w:p>
          <w:p>
            <w:pPr>
              <w:pStyle w:val="24"/>
              <w:keepNext w:val="0"/>
              <w:keepLines w:val="0"/>
              <w:pageBreakBefore w:val="0"/>
              <w:widowControl w:val="0"/>
              <w:kinsoku/>
              <w:wordWrap/>
              <w:overflowPunct/>
              <w:topLinePunct w:val="0"/>
              <w:autoSpaceDE/>
              <w:autoSpaceDN/>
              <w:bidi w:val="0"/>
              <w:adjustRightInd w:val="0"/>
              <w:snapToGrid w:val="0"/>
              <w:spacing w:before="181" w:beforeLines="50" w:line="360" w:lineRule="auto"/>
              <w:ind w:firstLine="450" w:firstLineChars="20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59"/>
              <w:widowControl w:val="0"/>
              <w:spacing w:line="360" w:lineRule="auto"/>
              <w:jc w:val="both"/>
              <w:rPr>
                <w:rFonts w:hint="default" w:ascii="Times New Roman" w:hAnsi="Times New Roman" w:eastAsia="宋体" w:cs="Times New Roman"/>
                <w:color w:val="000000" w:themeColor="text1"/>
                <w:lang w:val="en-US" w:eastAsia="zh-CN"/>
                <w14:textFill>
                  <w14:solidFill>
                    <w14:schemeClr w14:val="tx1"/>
                  </w14:solidFill>
                </w14:textFill>
              </w:rPr>
            </w:pPr>
            <w:bookmarkStart w:id="5" w:name="_Toc29387767"/>
            <w:r>
              <w:rPr>
                <w:rFonts w:hint="default"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工艺流程</w:t>
            </w:r>
          </w:p>
          <w:p>
            <w:pPr>
              <w:pStyle w:val="59"/>
              <w:widowControl w:val="0"/>
              <w:ind w:left="0" w:leftChars="0" w:firstLine="0" w:firstLineChars="0"/>
              <w:jc w:val="left"/>
            </w:pPr>
            <w:r>
              <w:drawing>
                <wp:inline distT="0" distB="0" distL="114300" distR="114300">
                  <wp:extent cx="5324475" cy="5124450"/>
                  <wp:effectExtent l="0" t="0" r="952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3"/>
                          <a:stretch>
                            <a:fillRect/>
                          </a:stretch>
                        </pic:blipFill>
                        <pic:spPr>
                          <a:xfrm>
                            <a:off x="0" y="0"/>
                            <a:ext cx="5324475" cy="5124450"/>
                          </a:xfrm>
                          <a:prstGeom prst="rect">
                            <a:avLst/>
                          </a:prstGeom>
                          <a:noFill/>
                          <a:ln>
                            <a:noFill/>
                          </a:ln>
                        </pic:spPr>
                      </pic:pic>
                    </a:graphicData>
                  </a:graphic>
                </wp:inline>
              </w:drawing>
            </w:r>
          </w:p>
          <w:p>
            <w:pPr>
              <w:pStyle w:val="59"/>
              <w:widowControl w:val="0"/>
              <w:ind w:left="0" w:leftChars="0" w:firstLine="0" w:firstLineChars="0"/>
              <w:jc w:val="center"/>
              <w:rPr>
                <w:rFonts w:hint="default" w:ascii="Times New Roman" w:hAnsi="Times New Roman" w:eastAsia="宋体" w:cs="Times New Roman"/>
                <w:b/>
                <w:bCs/>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t>图2 生产工艺流程图</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本项目外购的SBS、机油、胶粉、滑石粉、液体沥青等均来自合格的原材料生产厂家。</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加热搅拌(氧气罐)：首先将液体沥青、胶粉以及机油（软化剂）通过计量后，打入氧化罐，待温度升至180±5℃时，加入SBS，边加热边搅拌（加热搅拌时间为2-3h，根据不同产品调整），温度控制在180℃-200℃，加热热源为燃天然气导热油炉供热(备注：本项目通过燃天然气对导热油进行加热，加热后的导热油通过间接加热工序对氧气管内的产品进行加热)。然后通过螺旋输送机加入滑石粉进行搅拌，项目滑石粉采用螺旋输送自动密闭加入，搅拌混合成合格的涂盖料。</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涂油</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将胎基抬至胎基展开装置上，并引至胎基搭接机、胎基停留机、调偏装置，进入涂油槽。胎布进入涂油工序，涂盖料为改性沥青。</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覆膜和冷却</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涂油后利用改性沥青自身粘度进行覆膜（PE膜、纸管）工序，在卷材表面覆盖底膜、面膜，覆膜后得到的沥青防水卷材温度较高需用循环水冷却。</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包装外售</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压实、裁断收卷，最后成品包装入库。</w:t>
            </w:r>
          </w:p>
          <w:p>
            <w:pPr>
              <w:pStyle w:val="3"/>
              <w:widowControl w:val="0"/>
              <w:numPr>
                <w:ilvl w:val="0"/>
                <w:numId w:val="3"/>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5"/>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w:t>
            </w:r>
          </w:p>
          <w:p>
            <w:pPr>
              <w:pStyle w:val="52"/>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7 </w:t>
            </w:r>
            <w:r>
              <w:rPr>
                <w:rFonts w:ascii="Times New Roman" w:hAnsi="Times New Roman" w:eastAsia="宋体" w:cs="Times New Roman"/>
                <w:color w:val="000000" w:themeColor="text1"/>
                <w:sz w:val="21"/>
                <w:szCs w:val="21"/>
                <w14:textFill>
                  <w14:solidFill>
                    <w14:schemeClr w14:val="tx1"/>
                  </w14:solidFill>
                </w14:textFill>
              </w:rPr>
              <w:t>项目与《建设项目竣工环境保护验收暂行办法》第八条规定对照情况一览表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195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根据监测</w:t>
                  </w:r>
                  <w:r>
                    <w:rPr>
                      <w:rFonts w:hint="eastAsia" w:ascii="Times New Roman" w:hAnsi="Times New Roman" w:eastAsia="宋体" w:cs="Times New Roman"/>
                      <w:color w:val="000000" w:themeColor="text1"/>
                      <w:sz w:val="21"/>
                      <w:szCs w:val="21"/>
                      <w14:textFill>
                        <w14:solidFill>
                          <w14:schemeClr w14:val="tx1"/>
                        </w14:solidFill>
                      </w14:textFill>
                    </w:rPr>
                    <w:t>结果</w:t>
                  </w:r>
                  <w:r>
                    <w:rPr>
                      <w:rFonts w:ascii="Times New Roman" w:hAnsi="Times New Roman" w:eastAsia="宋体"/>
                      <w:color w:val="000000" w:themeColor="text1"/>
                      <w:sz w:val="21"/>
                      <w:szCs w:val="21"/>
                      <w14:textFill>
                        <w14:solidFill>
                          <w14:schemeClr w14:val="tx1"/>
                        </w14:solidFill>
                      </w14:textFill>
                    </w:rPr>
                    <w:t>，项目废气、噪声监测结果均符合相关标准要求</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本项目性质、规模、地点、采用的生产工艺和防治污染、防止生态破坏的措施均未发生重大变动。</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建设过程中造成重大环境污染未治理完成，或者造成重大生态破坏未恢复的；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纳入排污许可管理的建设项目，无证排污或者不按证排污的；</w:t>
                  </w:r>
                </w:p>
              </w:tc>
              <w:tc>
                <w:tcPr>
                  <w:tcW w:w="2137" w:type="pct"/>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本项目已于2023年3月6日办理排污许可证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建设单位因该建设项目违反国家和地方环境保护法律法规受到处罚，被责令改正，尚未改正完成的；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本项目不存处罚情形</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厦门华夏学苑检测有限公司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5"/>
              <w:widowControl w:val="0"/>
              <w:jc w:val="left"/>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项目生产过程中</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产生的废水主要为生活污水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项目产生的生活污水依托漳州市琪佳辉贸易有限公司三级化粪池治理后经工业区污水管网纳入黄井工业区污水处理厂处理。</w: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项目废气主要</w:t>
            </w:r>
            <w:r>
              <w:rPr>
                <w:rFonts w:hint="eastAsia" w:ascii="Times New Roman" w:hAnsi="Times New Roman" w:eastAsia="宋体" w:cs="Times New Roman"/>
                <w:color w:val="000000" w:themeColor="text1"/>
                <w:sz w:val="24"/>
                <w:lang w:val="en-US" w:eastAsia="zh-CN"/>
                <w14:textFill>
                  <w14:solidFill>
                    <w14:schemeClr w14:val="tx1"/>
                  </w14:solidFill>
                </w14:textFill>
              </w:rPr>
              <w:t>为导热油炉废气、沥青废气、滑石粉装卸废气</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widowControl/>
              <w:spacing w:line="360" w:lineRule="auto"/>
              <w:ind w:firstLine="480" w:firstLineChars="200"/>
              <w:jc w:val="both"/>
              <w:rPr>
                <w:rFonts w:hint="eastAsia" w:ascii="Times New Roman" w:eastAsia="宋体"/>
                <w:color w:val="000000" w:themeColor="text1"/>
                <w:sz w:val="24"/>
                <w:szCs w:val="24"/>
                <w:lang w:val="en-US" w:eastAsia="zh-CN"/>
                <w14:textFill>
                  <w14:solidFill>
                    <w14:schemeClr w14:val="tx1"/>
                  </w14:solidFill>
                </w14:textFill>
              </w:rPr>
            </w:pPr>
            <w:r>
              <w:rPr>
                <w:rFonts w:hint="eastAsia" w:ascii="Times New Roman" w:eastAsia="宋体"/>
                <w:color w:val="000000" w:themeColor="text1"/>
                <w:sz w:val="24"/>
                <w:szCs w:val="24"/>
                <w:lang w:val="en-US" w:eastAsia="zh-CN"/>
                <w14:textFill>
                  <w14:solidFill>
                    <w14:schemeClr w14:val="tx1"/>
                  </w14:solidFill>
                </w14:textFill>
              </w:rPr>
              <w:t>沥青废气：</w:t>
            </w:r>
            <w:r>
              <w:rPr>
                <w:rFonts w:ascii="Times New Roman" w:eastAsia="宋体"/>
                <w:color w:val="000000" w:themeColor="text1"/>
                <w:sz w:val="24"/>
                <w:szCs w:val="24"/>
                <w14:textFill>
                  <w14:solidFill>
                    <w14:schemeClr w14:val="tx1"/>
                  </w14:solidFill>
                </w14:textFill>
              </w:rPr>
              <w:t>项目生产过程中沥青改性由集气管道收集沥青烟气，氧化、混合过程中产生的沥青烟经集气收集后统一通过“喷淋塔+电捕焦油器+UV光氧催化+活性炭吸附</w:t>
            </w:r>
            <w:r>
              <w:rPr>
                <w:rFonts w:hint="eastAsia" w:ascii="Times New Roman" w:eastAsia="宋体"/>
                <w:color w:val="000000" w:themeColor="text1"/>
                <w:sz w:val="24"/>
                <w:szCs w:val="24"/>
                <w14:textFill>
                  <w14:solidFill>
                    <w14:schemeClr w14:val="tx1"/>
                  </w14:solidFill>
                </w14:textFill>
              </w:rPr>
              <w:t>装置</w:t>
            </w:r>
            <w:r>
              <w:rPr>
                <w:rFonts w:ascii="Times New Roman" w:eastAsia="宋体"/>
                <w:color w:val="000000" w:themeColor="text1"/>
                <w:sz w:val="24"/>
                <w:szCs w:val="24"/>
                <w14:textFill>
                  <w14:solidFill>
                    <w14:schemeClr w14:val="tx1"/>
                  </w14:solidFill>
                </w14:textFill>
              </w:rPr>
              <w:t>”废气处理设施处理后引至1根15m高的排气筒排放</w:t>
            </w:r>
            <w:r>
              <w:rPr>
                <w:rFonts w:hint="eastAsia" w:ascii="Times New Roman" w:eastAsia="宋体"/>
                <w:color w:val="000000" w:themeColor="text1"/>
                <w:sz w:val="24"/>
                <w:szCs w:val="24"/>
                <w:lang w:val="en-US" w:eastAsia="zh-CN"/>
                <w14:textFill>
                  <w14:solidFill>
                    <w14:schemeClr w14:val="tx1"/>
                  </w14:solidFill>
                </w14:textFill>
              </w:rPr>
              <w:t>。</w:t>
            </w:r>
          </w:p>
          <w:p>
            <w:pPr>
              <w:widowControl/>
              <w:spacing w:line="360" w:lineRule="auto"/>
              <w:ind w:firstLine="480" w:firstLineChars="200"/>
              <w:jc w:val="both"/>
              <w:rPr>
                <w:rFonts w:hint="eastAsia" w:ascii="Times New Roman" w:eastAsia="宋体"/>
                <w:color w:val="000000"/>
                <w:sz w:val="24"/>
                <w:szCs w:val="24"/>
                <w:lang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滑石粉装卸</w:t>
            </w:r>
            <w:r>
              <w:rPr>
                <w:rFonts w:hint="eastAsia" w:ascii="Times New Roman" w:eastAsia="宋体"/>
                <w:color w:val="000000" w:themeColor="text1"/>
                <w:sz w:val="24"/>
                <w:szCs w:val="24"/>
                <w:lang w:val="en-US" w:eastAsia="zh-CN"/>
                <w14:textFill>
                  <w14:solidFill>
                    <w14:schemeClr w14:val="tx1"/>
                  </w14:solidFill>
                </w14:textFill>
              </w:rPr>
              <w:t>废气：</w:t>
            </w:r>
            <w:r>
              <w:rPr>
                <w:rFonts w:ascii="Times New Roman" w:eastAsia="宋体"/>
                <w:color w:val="000000" w:themeColor="text1"/>
                <w:sz w:val="24"/>
                <w:szCs w:val="24"/>
                <w14:textFill>
                  <w14:solidFill>
                    <w14:schemeClr w14:val="tx1"/>
                  </w14:solidFill>
                </w14:textFill>
              </w:rPr>
              <w:t>粉罐顶自带仓顶除尘器，粉尘经仓顶除尘器处理后少量粉尘由1根15m高的排气筒排</w:t>
            </w:r>
            <w:r>
              <w:rPr>
                <w:rFonts w:ascii="Times New Roman" w:eastAsia="宋体"/>
                <w:color w:val="000000"/>
                <w:sz w:val="24"/>
                <w:szCs w:val="24"/>
              </w:rPr>
              <w:t>放</w:t>
            </w:r>
            <w:r>
              <w:rPr>
                <w:rFonts w:hint="eastAsia" w:ascii="Times New Roman" w:eastAsia="宋体"/>
                <w:color w:val="000000"/>
                <w:sz w:val="24"/>
                <w:szCs w:val="24"/>
                <w:lang w:eastAsia="zh-CN"/>
              </w:rPr>
              <w:t>。</w:t>
            </w:r>
          </w:p>
          <w:p>
            <w:pPr>
              <w:widowControl/>
              <w:spacing w:line="360" w:lineRule="auto"/>
              <w:ind w:firstLine="480" w:firstLineChars="200"/>
              <w:jc w:val="both"/>
              <w:rPr>
                <w:rFonts w:hint="eastAsia" w:ascii="Times New Roman" w:eastAsia="宋体"/>
                <w:color w:val="000000"/>
                <w:sz w:val="24"/>
                <w:szCs w:val="24"/>
                <w:lang w:val="en-US" w:eastAsia="zh-CN"/>
              </w:rPr>
            </w:pPr>
            <w:r>
              <w:rPr>
                <w:rFonts w:hint="eastAsia" w:ascii="Times New Roman" w:eastAsia="宋体"/>
                <w:color w:val="000000"/>
                <w:sz w:val="24"/>
                <w:szCs w:val="24"/>
                <w:lang w:val="en-US" w:eastAsia="zh-CN"/>
              </w:rPr>
              <w:t>导热油炉废气：导热油炉废气经10m高排气筒排放。</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pStyle w:val="2"/>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07615" cy="1884680"/>
                        <wp:effectExtent l="0" t="0" r="6985" b="1270"/>
                        <wp:docPr id="92" name="图片 92" descr="鑫华毅+UV光解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鑫华毅+UV光解处理设施"/>
                                <pic:cNvPicPr>
                                  <a:picLocks noChangeAspect="1"/>
                                </pic:cNvPicPr>
                              </pic:nvPicPr>
                              <pic:blipFill>
                                <a:blip r:embed="rId14"/>
                                <a:stretch>
                                  <a:fillRect/>
                                </a:stretch>
                              </pic:blipFill>
                              <pic:spPr>
                                <a:xfrm>
                                  <a:off x="0" y="0"/>
                                  <a:ext cx="2507615" cy="1884680"/>
                                </a:xfrm>
                                <a:prstGeom prst="rect">
                                  <a:avLst/>
                                </a:prstGeom>
                              </pic:spPr>
                            </pic:pic>
                          </a:graphicData>
                        </a:graphic>
                      </wp:inline>
                    </w:drawing>
                  </w:r>
                </w:p>
              </w:tc>
              <w:tc>
                <w:tcPr>
                  <w:tcW w:w="4153" w:type="dxa"/>
                </w:tcPr>
                <w:p>
                  <w:pPr>
                    <w:pStyle w:val="2"/>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469515" cy="3288665"/>
                        <wp:effectExtent l="0" t="0" r="6985" b="6985"/>
                        <wp:docPr id="93" name="图片 93" descr="鑫华毅活性炭吸附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鑫华毅活性炭吸附装置"/>
                                <pic:cNvPicPr>
                                  <a:picLocks noChangeAspect="1"/>
                                </pic:cNvPicPr>
                              </pic:nvPicPr>
                              <pic:blipFill>
                                <a:blip r:embed="rId15"/>
                                <a:stretch>
                                  <a:fillRect/>
                                </a:stretch>
                              </pic:blipFill>
                              <pic:spPr>
                                <a:xfrm>
                                  <a:off x="0" y="0"/>
                                  <a:ext cx="2469515" cy="3288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pStyle w:val="2"/>
                    <w:widowControl w:val="0"/>
                    <w:jc w:val="center"/>
                    <w:rPr>
                      <w:rFonts w:hint="default"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t>UV光解处理设施</w:t>
                  </w:r>
                </w:p>
              </w:tc>
              <w:tc>
                <w:tcPr>
                  <w:tcW w:w="4153" w:type="dxa"/>
                </w:tcPr>
                <w:p>
                  <w:pPr>
                    <w:pStyle w:val="2"/>
                    <w:widowControl w:val="0"/>
                    <w:jc w:val="center"/>
                    <w:rPr>
                      <w:rFonts w:hint="default"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t>活性炭吸附装置</w:t>
                  </w:r>
                </w:p>
              </w:tc>
            </w:tr>
          </w:tbl>
          <w:p>
            <w:pPr>
              <w:pStyle w:val="2"/>
              <w:widowControl w:val="0"/>
              <w:jc w:val="both"/>
              <w:rPr>
                <w:rFonts w:hint="eastAsia"/>
                <w:lang w:val="en-US" w:eastAsia="zh-CN"/>
              </w:rPr>
            </w:pP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6"/>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本项目生产过程中产生的固废主要有废包装材料（废纸箱、废包装袋等包装物）、边角料、焦油、废矿物油、废活性炭吸附饱和物、UV光氧废灯管、导热油等以及员工生活垃圾。</w:t>
            </w:r>
          </w:p>
          <w:p>
            <w:pPr>
              <w:widowControl/>
              <w:spacing w:line="360" w:lineRule="auto"/>
              <w:ind w:firstLine="480" w:firstLineChars="200"/>
              <w:jc w:val="both"/>
              <w:rPr>
                <w:rFonts w:ascii="Times New Roman" w:eastAsia="宋体"/>
                <w:color w:val="000000" w:themeColor="text1"/>
                <w:sz w:val="24"/>
                <w:szCs w:val="24"/>
                <w:lang w:eastAsia="zh-CN"/>
                <w14:textFill>
                  <w14:solidFill>
                    <w14:schemeClr w14:val="tx1"/>
                  </w14:solidFill>
                </w14:textFill>
              </w:rPr>
            </w:pPr>
            <w:r>
              <w:rPr>
                <w:rFonts w:hint="eastAsia" w:ascii="Times New Roman" w:eastAsia="宋体"/>
                <w:color w:val="000000" w:themeColor="text1"/>
                <w:sz w:val="24"/>
                <w:szCs w:val="24"/>
                <w:lang w:eastAsia="zh-CN"/>
                <w14:textFill>
                  <w14:solidFill>
                    <w14:schemeClr w14:val="tx1"/>
                  </w14:solidFill>
                </w14:textFill>
              </w:rPr>
              <w:t>（</w:t>
            </w:r>
            <w:r>
              <w:rPr>
                <w:rFonts w:hint="eastAsia" w:ascii="Times New Roman" w:eastAsia="宋体"/>
                <w:color w:val="000000" w:themeColor="text1"/>
                <w:sz w:val="24"/>
                <w:szCs w:val="24"/>
                <w:lang w:val="en-US" w:eastAsia="zh-CN"/>
                <w14:textFill>
                  <w14:solidFill>
                    <w14:schemeClr w14:val="tx1"/>
                  </w14:solidFill>
                </w14:textFill>
              </w:rPr>
              <w:t>1</w:t>
            </w:r>
            <w:r>
              <w:rPr>
                <w:rFonts w:hint="eastAsia" w:ascii="Times New Roman" w:eastAsia="宋体"/>
                <w:color w:val="000000" w:themeColor="text1"/>
                <w:sz w:val="24"/>
                <w:szCs w:val="24"/>
                <w:lang w:eastAsia="zh-CN"/>
                <w14:textFill>
                  <w14:solidFill>
                    <w14:schemeClr w14:val="tx1"/>
                  </w14:solidFill>
                </w14:textFill>
              </w:rPr>
              <w:t>）</w:t>
            </w:r>
            <w:r>
              <w:rPr>
                <w:rFonts w:ascii="Times New Roman" w:eastAsia="宋体"/>
                <w:color w:val="000000" w:themeColor="text1"/>
                <w:sz w:val="24"/>
                <w:szCs w:val="24"/>
                <w:lang w:eastAsia="zh-CN"/>
                <w14:textFill>
                  <w14:solidFill>
                    <w14:schemeClr w14:val="tx1"/>
                  </w14:solidFill>
                </w14:textFill>
              </w:rPr>
              <w:t>一般工业固废</w:t>
            </w:r>
          </w:p>
          <w:p>
            <w:pPr>
              <w:widowControl/>
              <w:spacing w:line="360" w:lineRule="auto"/>
              <w:ind w:firstLine="560" w:firstLineChars="200"/>
              <w:jc w:val="both"/>
              <w:rPr>
                <w:rFonts w:ascii="Times New Roman" w:eastAsia="宋体"/>
                <w:color w:val="000000" w:themeColor="text1"/>
                <w:sz w:val="28"/>
                <w:szCs w:val="28"/>
                <w14:textFill>
                  <w14:solidFill>
                    <w14:schemeClr w14:val="tx1"/>
                  </w14:solidFill>
                </w14:textFill>
              </w:rPr>
            </w:pPr>
            <w:r>
              <w:rPr>
                <w:rFonts w:ascii="Times New Roman" w:eastAsia="宋体"/>
                <w:color w:val="000000" w:themeColor="text1"/>
                <w:sz w:val="28"/>
                <w:szCs w:val="28"/>
                <w14:textFill>
                  <w14:solidFill>
                    <w14:schemeClr w14:val="tx1"/>
                  </w14:solidFill>
                </w14:textFill>
              </w:rPr>
              <w:t>①废包装材料</w:t>
            </w:r>
          </w:p>
          <w:p>
            <w:pPr>
              <w:widowControl/>
              <w:spacing w:line="360" w:lineRule="auto"/>
              <w:ind w:firstLine="560" w:firstLineChars="200"/>
              <w:jc w:val="both"/>
              <w:rPr>
                <w:rFonts w:ascii="Times New Roman" w:eastAsia="宋体"/>
                <w:color w:val="000000" w:themeColor="text1"/>
                <w:sz w:val="28"/>
                <w:szCs w:val="28"/>
                <w14:textFill>
                  <w14:solidFill>
                    <w14:schemeClr w14:val="tx1"/>
                  </w14:solidFill>
                </w14:textFill>
              </w:rPr>
            </w:pPr>
            <w:r>
              <w:rPr>
                <w:rFonts w:ascii="Times New Roman" w:eastAsia="宋体"/>
                <w:color w:val="000000" w:themeColor="text1"/>
                <w:sz w:val="28"/>
                <w:szCs w:val="28"/>
                <w14:textFill>
                  <w14:solidFill>
                    <w14:schemeClr w14:val="tx1"/>
                  </w14:solidFill>
                </w14:textFill>
              </w:rPr>
              <w:t>项目</w:t>
            </w:r>
            <w:r>
              <w:rPr>
                <w:rFonts w:ascii="Times New Roman" w:eastAsia="宋体"/>
                <w:color w:val="000000" w:themeColor="text1"/>
                <w:sz w:val="28"/>
                <w:szCs w:val="28"/>
                <w:lang w:eastAsia="zh-CN"/>
                <w14:textFill>
                  <w14:solidFill>
                    <w14:schemeClr w14:val="tx1"/>
                  </w14:solidFill>
                </w14:textFill>
              </w:rPr>
              <w:t>废包装物</w:t>
            </w:r>
            <w:r>
              <w:rPr>
                <w:rFonts w:ascii="Times New Roman" w:eastAsia="宋体"/>
                <w:color w:val="000000" w:themeColor="text1"/>
                <w:sz w:val="28"/>
                <w:szCs w:val="28"/>
                <w14:textFill>
                  <w14:solidFill>
                    <w14:schemeClr w14:val="tx1"/>
                  </w14:solidFill>
                </w14:textFill>
              </w:rPr>
              <w:t>产生量约为</w:t>
            </w:r>
            <w:r>
              <w:rPr>
                <w:rFonts w:ascii="Times New Roman" w:eastAsia="宋体"/>
                <w:color w:val="000000" w:themeColor="text1"/>
                <w:sz w:val="28"/>
                <w:szCs w:val="28"/>
                <w:lang w:val="en-US" w:eastAsia="zh-CN"/>
                <w14:textFill>
                  <w14:solidFill>
                    <w14:schemeClr w14:val="tx1"/>
                  </w14:solidFill>
                </w14:textFill>
              </w:rPr>
              <w:t>1.0</w:t>
            </w:r>
            <w:r>
              <w:rPr>
                <w:rFonts w:ascii="Times New Roman" w:eastAsia="宋体"/>
                <w:color w:val="000000" w:themeColor="text1"/>
                <w:sz w:val="28"/>
                <w:szCs w:val="28"/>
                <w14:textFill>
                  <w14:solidFill>
                    <w14:schemeClr w14:val="tx1"/>
                  </w14:solidFill>
                </w14:textFill>
              </w:rPr>
              <w:t>t/a，集中收集后出售给可回收利用单位。</w:t>
            </w:r>
          </w:p>
          <w:p>
            <w:pPr>
              <w:widowControl/>
              <w:spacing w:line="360" w:lineRule="auto"/>
              <w:ind w:firstLine="560" w:firstLineChars="200"/>
              <w:jc w:val="both"/>
              <w:rPr>
                <w:rFonts w:ascii="Times New Roman" w:eastAsia="宋体"/>
                <w:color w:val="000000" w:themeColor="text1"/>
                <w:sz w:val="28"/>
                <w:szCs w:val="28"/>
                <w:lang w:eastAsia="zh-CN"/>
                <w14:textFill>
                  <w14:solidFill>
                    <w14:schemeClr w14:val="tx1"/>
                  </w14:solidFill>
                </w14:textFill>
              </w:rPr>
            </w:pPr>
            <w:r>
              <w:rPr>
                <w:rFonts w:ascii="Times New Roman" w:eastAsia="宋体"/>
                <w:color w:val="000000" w:themeColor="text1"/>
                <w:sz w:val="28"/>
                <w:szCs w:val="28"/>
                <w14:textFill>
                  <w14:solidFill>
                    <w14:schemeClr w14:val="tx1"/>
                  </w14:solidFill>
                </w14:textFill>
              </w:rPr>
              <w:t>②</w:t>
            </w:r>
            <w:r>
              <w:rPr>
                <w:rFonts w:ascii="Times New Roman" w:eastAsia="宋体"/>
                <w:color w:val="000000" w:themeColor="text1"/>
                <w:sz w:val="28"/>
                <w:szCs w:val="28"/>
                <w:lang w:eastAsia="zh-CN"/>
                <w14:textFill>
                  <w14:solidFill>
                    <w14:schemeClr w14:val="tx1"/>
                  </w14:solidFill>
                </w14:textFill>
              </w:rPr>
              <w:t>边角料</w:t>
            </w:r>
          </w:p>
          <w:p>
            <w:pPr>
              <w:widowControl/>
              <w:spacing w:line="360" w:lineRule="auto"/>
              <w:ind w:firstLine="560" w:firstLineChars="200"/>
              <w:jc w:val="both"/>
              <w:rPr>
                <w:rFonts w:ascii="Times New Roman" w:eastAsia="宋体"/>
                <w:color w:val="000000" w:themeColor="text1"/>
                <w:sz w:val="28"/>
                <w:szCs w:val="28"/>
                <w14:textFill>
                  <w14:solidFill>
                    <w14:schemeClr w14:val="tx1"/>
                  </w14:solidFill>
                </w14:textFill>
              </w:rPr>
            </w:pPr>
            <w:r>
              <w:rPr>
                <w:rFonts w:ascii="Times New Roman" w:eastAsia="宋体"/>
                <w:color w:val="000000" w:themeColor="text1"/>
                <w:sz w:val="28"/>
                <w:szCs w:val="28"/>
                <w:lang w:val="en-US" w:eastAsia="zh-CN"/>
                <w14:textFill>
                  <w14:solidFill>
                    <w14:schemeClr w14:val="tx1"/>
                  </w14:solidFill>
                </w14:textFill>
              </w:rPr>
              <w:t>边角料产生约为1.5t/a</w:t>
            </w:r>
            <w:r>
              <w:rPr>
                <w:rFonts w:ascii="Times New Roman" w:eastAsia="宋体"/>
                <w:color w:val="000000" w:themeColor="text1"/>
                <w:sz w:val="28"/>
                <w:szCs w:val="28"/>
                <w14:textFill>
                  <w14:solidFill>
                    <w14:schemeClr w14:val="tx1"/>
                  </w14:solidFill>
                </w14:textFill>
              </w:rPr>
              <w:t>，集中收集后出售给可回收利用单位。</w:t>
            </w:r>
          </w:p>
          <w:p>
            <w:pPr>
              <w:widowControl/>
              <w:spacing w:line="360" w:lineRule="auto"/>
              <w:ind w:firstLine="560" w:firstLineChars="200"/>
              <w:jc w:val="both"/>
              <w:rPr>
                <w:rFonts w:ascii="Times New Roman" w:eastAsia="宋体"/>
                <w:color w:val="000000" w:themeColor="text1"/>
                <w:sz w:val="28"/>
                <w:szCs w:val="28"/>
                <w:lang w:eastAsia="zh-CN"/>
                <w14:textFill>
                  <w14:solidFill>
                    <w14:schemeClr w14:val="tx1"/>
                  </w14:solidFill>
                </w14:textFill>
              </w:rPr>
            </w:pPr>
            <w:r>
              <w:rPr>
                <w:rFonts w:hint="eastAsia" w:ascii="Times New Roman" w:eastAsia="宋体"/>
                <w:color w:val="000000" w:themeColor="text1"/>
                <w:sz w:val="28"/>
                <w:szCs w:val="28"/>
                <w:lang w:eastAsia="zh-CN"/>
                <w14:textFill>
                  <w14:solidFill>
                    <w14:schemeClr w14:val="tx1"/>
                  </w14:solidFill>
                </w14:textFill>
              </w:rPr>
              <w:t>（</w:t>
            </w:r>
            <w:r>
              <w:rPr>
                <w:rFonts w:hint="eastAsia" w:ascii="Times New Roman" w:eastAsia="宋体"/>
                <w:color w:val="000000" w:themeColor="text1"/>
                <w:sz w:val="28"/>
                <w:szCs w:val="28"/>
                <w:lang w:val="en-US" w:eastAsia="zh-CN"/>
                <w14:textFill>
                  <w14:solidFill>
                    <w14:schemeClr w14:val="tx1"/>
                  </w14:solidFill>
                </w14:textFill>
              </w:rPr>
              <w:t>2</w:t>
            </w:r>
            <w:r>
              <w:rPr>
                <w:rFonts w:hint="eastAsia" w:ascii="Times New Roman" w:eastAsia="宋体"/>
                <w:color w:val="000000" w:themeColor="text1"/>
                <w:sz w:val="28"/>
                <w:szCs w:val="28"/>
                <w:lang w:eastAsia="zh-CN"/>
                <w14:textFill>
                  <w14:solidFill>
                    <w14:schemeClr w14:val="tx1"/>
                  </w14:solidFill>
                </w14:textFill>
              </w:rPr>
              <w:t>）</w:t>
            </w:r>
            <w:r>
              <w:rPr>
                <w:rFonts w:ascii="Times New Roman" w:eastAsia="宋体"/>
                <w:color w:val="000000" w:themeColor="text1"/>
                <w:sz w:val="28"/>
                <w:szCs w:val="28"/>
                <w:lang w:eastAsia="zh-CN"/>
                <w14:textFill>
                  <w14:solidFill>
                    <w14:schemeClr w14:val="tx1"/>
                  </w14:solidFill>
                </w14:textFill>
              </w:rPr>
              <w:t>危险废物</w:t>
            </w:r>
          </w:p>
          <w:p>
            <w:pPr>
              <w:widowControl/>
              <w:spacing w:line="360" w:lineRule="auto"/>
              <w:ind w:firstLine="560" w:firstLineChars="200"/>
              <w:jc w:val="both"/>
              <w:rPr>
                <w:rFonts w:ascii="Times New Roman" w:eastAsia="宋体"/>
                <w:color w:val="000000" w:themeColor="text1"/>
                <w:sz w:val="28"/>
                <w:szCs w:val="28"/>
                <w14:textFill>
                  <w14:solidFill>
                    <w14:schemeClr w14:val="tx1"/>
                  </w14:solidFill>
                </w14:textFill>
              </w:rPr>
            </w:pPr>
            <w:r>
              <w:rPr>
                <w:rFonts w:ascii="Times New Roman" w:eastAsia="宋体"/>
                <w:color w:val="000000" w:themeColor="text1"/>
                <w:sz w:val="28"/>
                <w:szCs w:val="28"/>
                <w14:textFill>
                  <w14:solidFill>
                    <w14:schemeClr w14:val="tx1"/>
                  </w14:solidFill>
                </w14:textFill>
              </w:rPr>
              <w:t>①</w:t>
            </w:r>
            <w:r>
              <w:rPr>
                <w:rFonts w:ascii="Times New Roman" w:eastAsia="宋体"/>
                <w:color w:val="000000" w:themeColor="text1"/>
                <w:sz w:val="28"/>
                <w:szCs w:val="28"/>
                <w:lang w:eastAsia="zh-CN"/>
                <w14:textFill>
                  <w14:solidFill>
                    <w14:schemeClr w14:val="tx1"/>
                  </w14:solidFill>
                </w14:textFill>
              </w:rPr>
              <w:t>焦油</w:t>
            </w:r>
          </w:p>
          <w:p>
            <w:pPr>
              <w:widowControl/>
              <w:spacing w:line="360" w:lineRule="auto"/>
              <w:ind w:firstLine="560" w:firstLineChars="200"/>
              <w:jc w:val="both"/>
              <w:rPr>
                <w:rFonts w:ascii="Times New Roman" w:eastAsia="宋体"/>
                <w:color w:val="000000" w:themeColor="text1"/>
                <w:sz w:val="24"/>
                <w:szCs w:val="24"/>
                <w:lang w:val="en-US" w:eastAsia="zh-CN"/>
                <w14:textFill>
                  <w14:solidFill>
                    <w14:schemeClr w14:val="tx1"/>
                  </w14:solidFill>
                </w14:textFill>
              </w:rPr>
            </w:pPr>
            <w:r>
              <w:rPr>
                <w:rFonts w:ascii="Times New Roman" w:eastAsia="宋体"/>
                <w:color w:val="000000" w:themeColor="text1"/>
                <w:sz w:val="28"/>
                <w:szCs w:val="28"/>
                <w:lang w:eastAsia="zh-CN"/>
                <w14:textFill>
                  <w14:solidFill>
                    <w14:schemeClr w14:val="tx1"/>
                  </w14:solidFill>
                </w14:textFill>
              </w:rPr>
              <w:t>项目沥</w:t>
            </w:r>
            <w:r>
              <w:rPr>
                <w:rFonts w:ascii="Times New Roman" w:eastAsia="宋体"/>
                <w:color w:val="000000" w:themeColor="text1"/>
                <w:sz w:val="24"/>
                <w:szCs w:val="24"/>
                <w:lang w:eastAsia="zh-CN"/>
                <w14:textFill>
                  <w14:solidFill>
                    <w14:schemeClr w14:val="tx1"/>
                  </w14:solidFill>
                </w14:textFill>
              </w:rPr>
              <w:t>青烟气废气处理系统产生的焦油</w:t>
            </w:r>
            <w:r>
              <w:rPr>
                <w:rFonts w:ascii="Times New Roman" w:eastAsia="宋体"/>
                <w:color w:val="000000" w:themeColor="text1"/>
                <w:sz w:val="24"/>
                <w:szCs w:val="24"/>
                <w:lang w:val="en-US" w:eastAsia="zh-CN"/>
                <w14:textFill>
                  <w14:solidFill>
                    <w14:schemeClr w14:val="tx1"/>
                  </w14:solidFill>
                </w14:textFill>
              </w:rPr>
              <w:t>量为6.0t/a，通过处理系统的外排管道，直接排入收油池内(收油池须按照规定进行严格的防渗处理，加盖密闭)进行回收利用不外排。</w:t>
            </w:r>
          </w:p>
          <w:p>
            <w:pPr>
              <w:widowControl/>
              <w:spacing w:line="360" w:lineRule="auto"/>
              <w:ind w:firstLine="480" w:firstLineChars="200"/>
              <w:jc w:val="both"/>
              <w:rPr>
                <w:rFonts w:ascii="Times New Roman" w:eastAsia="宋体"/>
                <w:color w:val="000000" w:themeColor="text1"/>
                <w:sz w:val="24"/>
                <w:szCs w:val="24"/>
                <w:lang w:val="en-US" w:eastAsia="zh-CN"/>
                <w14:textFill>
                  <w14:solidFill>
                    <w14:schemeClr w14:val="tx1"/>
                  </w14:solidFill>
                </w14:textFill>
              </w:rPr>
            </w:pPr>
            <w:r>
              <w:rPr>
                <w:rFonts w:ascii="Times New Roman" w:eastAsia="宋体"/>
                <w:color w:val="000000" w:themeColor="text1"/>
                <w:sz w:val="24"/>
                <w:szCs w:val="24"/>
                <w:lang w:eastAsia="zh-CN"/>
                <w14:textFill>
                  <w14:solidFill>
                    <w14:schemeClr w14:val="tx1"/>
                  </w14:solidFill>
                </w14:textFill>
              </w:rPr>
              <w:t>②废矿物油</w:t>
            </w:r>
          </w:p>
          <w:p>
            <w:pPr>
              <w:widowControl/>
              <w:spacing w:line="360" w:lineRule="auto"/>
              <w:ind w:firstLine="480" w:firstLineChars="200"/>
              <w:jc w:val="both"/>
              <w:rPr>
                <w:rFonts w:ascii="Times New Roman" w:eastAsia="宋体"/>
                <w:color w:val="000000" w:themeColor="text1"/>
                <w:sz w:val="24"/>
                <w:szCs w:val="24"/>
                <w:lang w:eastAsia="zh-CN"/>
                <w14:textFill>
                  <w14:solidFill>
                    <w14:schemeClr w14:val="tx1"/>
                  </w14:solidFill>
                </w14:textFill>
              </w:rPr>
            </w:pPr>
            <w:r>
              <w:rPr>
                <w:rFonts w:ascii="Times New Roman" w:eastAsia="宋体"/>
                <w:color w:val="000000" w:themeColor="text1"/>
                <w:sz w:val="24"/>
                <w:szCs w:val="24"/>
                <w14:textFill>
                  <w14:solidFill>
                    <w14:schemeClr w14:val="tx1"/>
                  </w14:solidFill>
                </w14:textFill>
              </w:rPr>
              <w:t>废矿物油产生量约为</w:t>
            </w:r>
            <w:r>
              <w:rPr>
                <w:rFonts w:ascii="Times New Roman" w:eastAsia="宋体"/>
                <w:color w:val="000000" w:themeColor="text1"/>
                <w:sz w:val="24"/>
                <w:szCs w:val="24"/>
                <w:lang w:val="en-US" w:eastAsia="zh-CN"/>
                <w14:textFill>
                  <w14:solidFill>
                    <w14:schemeClr w14:val="tx1"/>
                  </w14:solidFill>
                </w14:textFill>
              </w:rPr>
              <w:t>0.5t</w:t>
            </w:r>
            <w:r>
              <w:rPr>
                <w:rFonts w:ascii="Times New Roman" w:eastAsia="宋体"/>
                <w:color w:val="000000" w:themeColor="text1"/>
                <w:sz w:val="24"/>
                <w:szCs w:val="24"/>
                <w14:textFill>
                  <w14:solidFill>
                    <w14:schemeClr w14:val="tx1"/>
                  </w14:solidFill>
                </w14:textFill>
              </w:rPr>
              <w:t>/a，</w:t>
            </w:r>
            <w:r>
              <w:rPr>
                <w:rFonts w:ascii="Times New Roman" w:eastAsia="宋体"/>
                <w:color w:val="000000" w:themeColor="text1"/>
                <w:sz w:val="24"/>
                <w:szCs w:val="24"/>
                <w:lang w:eastAsia="zh-CN"/>
                <w14:textFill>
                  <w14:solidFill>
                    <w14:schemeClr w14:val="tx1"/>
                  </w14:solidFill>
                </w14:textFill>
              </w:rPr>
              <w:t>经收集后厂区内暂存于危险废物暂存间内，定期委托有资质单位处置。</w:t>
            </w:r>
          </w:p>
          <w:p>
            <w:pPr>
              <w:widowControl/>
              <w:spacing w:line="360" w:lineRule="auto"/>
              <w:ind w:firstLine="480" w:firstLineChars="200"/>
              <w:jc w:val="both"/>
              <w:rPr>
                <w:rFonts w:ascii="Times New Roman" w:eastAsia="宋体"/>
                <w:color w:val="000000" w:themeColor="text1"/>
                <w:sz w:val="24"/>
                <w:szCs w:val="24"/>
                <w:lang w:eastAsia="zh-CN"/>
                <w14:textFill>
                  <w14:solidFill>
                    <w14:schemeClr w14:val="tx1"/>
                  </w14:solidFill>
                </w14:textFill>
              </w:rPr>
            </w:pPr>
            <w:r>
              <w:rPr>
                <w:rFonts w:ascii="Times New Roman" w:eastAsia="宋体"/>
                <w:color w:val="000000" w:themeColor="text1"/>
                <w:sz w:val="24"/>
                <w:szCs w:val="24"/>
                <w:lang w:eastAsia="zh-CN"/>
                <w14:textFill>
                  <w14:solidFill>
                    <w14:schemeClr w14:val="tx1"/>
                  </w14:solidFill>
                </w14:textFill>
              </w:rPr>
              <w:t>③废导热油</w:t>
            </w:r>
          </w:p>
          <w:p>
            <w:pPr>
              <w:widowControl/>
              <w:spacing w:line="360" w:lineRule="auto"/>
              <w:ind w:firstLine="480" w:firstLineChars="200"/>
              <w:jc w:val="both"/>
              <w:rPr>
                <w:rFonts w:ascii="Times New Roman" w:eastAsia="宋体"/>
                <w:color w:val="000000" w:themeColor="text1"/>
                <w:sz w:val="24"/>
                <w:szCs w:val="24"/>
                <w:lang w:val="en-US" w:eastAsia="zh-CN"/>
                <w14:textFill>
                  <w14:solidFill>
                    <w14:schemeClr w14:val="tx1"/>
                  </w14:solidFill>
                </w14:textFill>
              </w:rPr>
            </w:pPr>
            <w:r>
              <w:rPr>
                <w:rFonts w:ascii="Times New Roman" w:eastAsia="宋体"/>
                <w:color w:val="000000" w:themeColor="text1"/>
                <w:sz w:val="24"/>
                <w:szCs w:val="24"/>
                <w:lang w:val="en-US" w:eastAsia="zh-CN"/>
                <w14:textFill>
                  <w14:solidFill>
                    <w14:schemeClr w14:val="tx1"/>
                  </w14:solidFill>
                </w14:textFill>
              </w:rPr>
              <w:t>本项目导热油使用量为2t，更换工作需依托专业的单位进行，更换的废液属于危险废物，但不在厂区内暂存，更换收集后直接交由有资质的单位进行处置。</w:t>
            </w:r>
          </w:p>
          <w:p>
            <w:pPr>
              <w:widowControl/>
              <w:spacing w:line="360" w:lineRule="auto"/>
              <w:ind w:firstLine="480" w:firstLineChars="200"/>
              <w:jc w:val="both"/>
              <w:rPr>
                <w:rFonts w:ascii="Times New Roman" w:eastAsia="宋体"/>
                <w:color w:val="000000" w:themeColor="text1"/>
                <w:sz w:val="24"/>
                <w:szCs w:val="24"/>
                <w:lang w:eastAsia="zh-CN"/>
                <w14:textFill>
                  <w14:solidFill>
                    <w14:schemeClr w14:val="tx1"/>
                  </w14:solidFill>
                </w14:textFill>
              </w:rPr>
            </w:pPr>
            <w:r>
              <w:rPr>
                <w:rFonts w:ascii="Times New Roman" w:eastAsia="宋体"/>
                <w:color w:val="000000" w:themeColor="text1"/>
                <w:sz w:val="24"/>
                <w:szCs w:val="24"/>
                <w14:textFill>
                  <w14:solidFill>
                    <w14:schemeClr w14:val="tx1"/>
                  </w14:solidFill>
                </w14:textFill>
              </w:rPr>
              <w:t>④</w:t>
            </w:r>
            <w:r>
              <w:rPr>
                <w:rFonts w:ascii="Times New Roman" w:eastAsia="宋体"/>
                <w:color w:val="000000" w:themeColor="text1"/>
                <w:sz w:val="24"/>
                <w:szCs w:val="24"/>
                <w:lang w:eastAsia="zh-CN"/>
                <w14:textFill>
                  <w14:solidFill>
                    <w14:schemeClr w14:val="tx1"/>
                  </w14:solidFill>
                </w14:textFill>
              </w:rPr>
              <w:t>废活性炭吸附饱和物</w:t>
            </w:r>
          </w:p>
          <w:p>
            <w:pPr>
              <w:widowControl/>
              <w:spacing w:line="360" w:lineRule="auto"/>
              <w:ind w:firstLine="480" w:firstLineChars="200"/>
              <w:jc w:val="both"/>
              <w:rPr>
                <w:rFonts w:ascii="Times New Roman" w:eastAsia="宋体"/>
                <w:color w:val="000000" w:themeColor="text1"/>
                <w:sz w:val="24"/>
                <w:szCs w:val="24"/>
                <w:lang w:val="en-US" w:eastAsia="zh-CN"/>
                <w14:textFill>
                  <w14:solidFill>
                    <w14:schemeClr w14:val="tx1"/>
                  </w14:solidFill>
                </w14:textFill>
              </w:rPr>
            </w:pPr>
            <w:r>
              <w:rPr>
                <w:rFonts w:ascii="Times New Roman" w:eastAsia="宋体"/>
                <w:color w:val="000000" w:themeColor="text1"/>
                <w:sz w:val="24"/>
                <w:szCs w:val="24"/>
                <w:lang w:val="en-US" w:eastAsia="zh-CN"/>
                <w14:textFill>
                  <w14:solidFill>
                    <w14:schemeClr w14:val="tx1"/>
                  </w14:solidFill>
                </w14:textFill>
              </w:rPr>
              <w:t>项目每年产生的废活性炭吸附饱和物量约为2.85t/a，</w:t>
            </w:r>
            <w:r>
              <w:rPr>
                <w:rFonts w:ascii="Times New Roman" w:eastAsia="宋体"/>
                <w:color w:val="000000" w:themeColor="text1"/>
                <w:sz w:val="24"/>
                <w:szCs w:val="24"/>
                <w:lang w:eastAsia="zh-CN"/>
                <w14:textFill>
                  <w14:solidFill>
                    <w14:schemeClr w14:val="tx1"/>
                  </w14:solidFill>
                </w14:textFill>
              </w:rPr>
              <w:t>，经收集后厂区内暂存于危险废物暂存间内，定期委托有资质的单位处置。</w:t>
            </w:r>
          </w:p>
          <w:p>
            <w:pPr>
              <w:widowControl/>
              <w:spacing w:line="360" w:lineRule="auto"/>
              <w:ind w:firstLine="480" w:firstLineChars="200"/>
              <w:jc w:val="both"/>
              <w:rPr>
                <w:rFonts w:ascii="Times New Roman" w:eastAsia="宋体"/>
                <w:color w:val="000000" w:themeColor="text1"/>
                <w:sz w:val="24"/>
                <w:szCs w:val="24"/>
                <w:lang w:val="en-US" w:eastAsia="zh-CN"/>
                <w14:textFill>
                  <w14:solidFill>
                    <w14:schemeClr w14:val="tx1"/>
                  </w14:solidFill>
                </w14:textFill>
              </w:rPr>
            </w:pPr>
            <w:r>
              <w:rPr>
                <w:rFonts w:ascii="Times New Roman" w:eastAsia="宋体"/>
                <w:color w:val="000000" w:themeColor="text1"/>
                <w:sz w:val="24"/>
                <w:szCs w:val="24"/>
                <w14:textFill>
                  <w14:solidFill>
                    <w14:schemeClr w14:val="tx1"/>
                  </w14:solidFill>
                </w14:textFill>
              </w:rPr>
              <w:t>⑤</w:t>
            </w:r>
            <w:r>
              <w:rPr>
                <w:rFonts w:ascii="Times New Roman" w:eastAsia="宋体"/>
                <w:color w:val="000000" w:themeColor="text1"/>
                <w:sz w:val="24"/>
                <w:szCs w:val="24"/>
                <w:lang w:eastAsia="zh-CN"/>
                <w14:textFill>
                  <w14:solidFill>
                    <w14:schemeClr w14:val="tx1"/>
                  </w14:solidFill>
                </w14:textFill>
              </w:rPr>
              <w:t>定期更换的</w:t>
            </w:r>
            <w:r>
              <w:rPr>
                <w:rFonts w:ascii="Times New Roman" w:eastAsia="宋体"/>
                <w:color w:val="000000" w:themeColor="text1"/>
                <w:sz w:val="24"/>
                <w:szCs w:val="24"/>
                <w:lang w:val="en-US" w:eastAsia="zh-CN"/>
                <w14:textFill>
                  <w14:solidFill>
                    <w14:schemeClr w14:val="tx1"/>
                  </w14:solidFill>
                </w14:textFill>
              </w:rPr>
              <w:t>UV废灯管</w:t>
            </w:r>
          </w:p>
          <w:p>
            <w:pPr>
              <w:widowControl/>
              <w:spacing w:line="360" w:lineRule="auto"/>
              <w:ind w:firstLine="480" w:firstLineChars="200"/>
              <w:jc w:val="both"/>
              <w:rPr>
                <w:rFonts w:ascii="Times New Roman" w:eastAsia="宋体"/>
                <w:color w:val="000000" w:themeColor="text1"/>
                <w:sz w:val="24"/>
                <w:szCs w:val="24"/>
                <w:lang w:eastAsia="zh-CN"/>
                <w14:textFill>
                  <w14:solidFill>
                    <w14:schemeClr w14:val="tx1"/>
                  </w14:solidFill>
                </w14:textFill>
              </w:rPr>
            </w:pPr>
            <w:r>
              <w:rPr>
                <w:rFonts w:hint="eastAsia" w:ascii="Times New Roman" w:eastAsia="宋体"/>
                <w:color w:val="000000" w:themeColor="text1"/>
                <w:sz w:val="24"/>
                <w:szCs w:val="24"/>
                <w:lang w:val="en-US" w:eastAsia="zh-CN"/>
                <w14:textFill>
                  <w14:solidFill>
                    <w14:schemeClr w14:val="tx1"/>
                  </w14:solidFill>
                </w14:textFill>
              </w:rPr>
              <w:t>UV废灯管</w:t>
            </w:r>
            <w:r>
              <w:rPr>
                <w:rFonts w:ascii="Times New Roman" w:eastAsia="宋体"/>
                <w:color w:val="000000" w:themeColor="text1"/>
                <w:sz w:val="24"/>
                <w:szCs w:val="24"/>
                <w:lang w:val="en-US" w:eastAsia="zh-CN"/>
                <w14:textFill>
                  <w14:solidFill>
                    <w14:schemeClr w14:val="tx1"/>
                  </w14:solidFill>
                </w14:textFill>
              </w:rPr>
              <w:t>产生量为0.1t/a，</w:t>
            </w:r>
            <w:r>
              <w:rPr>
                <w:rFonts w:ascii="Times New Roman" w:eastAsia="宋体"/>
                <w:color w:val="000000" w:themeColor="text1"/>
                <w:sz w:val="24"/>
                <w:szCs w:val="24"/>
                <w:lang w:eastAsia="zh-CN"/>
                <w14:textFill>
                  <w14:solidFill>
                    <w14:schemeClr w14:val="tx1"/>
                  </w14:solidFill>
                </w14:textFill>
              </w:rPr>
              <w:t>经收集后厂区内暂存于危险废物暂存间内，定期委托有资质的单位处置。</w:t>
            </w:r>
          </w:p>
          <w:p>
            <w:pPr>
              <w:widowControl/>
              <w:spacing w:line="360" w:lineRule="auto"/>
              <w:ind w:firstLine="480" w:firstLineChars="200"/>
              <w:jc w:val="both"/>
              <w:rPr>
                <w:rFonts w:ascii="Times New Roman" w:eastAsia="宋体"/>
                <w:color w:val="000000" w:themeColor="text1"/>
                <w:sz w:val="24"/>
                <w:szCs w:val="24"/>
                <w14:textFill>
                  <w14:solidFill>
                    <w14:schemeClr w14:val="tx1"/>
                  </w14:solidFill>
                </w14:textFill>
              </w:rPr>
            </w:pPr>
            <w:r>
              <w:rPr>
                <w:rFonts w:hint="eastAsia" w:ascii="Times New Roman" w:eastAsia="宋体"/>
                <w:color w:val="000000" w:themeColor="text1"/>
                <w:sz w:val="24"/>
                <w:szCs w:val="24"/>
                <w:lang w:eastAsia="zh-CN"/>
                <w14:textFill>
                  <w14:solidFill>
                    <w14:schemeClr w14:val="tx1"/>
                  </w14:solidFill>
                </w14:textFill>
              </w:rPr>
              <w:t>（</w:t>
            </w:r>
            <w:r>
              <w:rPr>
                <w:rFonts w:hint="eastAsia" w:ascii="Times New Roman" w:eastAsia="宋体"/>
                <w:color w:val="000000" w:themeColor="text1"/>
                <w:sz w:val="24"/>
                <w:szCs w:val="24"/>
                <w:lang w:val="en-US" w:eastAsia="zh-CN"/>
                <w14:textFill>
                  <w14:solidFill>
                    <w14:schemeClr w14:val="tx1"/>
                  </w14:solidFill>
                </w14:textFill>
              </w:rPr>
              <w:t>3</w:t>
            </w:r>
            <w:r>
              <w:rPr>
                <w:rFonts w:hint="eastAsia" w:ascii="Times New Roman" w:eastAsia="宋体"/>
                <w:color w:val="000000" w:themeColor="text1"/>
                <w:sz w:val="24"/>
                <w:szCs w:val="24"/>
                <w:lang w:eastAsia="zh-CN"/>
                <w14:textFill>
                  <w14:solidFill>
                    <w14:schemeClr w14:val="tx1"/>
                  </w14:solidFill>
                </w14:textFill>
              </w:rPr>
              <w:t>）</w:t>
            </w:r>
            <w:r>
              <w:rPr>
                <w:rFonts w:ascii="Times New Roman" w:eastAsia="宋体"/>
                <w:color w:val="000000" w:themeColor="text1"/>
                <w:sz w:val="24"/>
                <w:szCs w:val="24"/>
                <w14:textFill>
                  <w14:solidFill>
                    <w14:schemeClr w14:val="tx1"/>
                  </w14:solidFill>
                </w14:textFill>
              </w:rPr>
              <w:t>生活垃圾</w:t>
            </w:r>
          </w:p>
          <w:p>
            <w:pPr>
              <w:widowControl/>
              <w:spacing w:line="360" w:lineRule="auto"/>
              <w:ind w:firstLine="480" w:firstLineChars="200"/>
              <w:jc w:val="both"/>
              <w:rPr>
                <w:rFonts w:hint="eastAsia" w:eastAsia="楷体_GB2312"/>
                <w:color w:val="0000FF"/>
                <w:lang w:eastAsia="zh-CN"/>
              </w:rPr>
            </w:pPr>
            <w:r>
              <w:rPr>
                <w:rFonts w:ascii="Times New Roman" w:eastAsia="宋体"/>
                <w:color w:val="000000" w:themeColor="text1"/>
                <w:sz w:val="24"/>
                <w:szCs w:val="24"/>
                <w14:textFill>
                  <w14:solidFill>
                    <w14:schemeClr w14:val="tx1"/>
                  </w14:solidFill>
                </w14:textFill>
              </w:rPr>
              <w:t>生活垃圾产生量约为</w:t>
            </w:r>
            <w:r>
              <w:rPr>
                <w:rFonts w:ascii="Times New Roman" w:eastAsia="宋体"/>
                <w:color w:val="000000" w:themeColor="text1"/>
                <w:sz w:val="24"/>
                <w:szCs w:val="24"/>
                <w:lang w:val="en-US" w:eastAsia="zh-CN"/>
                <w14:textFill>
                  <w14:solidFill>
                    <w14:schemeClr w14:val="tx1"/>
                  </w14:solidFill>
                </w14:textFill>
              </w:rPr>
              <w:t>4.0</w:t>
            </w:r>
            <w:r>
              <w:rPr>
                <w:rFonts w:ascii="Times New Roman" w:eastAsia="宋体"/>
                <w:color w:val="000000" w:themeColor="text1"/>
                <w:sz w:val="24"/>
                <w:szCs w:val="24"/>
                <w14:textFill>
                  <w14:solidFill>
                    <w14:schemeClr w14:val="tx1"/>
                  </w14:solidFill>
                </w14:textFill>
              </w:rPr>
              <w:t>kg/d（即</w:t>
            </w:r>
            <w:r>
              <w:rPr>
                <w:rFonts w:ascii="Times New Roman" w:eastAsia="宋体"/>
                <w:color w:val="000000" w:themeColor="text1"/>
                <w:sz w:val="24"/>
                <w:szCs w:val="24"/>
                <w:lang w:val="en-US" w:eastAsia="zh-CN"/>
                <w14:textFill>
                  <w14:solidFill>
                    <w14:schemeClr w14:val="tx1"/>
                  </w14:solidFill>
                </w14:textFill>
              </w:rPr>
              <w:t>1.28</w:t>
            </w:r>
            <w:r>
              <w:rPr>
                <w:rFonts w:ascii="Times New Roman" w:eastAsia="宋体"/>
                <w:color w:val="000000" w:themeColor="text1"/>
                <w:sz w:val="24"/>
                <w:szCs w:val="24"/>
                <w14:textFill>
                  <w14:solidFill>
                    <w14:schemeClr w14:val="tx1"/>
                  </w14:solidFill>
                </w14:textFill>
              </w:rPr>
              <w:t>t/a）。生活垃圾集中收集，统一交由环卫部门清运处理。</w:t>
            </w:r>
            <w:r>
              <w:rPr>
                <w:rFonts w:hint="eastAsia" w:ascii="Times New Roman" w:eastAsia="宋体"/>
                <w:color w:val="000000" w:themeColor="text1"/>
                <w:sz w:val="24"/>
                <w:szCs w:val="24"/>
                <w:lang w:val="en-US" w:eastAsia="zh-CN"/>
                <w14:textFill>
                  <w14:solidFill>
                    <w14:schemeClr w14:val="tx1"/>
                  </w14:solidFill>
                </w14:textFill>
              </w:rPr>
              <w:t xml:space="preserve"> </w:t>
            </w: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7"/>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ascii="Times New Roman" w:hAnsi="Times New Roman" w:eastAsia="宋体" w:cs="Times New Roman"/>
                <w:b/>
                <w:bCs/>
                <w:color w:val="000000" w:themeColor="text1"/>
                <w:sz w:val="24"/>
                <w:szCs w:val="24"/>
                <w14:textFill>
                  <w14:solidFill>
                    <w14:schemeClr w14:val="tx1"/>
                  </w14:solidFill>
                </w14:textFill>
              </w:rPr>
              <w:t>环境影响报告表主要结论</w:t>
            </w:r>
          </w:p>
          <w:p>
            <w:pPr>
              <w:pStyle w:val="61"/>
              <w:pageBreakBefore w:val="0"/>
              <w:widowControl w:val="0"/>
              <w:kinsoku/>
              <w:wordWrap/>
              <w:overflowPunct/>
              <w:topLinePunct w:val="0"/>
              <w:autoSpaceDE/>
              <w:autoSpaceDN/>
              <w:bidi w:val="0"/>
              <w:adjustRightInd w:val="0"/>
              <w:snapToGrid w:val="0"/>
              <w:spacing w:beforeLines="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1项目概况和主要环境问题</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1.1项目概况</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福建鑫华毅建材有限公司</w:t>
            </w:r>
            <w:r>
              <w:rPr>
                <w:rFonts w:hint="default" w:ascii="Times New Roman" w:hAnsi="Times New Roman" w:eastAsia="宋体" w:cs="Times New Roman"/>
                <w:color w:val="000000"/>
                <w:sz w:val="24"/>
                <w:szCs w:val="24"/>
              </w:rPr>
              <w:t>位于</w:t>
            </w:r>
            <w:r>
              <w:rPr>
                <w:rFonts w:hint="default" w:ascii="Times New Roman" w:hAnsi="Times New Roman" w:eastAsia="宋体" w:cs="Times New Roman"/>
                <w:color w:val="000000"/>
                <w:sz w:val="24"/>
                <w:szCs w:val="24"/>
                <w:lang w:eastAsia="zh-CN"/>
              </w:rPr>
              <w:t>平和县文峰镇黄井村兴业路160号</w:t>
            </w:r>
            <w:r>
              <w:rPr>
                <w:rFonts w:hint="default" w:ascii="Times New Roman" w:hAnsi="Times New Roman" w:eastAsia="宋体" w:cs="Times New Roman"/>
                <w:color w:val="000000"/>
                <w:sz w:val="24"/>
                <w:szCs w:val="24"/>
              </w:rPr>
              <w:t>，主要从事</w:t>
            </w:r>
            <w:r>
              <w:rPr>
                <w:rFonts w:hint="default" w:ascii="Times New Roman" w:hAnsi="Times New Roman" w:eastAsia="宋体" w:cs="Times New Roman"/>
                <w:color w:val="000000"/>
                <w:sz w:val="24"/>
                <w:szCs w:val="24"/>
                <w:lang w:eastAsia="zh-CN"/>
              </w:rPr>
              <w:t>环保型弹性体沥青防水卷材</w:t>
            </w:r>
            <w:r>
              <w:rPr>
                <w:rFonts w:hint="default" w:ascii="Times New Roman" w:hAnsi="Times New Roman" w:eastAsia="宋体" w:cs="Times New Roman"/>
                <w:color w:val="000000"/>
                <w:sz w:val="24"/>
                <w:szCs w:val="24"/>
              </w:rPr>
              <w:t>，总投资5238万元。项目租赁</w:t>
            </w:r>
            <w:r>
              <w:rPr>
                <w:rFonts w:hint="default" w:ascii="Times New Roman" w:hAnsi="Times New Roman" w:eastAsia="宋体" w:cs="Times New Roman"/>
                <w:color w:val="000000"/>
                <w:sz w:val="24"/>
                <w:szCs w:val="24"/>
                <w:lang w:eastAsia="zh-CN"/>
              </w:rPr>
              <w:t>漳州市琪佳辉贸易有限公司3#厂房部分</w:t>
            </w:r>
            <w:r>
              <w:rPr>
                <w:rFonts w:hint="default" w:ascii="Times New Roman" w:hAnsi="Times New Roman" w:eastAsia="宋体" w:cs="Times New Roman"/>
                <w:color w:val="000000"/>
                <w:sz w:val="24"/>
                <w:szCs w:val="24"/>
              </w:rPr>
              <w:t>进行生产，租赁厂房面积</w:t>
            </w:r>
            <w:r>
              <w:rPr>
                <w:rFonts w:hint="default" w:ascii="Times New Roman" w:hAnsi="Times New Roman" w:eastAsia="宋体" w:cs="Times New Roman"/>
                <w:color w:val="000000"/>
                <w:sz w:val="24"/>
                <w:szCs w:val="24"/>
                <w:lang w:eastAsia="zh-CN"/>
              </w:rPr>
              <w:t>1350</w:t>
            </w:r>
            <w:r>
              <w:rPr>
                <w:rFonts w:hint="default" w:ascii="Times New Roman" w:hAnsi="Times New Roman" w:eastAsia="宋体" w:cs="Times New Roman"/>
                <w:color w:val="000000"/>
                <w:sz w:val="24"/>
                <w:szCs w:val="24"/>
              </w:rPr>
              <w:t>㎡，总建筑面积</w:t>
            </w:r>
            <w:r>
              <w:rPr>
                <w:rFonts w:hint="default" w:ascii="Times New Roman" w:hAnsi="Times New Roman" w:eastAsia="宋体" w:cs="Times New Roman"/>
                <w:color w:val="000000"/>
                <w:sz w:val="24"/>
                <w:szCs w:val="24"/>
                <w:lang w:eastAsia="zh-CN"/>
              </w:rPr>
              <w:t>1350</w:t>
            </w:r>
            <w:r>
              <w:rPr>
                <w:rFonts w:hint="default" w:ascii="Times New Roman" w:hAnsi="Times New Roman" w:eastAsia="宋体" w:cs="Times New Roman"/>
                <w:color w:val="000000"/>
                <w:sz w:val="24"/>
                <w:szCs w:val="24"/>
              </w:rPr>
              <w:t>㎡。项目建成后</w:t>
            </w:r>
            <w:r>
              <w:rPr>
                <w:rFonts w:hint="default" w:ascii="Times New Roman" w:hAnsi="Times New Roman" w:eastAsia="宋体" w:cs="Times New Roman"/>
                <w:color w:val="000000"/>
                <w:sz w:val="24"/>
                <w:szCs w:val="24"/>
                <w:lang w:eastAsia="zh-CN"/>
              </w:rPr>
              <w:t>年产1000万平方米环保型弹性体沥青防水卷材</w:t>
            </w:r>
            <w:r>
              <w:rPr>
                <w:rFonts w:hint="default" w:ascii="Times New Roman" w:hAnsi="Times New Roman" w:eastAsia="宋体" w:cs="Times New Roman"/>
                <w:color w:val="000000"/>
                <w:sz w:val="24"/>
                <w:szCs w:val="24"/>
              </w:rPr>
              <w:t>。</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1.2主要环境问题</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本项目主要环境问题是：废水主要为职工生活污水；废气主要为</w:t>
            </w:r>
            <w:r>
              <w:rPr>
                <w:rFonts w:hint="default" w:ascii="Times New Roman" w:hAnsi="Times New Roman" w:eastAsia="宋体" w:cs="Times New Roman"/>
                <w:color w:val="000000"/>
                <w:sz w:val="24"/>
                <w:szCs w:val="24"/>
                <w:lang w:eastAsia="zh-CN"/>
              </w:rPr>
              <w:t>产品生产过程中产生的沥青烟、苯并[a]芘、臭气浓度、非甲烷总烃、粉尘以及燃天然气锅炉产生的烟气</w:t>
            </w:r>
            <w:r>
              <w:rPr>
                <w:rFonts w:hint="default" w:ascii="Times New Roman" w:hAnsi="Times New Roman" w:eastAsia="宋体" w:cs="Times New Roman"/>
                <w:color w:val="000000"/>
                <w:sz w:val="24"/>
                <w:szCs w:val="24"/>
              </w:rPr>
              <w:t>；噪声主要为</w:t>
            </w:r>
            <w:r>
              <w:rPr>
                <w:rFonts w:hint="default" w:ascii="Times New Roman" w:hAnsi="Times New Roman" w:eastAsia="宋体" w:cs="Times New Roman"/>
                <w:color w:val="000000"/>
                <w:sz w:val="24"/>
                <w:szCs w:val="24"/>
                <w:lang w:eastAsia="zh-CN"/>
              </w:rPr>
              <w:t>冷却塔、</w:t>
            </w:r>
            <w:r>
              <w:rPr>
                <w:rFonts w:hint="default" w:ascii="Times New Roman" w:hAnsi="Times New Roman" w:eastAsia="宋体" w:cs="Times New Roman"/>
                <w:color w:val="000000"/>
                <w:sz w:val="24"/>
                <w:szCs w:val="24"/>
              </w:rPr>
              <w:t>风机等各种高噪声设备产生的噪声；固体废物主要为废包装材料</w:t>
            </w:r>
            <w:r>
              <w:rPr>
                <w:rFonts w:hint="default" w:ascii="Times New Roman" w:hAnsi="Times New Roman" w:eastAsia="宋体" w:cs="Times New Roman"/>
                <w:color w:val="000000"/>
                <w:sz w:val="24"/>
                <w:szCs w:val="24"/>
                <w:lang w:eastAsia="zh-CN"/>
              </w:rPr>
              <w:t>（废纸箱、废包装袋等包装物）</w:t>
            </w:r>
            <w:r>
              <w:rPr>
                <w:rFonts w:hint="default" w:ascii="Times New Roman" w:hAnsi="Times New Roman" w:eastAsia="宋体" w:cs="Times New Roman"/>
                <w:color w:val="000000"/>
                <w:sz w:val="24"/>
                <w:szCs w:val="24"/>
              </w:rPr>
              <w:t>以及员工生活垃圾。</w:t>
            </w:r>
          </w:p>
          <w:p>
            <w:pPr>
              <w:pStyle w:val="61"/>
              <w:pageBreakBefore w:val="0"/>
              <w:widowControl w:val="0"/>
              <w:kinsoku/>
              <w:wordWrap/>
              <w:overflowPunct/>
              <w:topLinePunct w:val="0"/>
              <w:autoSpaceDE/>
              <w:autoSpaceDN/>
              <w:bidi w:val="0"/>
              <w:adjustRightInd w:val="0"/>
              <w:snapToGrid w:val="0"/>
              <w:spacing w:beforeLines="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2工程环境影响评估结论</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2.1水环境影响结论</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（1）环境保护目标</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确保</w:t>
            </w:r>
            <w:r>
              <w:rPr>
                <w:rFonts w:hint="default" w:ascii="Times New Roman" w:hAnsi="Times New Roman" w:eastAsia="宋体" w:cs="Times New Roman"/>
                <w:bCs/>
                <w:color w:val="000000"/>
                <w:sz w:val="24"/>
                <w:szCs w:val="24"/>
              </w:rPr>
              <w:t>黄井溪</w:t>
            </w:r>
            <w:r>
              <w:rPr>
                <w:rFonts w:hint="default" w:ascii="Times New Roman" w:hAnsi="Times New Roman" w:eastAsia="宋体" w:cs="Times New Roman"/>
                <w:color w:val="000000"/>
                <w:sz w:val="24"/>
                <w:szCs w:val="24"/>
              </w:rPr>
              <w:t>水质状况符合GB3838-2002《地表水环境质量标准》Ⅲ类水质标准。</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（2）水环境现状</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根据2020年6月5日</w:t>
            </w:r>
            <w:r>
              <w:rPr>
                <w:rFonts w:hint="default" w:ascii="Times New Roman" w:hAnsi="Times New Roman" w:eastAsia="宋体" w:cs="Times New Roman"/>
                <w:color w:val="000000"/>
                <w:sz w:val="24"/>
                <w:szCs w:val="24"/>
                <w:lang w:eastAsia="zh-CN"/>
              </w:rPr>
              <w:t>漳州市生态环境局发布的《</w:t>
            </w:r>
            <w:r>
              <w:rPr>
                <w:rFonts w:hint="default" w:ascii="Times New Roman" w:hAnsi="Times New Roman" w:eastAsia="宋体" w:cs="Times New Roman"/>
                <w:color w:val="000000"/>
                <w:sz w:val="24"/>
                <w:szCs w:val="24"/>
              </w:rPr>
              <w:t>漳州市201</w:t>
            </w:r>
            <w:r>
              <w:rPr>
                <w:rFonts w:hint="default"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年环境质量状况统计公报》，</w:t>
            </w:r>
            <w:r>
              <w:rPr>
                <w:rFonts w:hint="default" w:ascii="Times New Roman" w:hAnsi="Times New Roman" w:eastAsia="宋体" w:cs="Times New Roman"/>
                <w:color w:val="000000"/>
                <w:sz w:val="24"/>
                <w:szCs w:val="24"/>
                <w:lang w:eastAsia="zh-CN"/>
              </w:rPr>
              <w:t>漳州市</w:t>
            </w:r>
            <w:r>
              <w:rPr>
                <w:rFonts w:hint="default" w:ascii="Times New Roman" w:hAnsi="Times New Roman" w:eastAsia="宋体" w:cs="Times New Roman"/>
                <w:color w:val="000000"/>
                <w:sz w:val="24"/>
                <w:szCs w:val="24"/>
              </w:rPr>
              <w:t>水环境质量总体保持优良，基本符合漳州市水环境功能区划要求。漳州市主要流域Ⅰ类～Ⅲ类水质比例为95.8％，同比上升4.1个百分点。九龙江流域漳州段Ⅰ类～Ⅲ类水质比例93.8%，同比上升6.2个百分点。其中西溪Ⅰ类～Ⅲ类水质比例为87.5%，同比上升12.5%，西溪的水质状况为良好；北溪达标率为100%,与上年持平，北溪的水质状况为优。漳江、东溪的Ⅰ类～Ⅲ类水质比例均为100％，同比持平。市区饮用水水源地水质全年达标率100%，各县（市、区）水源地水质全年达标率为100%，与上年同比持平。黄井溪属于九龙江西溪主流段，因此，项目附近水域黄井溪水环境质量符合《地表水环境质量标准》（GB 3838-2002）Ⅲ类水质标准。</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（3）水环境影响</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项目产生的污水依托</w:t>
            </w:r>
            <w:r>
              <w:rPr>
                <w:rFonts w:hint="default" w:ascii="Times New Roman" w:hAnsi="Times New Roman" w:eastAsia="宋体" w:cs="Times New Roman"/>
                <w:color w:val="000000"/>
                <w:sz w:val="24"/>
                <w:szCs w:val="24"/>
                <w:lang w:eastAsia="zh-CN"/>
              </w:rPr>
              <w:t>漳州市琪佳辉贸易有限公司</w:t>
            </w:r>
            <w:r>
              <w:rPr>
                <w:rFonts w:hint="default" w:ascii="Times New Roman" w:hAnsi="Times New Roman" w:eastAsia="宋体" w:cs="Times New Roman"/>
                <w:color w:val="000000"/>
                <w:sz w:val="24"/>
                <w:szCs w:val="24"/>
              </w:rPr>
              <w:t>三级化粪池治理后经工业区污水管网纳入黄井工业区污水处理厂处理，污水排放执行《污水综合排放标准》（GB8978-1996）中表4三级标准，氨氮排放浓度参照《污水排入城镇下水道水质标准》（GB</w:t>
            </w:r>
            <w:r>
              <w:rPr>
                <w:rStyle w:val="60"/>
                <w:rFonts w:hint="default" w:ascii="Times New Roman" w:hAnsi="Times New Roman" w:eastAsia="宋体" w:cs="Times New Roman"/>
                <w:color w:val="000000"/>
                <w:sz w:val="24"/>
                <w:szCs w:val="24"/>
              </w:rPr>
              <w:t>/T 31962-2015）表1B级标准</w:t>
            </w:r>
            <w:r>
              <w:rPr>
                <w:rFonts w:hint="default" w:ascii="Times New Roman" w:hAnsi="Times New Roman" w:eastAsia="宋体" w:cs="Times New Roman"/>
                <w:color w:val="000000"/>
                <w:sz w:val="24"/>
                <w:szCs w:val="24"/>
              </w:rPr>
              <w:t>，同时满足黄井工业区污水处理厂进水标准后再经工业区污水管网排入黄井工业区污水处理厂处理。</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（4）防治措施</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生活污水拟采用三级化粪池处理措施处理。</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2.2大气环境</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（1）环境保护目标</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确保项目所在区域大气环境符合《环境空气质量标准》（GB3095-1996）及其修改单中的二级标准。</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（2）大气环境现状</w:t>
            </w:r>
          </w:p>
          <w:p>
            <w:pPr>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根据漳州市人民政府网站公布的关于2020年6月各县（市、区）环境空气质量的排名情况</w:t>
            </w:r>
            <w:r>
              <w:rPr>
                <w:rFonts w:hint="default" w:ascii="Times New Roman" w:hAnsi="Times New Roman" w:eastAsia="宋体" w:cs="Times New Roman"/>
                <w:color w:val="000000"/>
                <w:kern w:val="0"/>
                <w:sz w:val="24"/>
                <w:szCs w:val="24"/>
              </w:rPr>
              <w:t>。项目区域环境空气质量良好，符合</w:t>
            </w:r>
            <w:r>
              <w:rPr>
                <w:rFonts w:hint="default" w:ascii="Times New Roman" w:hAnsi="Times New Roman" w:eastAsia="宋体" w:cs="Times New Roman"/>
                <w:color w:val="000000"/>
                <w:sz w:val="24"/>
                <w:szCs w:val="24"/>
              </w:rPr>
              <w:t>《环境空气质量标准》（GB3095-2012）及其修改单中二级标准。</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（3）大气环境影响分析</w:t>
            </w:r>
          </w:p>
          <w:p>
            <w:pPr>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根据表4-4，确定本项目大气环境影响等级为二级，根据《环境影响评价技术导则  大气环境》（HJ2.2-2018）8.1.2的有关规定，本项目废气排放均可达相应标准。</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（4）治理措施</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项目沥青烟气经</w:t>
            </w:r>
            <w:r>
              <w:rPr>
                <w:rFonts w:hint="default" w:ascii="Times New Roman" w:hAnsi="Times New Roman" w:eastAsia="宋体" w:cs="Times New Roman"/>
                <w:color w:val="000000"/>
                <w:sz w:val="24"/>
                <w:szCs w:val="24"/>
                <w:lang w:val="en-US"/>
              </w:rPr>
              <w:t>1套</w:t>
            </w:r>
            <w:r>
              <w:rPr>
                <w:rFonts w:hint="default" w:ascii="Times New Roman" w:hAnsi="Times New Roman" w:eastAsia="宋体" w:cs="Times New Roman"/>
                <w:color w:val="000000"/>
                <w:sz w:val="24"/>
                <w:szCs w:val="24"/>
              </w:rPr>
              <w:t>集气罩+喷淋塔+电捕焦油器+UV光氧催化+活性炭吸附处理+1根15m高的1#排气筒；滑石粉粉尘经</w:t>
            </w:r>
            <w:r>
              <w:rPr>
                <w:rFonts w:hint="default" w:ascii="Times New Roman" w:hAnsi="Times New Roman" w:eastAsia="宋体" w:cs="Times New Roman"/>
                <w:color w:val="000000"/>
                <w:sz w:val="24"/>
                <w:szCs w:val="24"/>
                <w:lang w:val="en-US"/>
              </w:rPr>
              <w:t>1套集气收集+仓顶除尘装置+1根15m高的2#排气筒；燃天然气导热油炉产生的烟气经1根8m高的烟囱排放</w:t>
            </w:r>
            <w:r>
              <w:rPr>
                <w:rFonts w:hint="default" w:ascii="Times New Roman" w:hAnsi="Times New Roman" w:eastAsia="宋体" w:cs="Times New Roman"/>
                <w:color w:val="000000"/>
                <w:sz w:val="24"/>
                <w:szCs w:val="24"/>
              </w:rPr>
              <w:t>。</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2.3声环境</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（1）环境保护目标</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确保项目所在区域声环境符合《声环境质量标准》（GB3096-2008）中的3类标准。</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（2）声环境现状</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根据现场勘察，区域声环境质量现状较好，区域环境噪声现状符合《声环境质量标准》GB3096-2008中3类标准。</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（3）声环境影响分析</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项目噪声污染源主要为厂房内</w:t>
            </w:r>
            <w:r>
              <w:rPr>
                <w:rFonts w:hint="default" w:ascii="Times New Roman" w:hAnsi="Times New Roman" w:eastAsia="宋体" w:cs="Times New Roman"/>
                <w:color w:val="000000"/>
                <w:sz w:val="24"/>
                <w:szCs w:val="24"/>
                <w:lang w:eastAsia="zh-CN"/>
              </w:rPr>
              <w:t>冷却塔、风机</w:t>
            </w:r>
            <w:r>
              <w:rPr>
                <w:rFonts w:hint="default" w:ascii="Times New Roman" w:hAnsi="Times New Roman" w:eastAsia="宋体" w:cs="Times New Roman"/>
                <w:color w:val="000000"/>
                <w:sz w:val="24"/>
                <w:szCs w:val="24"/>
              </w:rPr>
              <w:t>等各种高噪声设备产生的噪声，为间歇性，类比分析，其噪声源强约为</w:t>
            </w:r>
            <w:r>
              <w:rPr>
                <w:rFonts w:hint="default"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90</w:t>
            </w:r>
            <w:r>
              <w:rPr>
                <w:rFonts w:hint="default" w:ascii="Times New Roman" w:hAnsi="Times New Roman" w:eastAsia="宋体" w:cs="Times New Roman"/>
                <w:color w:val="000000"/>
                <w:sz w:val="24"/>
                <w:szCs w:val="24"/>
              </w:rPr>
              <w:t>dB(A)。噪声经过有效的隔声及空间自然衰减</w:t>
            </w:r>
            <w:r>
              <w:rPr>
                <w:rFonts w:hint="default" w:ascii="Times New Roman" w:hAnsi="Times New Roman" w:eastAsia="宋体" w:cs="Times New Roman"/>
                <w:color w:val="000000"/>
                <w:sz w:val="24"/>
                <w:szCs w:val="24"/>
                <w:lang w:eastAsia="zh-CN"/>
              </w:rPr>
              <w:t>以及设置单独的冷却塔间和空压机房</w:t>
            </w:r>
            <w:r>
              <w:rPr>
                <w:rFonts w:hint="default" w:ascii="Times New Roman" w:hAnsi="Times New Roman" w:eastAsia="宋体" w:cs="Times New Roman"/>
                <w:color w:val="000000"/>
                <w:sz w:val="24"/>
                <w:szCs w:val="24"/>
              </w:rPr>
              <w:t>后，昼间厂界噪声可符合《工业企业厂界环境噪声排放标准》（GB12348-2008）3类标准，西北侧庵仔下居住区居环境噪声可符合《声环境质量标准》（GB3096-2008）2类标准。项目投入正常运营后产生的噪声对西北侧庵仔下居住区及周围声环境影响不大。</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（4）治理措施</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项目生产噪声可采取多种处理方式联合降噪。合理布置噪声源，利用减振、隔声等措施进行处理。</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2.4固体废物</w:t>
            </w:r>
          </w:p>
          <w:p>
            <w:pPr>
              <w:pStyle w:val="59"/>
              <w:pageBreakBefore w:val="0"/>
              <w:widowControl w:val="0"/>
              <w:kinsoku/>
              <w:wordWrap/>
              <w:overflowPunct/>
              <w:topLinePunct w:val="0"/>
              <w:autoSpaceDE/>
              <w:autoSpaceDN/>
              <w:bidi w:val="0"/>
              <w:adjustRightInd w:val="0"/>
              <w:snapToGrid w:val="0"/>
              <w:ind w:right="0" w:rightChars="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项目生产过程中产生的一般工业固废主要有</w:t>
            </w:r>
            <w:r>
              <w:rPr>
                <w:rFonts w:hint="default" w:ascii="Times New Roman" w:hAnsi="Times New Roman" w:eastAsia="宋体" w:cs="Times New Roman"/>
                <w:color w:val="000000"/>
                <w:sz w:val="24"/>
                <w:szCs w:val="24"/>
                <w:lang w:eastAsia="zh-CN"/>
              </w:rPr>
              <w:t>废包装材料（废纸箱、废包装袋等包装物）、边角料、焦油、废矿物油、废活性炭吸附饱和物、UV光氧废灯管、导热油等以及员工生活垃圾</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废包装材料（废纸箱、废包装袋等包装物）、边角料等</w:t>
            </w:r>
            <w:r>
              <w:rPr>
                <w:rFonts w:hint="default" w:ascii="Times New Roman" w:hAnsi="Times New Roman" w:eastAsia="宋体" w:cs="Times New Roman"/>
                <w:color w:val="000000"/>
                <w:sz w:val="24"/>
                <w:szCs w:val="24"/>
              </w:rPr>
              <w:t>集中收集后出售给可回收利用单位回收利用；</w:t>
            </w:r>
            <w:r>
              <w:rPr>
                <w:rFonts w:hint="default" w:ascii="Times New Roman" w:hAnsi="Times New Roman" w:eastAsia="宋体" w:cs="Times New Roman"/>
                <w:color w:val="000000"/>
                <w:sz w:val="24"/>
                <w:szCs w:val="24"/>
                <w:lang w:eastAsia="zh-CN"/>
              </w:rPr>
              <w:t>危险废物中焦油</w:t>
            </w:r>
            <w:r>
              <w:rPr>
                <w:rFonts w:hint="default" w:ascii="Times New Roman" w:hAnsi="Times New Roman" w:eastAsia="宋体" w:cs="Times New Roman"/>
                <w:snapToGrid w:val="0"/>
                <w:color w:val="000000"/>
                <w:sz w:val="24"/>
                <w:szCs w:val="24"/>
                <w:lang w:val="en-US" w:eastAsia="zh-CN"/>
              </w:rPr>
              <w:t>收集至焦油收集池内，回收利用</w:t>
            </w:r>
            <w:r>
              <w:rPr>
                <w:rFonts w:hint="default" w:ascii="Times New Roman" w:hAnsi="Times New Roman" w:eastAsia="宋体" w:cs="Times New Roman"/>
                <w:color w:val="000000"/>
                <w:sz w:val="24"/>
                <w:szCs w:val="24"/>
                <w:lang w:eastAsia="zh-CN"/>
              </w:rPr>
              <w:t>、废矿物油</w:t>
            </w:r>
            <w:r>
              <w:rPr>
                <w:rFonts w:hint="default" w:ascii="Times New Roman" w:hAnsi="Times New Roman" w:eastAsia="宋体" w:cs="Times New Roman"/>
                <w:color w:val="000000"/>
                <w:sz w:val="24"/>
                <w:szCs w:val="24"/>
                <w:lang w:val="en-US" w:eastAsia="zh-CN"/>
              </w:rPr>
              <w:t>更换工作需依托专业的单位进行，</w:t>
            </w:r>
            <w:r>
              <w:rPr>
                <w:rFonts w:hint="default" w:ascii="Times New Roman" w:hAnsi="Times New Roman" w:eastAsia="宋体" w:cs="Times New Roman"/>
                <w:snapToGrid w:val="0"/>
                <w:color w:val="000000"/>
                <w:sz w:val="24"/>
                <w:szCs w:val="24"/>
                <w:lang w:val="en-US" w:eastAsia="zh-CN"/>
              </w:rPr>
              <w:t>更换收集后直接交由有资质的单位进行处置、</w:t>
            </w:r>
            <w:r>
              <w:rPr>
                <w:rFonts w:hint="default" w:ascii="Times New Roman" w:hAnsi="Times New Roman" w:eastAsia="宋体" w:cs="Times New Roman"/>
                <w:color w:val="000000"/>
                <w:sz w:val="24"/>
                <w:szCs w:val="24"/>
                <w:lang w:eastAsia="zh-CN"/>
              </w:rPr>
              <w:t>废矿物油、UV光氧废灯管、废活性炭吸附饱和物分类收集暂存于危废暂存间，委托</w:t>
            </w:r>
            <w:r>
              <w:rPr>
                <w:rFonts w:hint="default" w:ascii="Times New Roman" w:hAnsi="Times New Roman" w:eastAsia="宋体" w:cs="Times New Roman"/>
                <w:color w:val="000000"/>
                <w:sz w:val="24"/>
                <w:szCs w:val="24"/>
              </w:rPr>
              <w:t>资质的单位</w:t>
            </w:r>
            <w:r>
              <w:rPr>
                <w:rFonts w:hint="default" w:ascii="Times New Roman" w:hAnsi="Times New Roman" w:eastAsia="宋体" w:cs="Times New Roman"/>
                <w:color w:val="000000"/>
                <w:sz w:val="24"/>
                <w:szCs w:val="24"/>
                <w:lang w:eastAsia="zh-CN"/>
              </w:rPr>
              <w:t>定期外运处置；</w:t>
            </w:r>
            <w:r>
              <w:rPr>
                <w:rFonts w:hint="default" w:ascii="Times New Roman" w:hAnsi="Times New Roman" w:eastAsia="宋体" w:cs="Times New Roman"/>
                <w:color w:val="000000"/>
                <w:sz w:val="24"/>
                <w:szCs w:val="24"/>
              </w:rPr>
              <w:t>职工生活垃圾由环卫部门及时清运处理。项目固体废物均可得到及时、有效清理，基本不会对环境产生影响。</w:t>
            </w:r>
          </w:p>
          <w:p>
            <w:pPr>
              <w:pStyle w:val="61"/>
              <w:pageBreakBefore w:val="0"/>
              <w:widowControl w:val="0"/>
              <w:kinsoku/>
              <w:wordWrap/>
              <w:overflowPunct/>
              <w:topLinePunct w:val="0"/>
              <w:autoSpaceDE/>
              <w:autoSpaceDN/>
              <w:bidi w:val="0"/>
              <w:adjustRightInd w:val="0"/>
              <w:snapToGrid w:val="0"/>
              <w:spacing w:beforeLines="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3环境可行性结论</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3.1产业政策分析结论</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该项目主要从事环保型弹性体沥青防水卷材，生产规模为年产1000万平方米环保型弹性体沥青防水卷材，对照《产业结构调整指导目录（201</w:t>
            </w:r>
            <w:r>
              <w:rPr>
                <w:rFonts w:hint="default" w:ascii="Times New Roman" w:hAnsi="Times New Roman" w:eastAsia="宋体" w:cs="Times New Roman"/>
                <w:color w:val="000000"/>
                <w:sz w:val="24"/>
                <w:szCs w:val="24"/>
                <w:lang w:eastAsia="zh-CN"/>
              </w:rPr>
              <w:t>9</w:t>
            </w:r>
            <w:r>
              <w:rPr>
                <w:rFonts w:hint="default" w:ascii="Times New Roman" w:hAnsi="Times New Roman" w:eastAsia="宋体" w:cs="Times New Roman"/>
                <w:color w:val="000000"/>
                <w:sz w:val="24"/>
                <w:szCs w:val="24"/>
              </w:rPr>
              <w:t>年本）》，项目不属于《产业结构调整指导目录（201</w:t>
            </w:r>
            <w:r>
              <w:rPr>
                <w:rFonts w:hint="default" w:ascii="Times New Roman" w:hAnsi="Times New Roman" w:eastAsia="宋体" w:cs="Times New Roman"/>
                <w:color w:val="000000"/>
                <w:sz w:val="24"/>
                <w:szCs w:val="24"/>
                <w:lang w:eastAsia="zh-CN"/>
              </w:rPr>
              <w:t>9</w:t>
            </w:r>
            <w:r>
              <w:rPr>
                <w:rFonts w:hint="default" w:ascii="Times New Roman" w:hAnsi="Times New Roman" w:eastAsia="宋体" w:cs="Times New Roman"/>
                <w:color w:val="000000"/>
                <w:sz w:val="24"/>
                <w:szCs w:val="24"/>
              </w:rPr>
              <w:t>年本）》中的限制及淘汰类项目。</w:t>
            </w:r>
            <w:r>
              <w:rPr>
                <w:rFonts w:hint="default" w:ascii="Times New Roman" w:hAnsi="Times New Roman" w:eastAsia="宋体" w:cs="Times New Roman"/>
                <w:color w:val="000000"/>
                <w:spacing w:val="2"/>
                <w:sz w:val="24"/>
                <w:szCs w:val="24"/>
              </w:rPr>
              <w:t>项目经平和县发展和改革局</w:t>
            </w:r>
            <w:r>
              <w:rPr>
                <w:rFonts w:hint="default" w:ascii="Times New Roman" w:hAnsi="Times New Roman" w:eastAsia="宋体" w:cs="Times New Roman"/>
                <w:color w:val="000000"/>
                <w:sz w:val="24"/>
                <w:szCs w:val="24"/>
              </w:rPr>
              <w:t>备案（备案号：闽发改备[2020]E100146）</w:t>
            </w:r>
            <w:r>
              <w:rPr>
                <w:rFonts w:hint="default" w:ascii="Times New Roman" w:hAnsi="Times New Roman" w:eastAsia="宋体" w:cs="Times New Roman"/>
                <w:color w:val="000000"/>
                <w:spacing w:val="2"/>
                <w:sz w:val="24"/>
                <w:szCs w:val="24"/>
              </w:rPr>
              <w:t>，符合平和县经济发展的要求，</w:t>
            </w:r>
            <w:r>
              <w:rPr>
                <w:rFonts w:hint="default" w:ascii="Times New Roman" w:hAnsi="Times New Roman" w:eastAsia="宋体" w:cs="Times New Roman"/>
                <w:color w:val="000000"/>
                <w:sz w:val="24"/>
                <w:szCs w:val="24"/>
              </w:rPr>
              <w:t>符合产业政策。</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3.2选址合理性分析结论</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选址于平和县文峰镇黄井村兴业路160号，符合当地土地利用规划；符合环境功能区划要求；项目各污染物经治理达标后排放，不会对周边环境产生不良影响，与周边环境相容，同时厂址处交通、供电、供水和生活条件方便，因此项目的选址合理可行。</w:t>
            </w:r>
          </w:p>
          <w:p>
            <w:pPr>
              <w:pStyle w:val="70"/>
              <w:pageBreakBefore w:val="0"/>
              <w:widowControl w:val="0"/>
              <w:kinsoku/>
              <w:wordWrap/>
              <w:overflowPunct/>
              <w:topLinePunct w:val="0"/>
              <w:autoSpaceDE/>
              <w:autoSpaceDN/>
              <w:bidi w:val="0"/>
              <w:adjustRightInd w:val="0"/>
              <w:snapToGrid w:val="0"/>
              <w:spacing w:before="0" w:beforeLines="0" w:after="0" w:afterLines="0"/>
              <w:ind w:right="0" w:rightChars="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3.3达标排放可行性结论</w:t>
            </w:r>
          </w:p>
          <w:p>
            <w:pPr>
              <w:pStyle w:val="44"/>
              <w:pageBreakBefore w:val="0"/>
              <w:kinsoku/>
              <w:wordWrap/>
              <w:overflowPunct/>
              <w:topLinePunct w:val="0"/>
              <w:autoSpaceDE/>
              <w:autoSpaceDN/>
              <w:bidi w:val="0"/>
              <w:adjustRightInd w:val="0"/>
              <w:snapToGrid w:val="0"/>
              <w:ind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sz w:val="24"/>
                <w:szCs w:val="24"/>
              </w:rPr>
              <w:t>项目环保投资额为</w:t>
            </w:r>
            <w:r>
              <w:rPr>
                <w:rFonts w:hint="default" w:ascii="Times New Roman" w:hAnsi="Times New Roman" w:eastAsia="宋体" w:cs="Times New Roman"/>
                <w:color w:val="000000"/>
                <w:sz w:val="24"/>
                <w:szCs w:val="24"/>
                <w:lang w:val="en-US"/>
              </w:rPr>
              <w:t>53</w:t>
            </w:r>
            <w:r>
              <w:rPr>
                <w:rFonts w:hint="default" w:ascii="Times New Roman" w:hAnsi="Times New Roman" w:eastAsia="宋体" w:cs="Times New Roman"/>
                <w:color w:val="000000"/>
                <w:sz w:val="24"/>
                <w:szCs w:val="24"/>
              </w:rPr>
              <w:t>万</w:t>
            </w:r>
            <w:r>
              <w:rPr>
                <w:rFonts w:hint="default" w:ascii="Times New Roman" w:hAnsi="Times New Roman" w:eastAsia="宋体" w:cs="Times New Roman"/>
                <w:color w:val="000000" w:themeColor="text1"/>
                <w:sz w:val="24"/>
                <w:szCs w:val="24"/>
                <w14:textFill>
                  <w14:solidFill>
                    <w14:schemeClr w14:val="tx1"/>
                  </w14:solidFill>
                </w14:textFill>
              </w:rPr>
              <w:t>元，占总投资</w:t>
            </w:r>
            <w:r>
              <w:rPr>
                <w:rFonts w:hint="default" w:ascii="Times New Roman" w:hAnsi="Times New Roman" w:eastAsia="宋体" w:cs="Times New Roman"/>
                <w:color w:val="000000" w:themeColor="text1"/>
                <w:sz w:val="24"/>
                <w:szCs w:val="24"/>
                <w:lang w:val="en-US"/>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%。项目废气、废水、噪声及固体废物经采取有效的污染防治措施，各污染物均可实现达标排放。</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eastAsia="zh-CN"/>
              </w:rPr>
            </w:pPr>
            <w:r>
              <w:rPr>
                <w:rFonts w:hint="default" w:ascii="Times New Roman" w:hAnsi="Times New Roman" w:eastAsia="宋体" w:cs="Times New Roman"/>
                <w:sz w:val="24"/>
                <w:szCs w:val="32"/>
              </w:rPr>
              <w:t>福建鑫华毅建材有限公司年产1000万平方米环保型弹性体沥青防水卷材项目位于平和县黄井工业区，总投资5238万元租赁漳州市琪佳辉资易有限公司3#</w:t>
            </w:r>
            <w:r>
              <w:rPr>
                <w:rFonts w:hint="default" w:ascii="Times New Roman" w:hAnsi="Times New Roman" w:eastAsia="宋体" w:cs="Times New Roman"/>
                <w:sz w:val="24"/>
                <w:szCs w:val="32"/>
                <w:lang w:val="en-US" w:eastAsia="zh-CN"/>
              </w:rPr>
              <w:t>厂</w:t>
            </w:r>
            <w:r>
              <w:rPr>
                <w:rFonts w:hint="default" w:ascii="Times New Roman" w:hAnsi="Times New Roman" w:eastAsia="宋体" w:cs="Times New Roman"/>
                <w:sz w:val="24"/>
                <w:szCs w:val="32"/>
              </w:rPr>
              <w:t>房，租赁广房面积1350m</w:t>
            </w:r>
            <w:r>
              <w:rPr>
                <w:rFonts w:hint="default" w:ascii="Times New Roman" w:hAnsi="Times New Roman" w:eastAsia="宋体" w:cs="Times New Roman"/>
                <w:sz w:val="24"/>
                <w:szCs w:val="32"/>
                <w:lang w:val="en-US" w:eastAsia="zh-CN"/>
              </w:rPr>
              <w:t>2</w:t>
            </w:r>
            <w:r>
              <w:rPr>
                <w:rFonts w:hint="default" w:ascii="Times New Roman" w:hAnsi="Times New Roman" w:eastAsia="宋体" w:cs="Times New Roman"/>
                <w:sz w:val="24"/>
                <w:szCs w:val="32"/>
              </w:rPr>
              <w:t>，年产环保型弹性体沥青防水卷材1000万平方米。经研究，在全面执行本报告表提出的生产工艺及各项环保对策措施，确保污染物稳定达标排放的前提下，原则同意该项目环境影响报告表的评价内容和结论，同时要求</w:t>
            </w:r>
            <w:r>
              <w:rPr>
                <w:rFonts w:hint="default" w:ascii="Times New Roman" w:hAnsi="Times New Roman" w:eastAsia="宋体" w:cs="Times New Roman"/>
                <w:sz w:val="24"/>
                <w:szCs w:val="32"/>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项目生产过程中无生产废水外排。生活污水经三级化粪池处理后排入黄井工业园污水处理厂处理，排放执行《污水综合排放标准》(GB8978-1996)表4中三级标准(氨参照《污水排入城镇下水道水质标准》(GB/T31962-2015)表1B级排放标准)</w:t>
            </w:r>
            <w:r>
              <w:rPr>
                <w:rFonts w:hint="default" w:ascii="Times New Roman" w:hAnsi="Times New Roman" w:eastAsia="宋体" w:cs="Times New Roman"/>
                <w:sz w:val="24"/>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eastAsia="zh-CN"/>
              </w:rPr>
            </w:pPr>
            <w:r>
              <w:rPr>
                <w:rFonts w:hint="default" w:ascii="Times New Roman" w:hAnsi="Times New Roman" w:eastAsia="宋体" w:cs="Times New Roman"/>
                <w:sz w:val="24"/>
                <w:szCs w:val="32"/>
              </w:rPr>
              <w:t>2、项目沥青烟气配套集气罩+喷淋塔+电捕焦油器+UV 光氧催化+活性炭吸附处理后通过15m高排气筒排放，其中沥青烟、苯并[a]花排放执行《大气污染物综合排放标准》(GB16297-1996)中表 2二级标准，非甲烷总烃排放执行《工业企业挥发性有机物排放标准》(DB35/1782-2018)中表 1标准限值，臭气浓度执行《恶臭污染物排放标准》(GB14554-93)中表2恶臭污染物排放标准和表1恶污染物厂界标准值，滑石粉粉经除尘装置处理后通过 15m 高排气筒排放，排放执行《大气污染物综合排放标准》(GB16297-1996)中表 2二级标准;锅炉废气排放执行《锅炉大气污染物排放标准》(GB13271-2014)表2燃气锅炉大气污染物排放标准</w:t>
            </w:r>
            <w:r>
              <w:rPr>
                <w:rFonts w:hint="default" w:ascii="Times New Roman" w:hAnsi="Times New Roman" w:eastAsia="宋体" w:cs="Times New Roman"/>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3、厂界噪声排放执行《工业企业厂界环境噪声排放标准》(GB12348-2008)3类标准。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4、固体废物应按国家有关规定妥善处置，防止二次污染。一般固废按照《一般工业固体废物贮存、处置场污染控制标准》(GB18599-2001)及其修改单要求收集处置:危险废物严格按《危险废物贮存污染控制标准》(GB18597-2001)及修改单的要求进行贮存，并定期委托有资质单位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5、主要污染物总量控制指标为:二氧化硫0.152吨/年、氮氧化物0.711吨/年挥发性有机物 0.1952 吨/年。挥发性有机物按 1.5 倍区域削减量替代，替代削减量为挥发性有机物 0.2928 吨/年，由《漳州市平和环境保护局关于第一批挥发性有机物(VOCs)储备情况的通知》现役源的削减量替代。在排污许可证申领前需申购的主要污染物总量指标为:二氧化硫 0.152 吨/年，氮氧化物 0.711 吨/年。你司应严格履行承诺，通过海峡股权交易中心购入总量控制机构出具的总量控制指标数量，依法申领排污许可证后，该项目方可投入生产。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6、项目建设的性质、规模、地点、采用的生产工艺或者防治污染、防止生态破坏的措施发生重大变动，必须向我局重新报批该项目环境影响评价文件。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7、严格执行环保“三同时”制度，在项目建成后，应严格按照《建设项目环境保护管理条例》要求，及时开展竣工环境保护验收等各项环保手续。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8、请你单位在收到批复后一个月内将经批复的环境影响报告表，在工程开工前一个月内将项目建设计划进度表、施工期污染防治措施实施计划、污染监测计划和方案等有关材料上传福建省生态环境亲清服务平台，并接受平和生态环境保护综合执法大队监督检查。</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三</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、环境影响报告表及批复意见落实情况调查</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 环境影响报告表批复意见落实一览表</w:t>
            </w:r>
          </w:p>
          <w:tbl>
            <w:tblPr>
              <w:tblStyle w:val="27"/>
              <w:tblW w:w="863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884"/>
              <w:gridCol w:w="33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79"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批复情况</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实际执行情况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生产过程中无生产废水外排。生活污水经三级化粪池处理后排入黄井工业园污水处理厂处理，排放执行《污水综合排放标准》(GB8978-1996)表4中三级标准(氨参照《污水排入城镇下水道水质标准》(GB/T31962-2015)表1B级排放标准)</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t>生活废水依托漳州市琪佳辉贸易有限公司已建化粪池处理后接入市政污水管网</w:t>
                  </w:r>
                  <w:r>
                    <w:rPr>
                      <w:rFonts w:hint="eastAsia" w:ascii="Times New Roman" w:hAnsi="Times New Roman" w:eastAsia="宋体" w:cs="Times New Roman"/>
                      <w:color w:val="000000" w:themeColor="text1"/>
                      <w:spacing w:val="0"/>
                      <w:kern w:val="0"/>
                      <w:sz w:val="21"/>
                      <w:szCs w:val="21"/>
                      <w:lang w:val="zh-CN" w:eastAsia="zh-CN" w:bidi="ar-SA"/>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项目沥青烟气配套集气罩+喷淋塔+电捕焦油器+UV 光氧催化+活性炭吸附处理后通过15m高排气筒排放，其中沥青烟、苯并[a]花排放执行《大气污染物综合排放标准》(GB16297-1996)中表 2二级标准，非甲烷总烃排放执行《工业企业挥发性有机物排放标准》(DB35/1782-2018)中表 1标准限值，臭气浓度执行《恶臭污染物排放标准》(GB14554-93)中表2恶臭污染物排放标准和表1恶污染物厂界标准值，滑石粉粉经除尘装置处理后通过 15m 高排气筒排放，排放执行《大气污染物综合排放标准》(GB16297-1996)中表 2二级标准;锅炉废气排放执行《锅炉大气污染物排放标准》(GB13271-2014)表2燃气锅炉大气污染物排放标准</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沥青废气：项目生产过程中沥青改性由集气管道收集沥青烟气，氧化、混合过程中产生的沥青烟经集气收集后统一通过“喷淋塔+电捕焦油器+UV光氧催化+活性炭吸附装置”废气处理设施处理后引至1根15m高的排气筒排放。滑石粉装卸废气：粉罐顶自带仓顶除尘器，粉尘经仓顶除尘器处理后少量粉尘由1根15m高的排气筒排放。导热油炉废气：导热油炉废气经10m高排气筒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9"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厂界噪声排放执行《工业企业厂界环境噪声排放标准》(GB12348-2008)3类标准</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9"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应按国家有关规定妥善处置，防止二次污染。一般固废按照《一般工业固体废物贮存、处置场污染控制标准》(GB18599-2001)及其修改单要求收集处置:危险废物严格按《危险废物贮存污染控制标准》(GB18597-2001)及修改单的要求进行贮存，并定期委托有资质单位处置</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本项目生产过程中产生的固废主要有废包装材料（废纸箱、废包装袋等包装物）、边角料、焦油、废矿物油、废活性炭吸附饱和物、UV光氧废灯管、导热油等以及员工生活垃圾。</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一般工业固废集中收集后出售给可回收利用单位，危险废物收集后厂区内暂存于危险废物暂存间内，定期委托有资质单位处置，生活垃圾集中收集，统一交由环卫部门清运处理。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9" w:hRule="atLeast"/>
              </w:trPr>
              <w:tc>
                <w:tcPr>
                  <w:tcW w:w="429"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w:t>
                  </w:r>
                </w:p>
              </w:tc>
              <w:tc>
                <w:tcPr>
                  <w:tcW w:w="4884"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主要污染物总量控制指标为:二氧化硫0.152吨/年、氮氧化物0.711吨/年挥发性有机物 0.1952 吨/年。挥发性有机物按 1.5 倍区域削减量替代，替代削减量为挥发性有机物 0.2928 吨/年，由《漳州市平和环境保护局关于第一批挥发性有机物(VOCs)储备情况的通知》现役源的削减量替代。在排污许可证申领前需申购的主要污染物总量指标为:二氧化硫 0.152 吨/年，氮氧化物 0.711 吨/年。你司应严格履行承诺，通过海峡股权交易中心购入总量控制机构出具的总量控制指标数量，依法申领排污许可证后，该项目方可投入生产</w:t>
                  </w:r>
                </w:p>
              </w:tc>
              <w:tc>
                <w:tcPr>
                  <w:tcW w:w="33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二氧化硫总排放量为0.0113t/a，氮氧化物总排放量为0.2765t/a，非甲烷总烃总排放量为0.0121t/a。废气污染物排放总量满足环评批复要求二氧化硫0.152t/a，氮氧化物0.711t/a，非甲烷总烃0.1952t/a。</w:t>
                  </w:r>
                </w:p>
              </w:tc>
            </w:tr>
          </w:tbl>
          <w:p>
            <w:pPr>
              <w:pStyle w:val="37"/>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7"/>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797" w:type="dxa"/>
          </w:tcPr>
          <w:p>
            <w:pPr>
              <w:widowControl/>
              <w:spacing w:line="360" w:lineRule="auto"/>
              <w:jc w:val="both"/>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00" w:themeColor="text1"/>
                <w:sz w:val="24"/>
                <w:szCs w:val="24"/>
                <w14:textFill>
                  <w14:solidFill>
                    <w14:schemeClr w14:val="tx1"/>
                  </w14:solidFill>
                </w14:textFill>
              </w:rPr>
              <w:t>验收监测质量保证及质量控制：</w:t>
            </w:r>
          </w:p>
          <w:p>
            <w:pPr>
              <w:widowControl w:val="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一、</w:t>
            </w:r>
            <w:r>
              <w:rPr>
                <w:rFonts w:hint="default" w:ascii="Times New Roman" w:hAnsi="Times New Roman" w:eastAsia="宋体" w:cs="Times New Roman"/>
                <w:b w:val="0"/>
                <w:bCs w:val="0"/>
                <w:sz w:val="24"/>
                <w:szCs w:val="24"/>
                <w:lang w:val="en-US" w:eastAsia="zh-CN"/>
              </w:rPr>
              <w:t>报告编号：HX2022031003</w:t>
            </w:r>
          </w:p>
          <w:p>
            <w:pPr>
              <w:widowControl w:val="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二</w:t>
            </w:r>
            <w:r>
              <w:rPr>
                <w:rFonts w:hint="default" w:ascii="Times New Roman" w:hAnsi="Times New Roman" w:eastAsia="宋体" w:cs="Times New Roman"/>
                <w:b w:val="0"/>
                <w:bCs w:val="0"/>
                <w:sz w:val="24"/>
                <w:szCs w:val="24"/>
              </w:rPr>
              <w:t>、人员资质</w:t>
            </w:r>
          </w:p>
          <w:p>
            <w:pPr>
              <w:pStyle w:val="13"/>
              <w:widowControl w:val="0"/>
              <w:numPr>
                <w:ilvl w:val="0"/>
                <w:numId w:val="0"/>
              </w:numPr>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1、采样及分析人员</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304"/>
              <w:gridCol w:w="1455"/>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1232"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姓名</w:t>
                  </w:r>
                </w:p>
              </w:tc>
              <w:tc>
                <w:tcPr>
                  <w:tcW w:w="1344"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承担项目</w:t>
                  </w:r>
                </w:p>
              </w:tc>
              <w:tc>
                <w:tcPr>
                  <w:tcW w:w="849"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上岗证号</w:t>
                  </w:r>
                </w:p>
              </w:tc>
              <w:tc>
                <w:tcPr>
                  <w:tcW w:w="1573"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上岗证（颁发部门）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黄剑清</w:t>
                  </w:r>
                </w:p>
              </w:tc>
              <w:tc>
                <w:tcPr>
                  <w:tcW w:w="1344" w:type="pct"/>
                  <w:vMerge w:val="restar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采样</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color w:val="auto"/>
                      <w:sz w:val="21"/>
                      <w:szCs w:val="21"/>
                    </w:rPr>
                    <w:t>二氧化硫</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氮氧化物</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厂界噪声</w:t>
                  </w:r>
                </w:p>
              </w:tc>
              <w:tc>
                <w:tcPr>
                  <w:tcW w:w="849"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215</w:t>
                  </w:r>
                </w:p>
              </w:tc>
              <w:tc>
                <w:tcPr>
                  <w:tcW w:w="1573" w:type="pct"/>
                  <w:vAlign w:val="center"/>
                </w:tcPr>
                <w:p>
                  <w:pPr>
                    <w:widowControl w:val="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2"/>
                      <w:sz w:val="21"/>
                      <w:szCs w:val="21"/>
                      <w:lang w:val="en-US" w:eastAsia="zh-CN"/>
                    </w:rPr>
                    <w:t>孙亿渠</w:t>
                  </w:r>
                </w:p>
              </w:tc>
              <w:tc>
                <w:tcPr>
                  <w:tcW w:w="1344" w:type="pct"/>
                  <w:vMerge w:val="continue"/>
                  <w:vAlign w:val="center"/>
                </w:tcPr>
                <w:p>
                  <w:pPr>
                    <w:widowControl w:val="0"/>
                    <w:jc w:val="center"/>
                    <w:rPr>
                      <w:rFonts w:hint="default" w:ascii="Times New Roman" w:hAnsi="Times New Roman" w:eastAsia="宋体" w:cs="Times New Roman"/>
                      <w:b w:val="0"/>
                      <w:bCs w:val="0"/>
                      <w:sz w:val="21"/>
                      <w:szCs w:val="21"/>
                      <w:lang w:val="en-US"/>
                    </w:rPr>
                  </w:pPr>
                </w:p>
              </w:tc>
              <w:tc>
                <w:tcPr>
                  <w:tcW w:w="849" w:type="pct"/>
                  <w:vAlign w:val="center"/>
                </w:tcPr>
                <w:p>
                  <w:pPr>
                    <w:widowControl w:val="0"/>
                    <w:jc w:val="center"/>
                    <w:rPr>
                      <w:rFonts w:hint="default" w:ascii="Times New Roman" w:hAnsi="Times New Roman" w:eastAsia="宋体" w:cs="Times New Roman"/>
                      <w:b w:val="0"/>
                      <w:bCs w:val="0"/>
                      <w:sz w:val="21"/>
                      <w:szCs w:val="21"/>
                      <w:highlight w:val="yellow"/>
                      <w:lang w:val="en-US" w:eastAsia="zh-CN"/>
                    </w:rPr>
                  </w:pPr>
                  <w:r>
                    <w:rPr>
                      <w:rFonts w:hint="default" w:ascii="Times New Roman" w:hAnsi="Times New Roman" w:eastAsia="宋体" w:cs="Times New Roman"/>
                      <w:b w:val="0"/>
                      <w:bCs w:val="0"/>
                      <w:sz w:val="21"/>
                      <w:szCs w:val="21"/>
                    </w:rPr>
                    <w:t>HXJC-2</w:t>
                  </w:r>
                  <w:r>
                    <w:rPr>
                      <w:rFonts w:hint="default" w:ascii="Times New Roman" w:hAnsi="Times New Roman" w:eastAsia="宋体" w:cs="Times New Roman"/>
                      <w:b w:val="0"/>
                      <w:bCs w:val="0"/>
                      <w:sz w:val="21"/>
                      <w:szCs w:val="21"/>
                      <w:highlight w:val="none"/>
                      <w:lang w:val="en-US" w:eastAsia="zh-CN"/>
                    </w:rPr>
                    <w:t>09</w:t>
                  </w:r>
                </w:p>
              </w:tc>
              <w:tc>
                <w:tcPr>
                  <w:tcW w:w="1573" w:type="pct"/>
                  <w:vAlign w:val="center"/>
                </w:tcPr>
                <w:p>
                  <w:pPr>
                    <w:widowControl w:val="0"/>
                    <w:jc w:val="center"/>
                    <w:rPr>
                      <w:rFonts w:hint="default" w:ascii="Times New Roman" w:hAnsi="Times New Roman" w:eastAsia="宋体" w:cs="Times New Roman"/>
                      <w:b w:val="0"/>
                      <w:bCs w:val="0"/>
                      <w:color w:val="FF0000"/>
                      <w:kern w:val="0"/>
                      <w:sz w:val="21"/>
                      <w:szCs w:val="21"/>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高东福</w:t>
                  </w:r>
                </w:p>
              </w:tc>
              <w:tc>
                <w:tcPr>
                  <w:tcW w:w="1344" w:type="pct"/>
                  <w:vMerge w:val="continue"/>
                  <w:vAlign w:val="center"/>
                </w:tcPr>
                <w:p>
                  <w:pPr>
                    <w:widowControl w:val="0"/>
                    <w:jc w:val="center"/>
                    <w:rPr>
                      <w:rFonts w:hint="default" w:ascii="Times New Roman" w:hAnsi="Times New Roman" w:eastAsia="宋体" w:cs="Times New Roman"/>
                      <w:b w:val="0"/>
                      <w:bCs w:val="0"/>
                      <w:sz w:val="21"/>
                      <w:szCs w:val="21"/>
                    </w:rPr>
                  </w:pPr>
                </w:p>
              </w:tc>
              <w:tc>
                <w:tcPr>
                  <w:tcW w:w="849" w:type="pct"/>
                  <w:vAlign w:val="center"/>
                </w:tcPr>
                <w:p>
                  <w:pPr>
                    <w:widowControl w:val="0"/>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w:t>
                  </w:r>
                  <w:r>
                    <w:rPr>
                      <w:rFonts w:hint="default" w:ascii="Times New Roman" w:hAnsi="Times New Roman" w:eastAsia="宋体" w:cs="Times New Roman"/>
                      <w:b w:val="0"/>
                      <w:bCs w:val="0"/>
                      <w:sz w:val="21"/>
                      <w:szCs w:val="21"/>
                      <w:highlight w:val="none"/>
                      <w:lang w:val="en-US" w:eastAsia="zh-CN"/>
                    </w:rPr>
                    <w:t>02</w:t>
                  </w:r>
                </w:p>
              </w:tc>
              <w:tc>
                <w:tcPr>
                  <w:tcW w:w="1573" w:type="pct"/>
                  <w:vAlign w:val="center"/>
                </w:tcPr>
                <w:p>
                  <w:pPr>
                    <w:widowControl w:val="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蔡有岚</w:t>
                  </w:r>
                </w:p>
              </w:tc>
              <w:tc>
                <w:tcPr>
                  <w:tcW w:w="1344" w:type="pct"/>
                  <w:vAlign w:val="center"/>
                </w:tcPr>
                <w:p>
                  <w:pPr>
                    <w:widowControl/>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颗粒物、沥青烟</w:t>
                  </w:r>
                </w:p>
              </w:tc>
              <w:tc>
                <w:tcPr>
                  <w:tcW w:w="849" w:type="pct"/>
                  <w:vAlign w:val="center"/>
                </w:tcPr>
                <w:p>
                  <w:pPr>
                    <w:widowControl/>
                    <w:jc w:val="center"/>
                    <w:textAlignment w:val="center"/>
                    <w:rPr>
                      <w:rFonts w:hint="default" w:ascii="Times New Roman" w:hAnsi="Times New Roman" w:eastAsia="宋体" w:cs="Times New Roman"/>
                      <w:b w:val="0"/>
                      <w:bCs w:val="0"/>
                      <w:kern w:val="2"/>
                      <w:sz w:val="21"/>
                      <w:szCs w:val="21"/>
                      <w:highlight w:val="yellow"/>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319</w:t>
                  </w:r>
                </w:p>
              </w:tc>
              <w:tc>
                <w:tcPr>
                  <w:tcW w:w="1573" w:type="pct"/>
                  <w:vAlign w:val="center"/>
                </w:tcPr>
                <w:p>
                  <w:pPr>
                    <w:widowControl w:val="0"/>
                    <w:jc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钟杰英</w:t>
                  </w:r>
                </w:p>
              </w:tc>
              <w:tc>
                <w:tcPr>
                  <w:tcW w:w="13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color w:val="auto"/>
                      <w:sz w:val="21"/>
                      <w:szCs w:val="21"/>
                    </w:rPr>
                    <w:t>非甲烷总烃</w:t>
                  </w:r>
                </w:p>
              </w:tc>
              <w:tc>
                <w:tcPr>
                  <w:tcW w:w="849" w:type="pct"/>
                  <w:vAlign w:val="center"/>
                </w:tcPr>
                <w:p>
                  <w:pPr>
                    <w:widowControl/>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323</w:t>
                  </w:r>
                </w:p>
              </w:tc>
              <w:tc>
                <w:tcPr>
                  <w:tcW w:w="1573" w:type="pct"/>
                  <w:vAlign w:val="center"/>
                </w:tcPr>
                <w:p>
                  <w:pPr>
                    <w:widowControl w:val="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1232"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蔡永萍</w:t>
                  </w:r>
                </w:p>
              </w:tc>
              <w:tc>
                <w:tcPr>
                  <w:tcW w:w="13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苯并[a]芘</w:t>
                  </w:r>
                </w:p>
              </w:tc>
              <w:tc>
                <w:tcPr>
                  <w:tcW w:w="849" w:type="pct"/>
                  <w:vAlign w:val="center"/>
                </w:tcPr>
                <w:p>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316</w:t>
                  </w:r>
                </w:p>
              </w:tc>
              <w:tc>
                <w:tcPr>
                  <w:tcW w:w="1573" w:type="pct"/>
                  <w:vAlign w:val="center"/>
                </w:tcPr>
                <w:p>
                  <w:pPr>
                    <w:widowControl w:val="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厦门华厦学苑检测有限公司</w:t>
                  </w:r>
                </w:p>
              </w:tc>
            </w:tr>
          </w:tbl>
          <w:p>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exact"/>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2、嗅辩人员</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1300"/>
              <w:gridCol w:w="2083"/>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07"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姓名</w:t>
                  </w:r>
                </w:p>
              </w:tc>
              <w:tc>
                <w:tcPr>
                  <w:tcW w:w="796"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承担项目</w:t>
                  </w:r>
                </w:p>
              </w:tc>
              <w:tc>
                <w:tcPr>
                  <w:tcW w:w="1102"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上岗证号</w:t>
                  </w:r>
                </w:p>
              </w:tc>
              <w:tc>
                <w:tcPr>
                  <w:tcW w:w="18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上岗证（颁发部门）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7" w:type="pct"/>
                  <w:vAlign w:val="center"/>
                </w:tcPr>
                <w:p>
                  <w:pPr>
                    <w:widowControl/>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连晓珊</w:t>
                  </w:r>
                </w:p>
              </w:tc>
              <w:tc>
                <w:tcPr>
                  <w:tcW w:w="796"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widowControl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CS2020552</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中认科研（北京）标准化技术研究院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07" w:type="pct"/>
                  <w:vAlign w:val="center"/>
                </w:tcPr>
                <w:p>
                  <w:pPr>
                    <w:widowControl/>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陈小梅</w:t>
                  </w:r>
                </w:p>
              </w:tc>
              <w:tc>
                <w:tcPr>
                  <w:tcW w:w="796"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XB202111200000275</w:t>
                  </w:r>
                </w:p>
              </w:tc>
              <w:tc>
                <w:tcPr>
                  <w:tcW w:w="189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rPr>
                    <w:t>中国环境科学协会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07"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张杭玲</w:t>
                  </w:r>
                </w:p>
              </w:tc>
              <w:tc>
                <w:tcPr>
                  <w:tcW w:w="796"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判定师</w:t>
                  </w:r>
                </w:p>
              </w:tc>
              <w:tc>
                <w:tcPr>
                  <w:tcW w:w="1102" w:type="pct"/>
                  <w:vAlign w:val="center"/>
                </w:tcPr>
                <w:p>
                  <w:pPr>
                    <w:widowControl/>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CS2020554</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中认科研（北京）标准化技术研究院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7" w:type="pct"/>
                  <w:vAlign w:val="center"/>
                </w:tcPr>
                <w:p>
                  <w:pPr>
                    <w:widowControl/>
                    <w:jc w:val="center"/>
                    <w:textAlignment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val="en-US" w:eastAsia="zh-CN"/>
                    </w:rPr>
                    <w:t>张凯凯</w:t>
                  </w:r>
                </w:p>
              </w:tc>
              <w:tc>
                <w:tcPr>
                  <w:tcW w:w="796"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widowControl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XB202111200000273</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rPr>
                    <w:t>中国环境科学协会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07"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蔡亚萍</w:t>
                  </w:r>
                </w:p>
              </w:tc>
              <w:tc>
                <w:tcPr>
                  <w:tcW w:w="796"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HJ-202101302</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color w:val="000000"/>
                      <w:kern w:val="0"/>
                      <w:sz w:val="21"/>
                      <w:szCs w:val="21"/>
                      <w:lang w:bidi="ar"/>
                    </w:rPr>
                    <w:t>天津市环境保护产业协会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7"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傅东平</w:t>
                  </w:r>
                </w:p>
              </w:tc>
              <w:tc>
                <w:tcPr>
                  <w:tcW w:w="796"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HJ-202101298</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color w:val="000000"/>
                      <w:kern w:val="0"/>
                      <w:sz w:val="21"/>
                      <w:szCs w:val="21"/>
                      <w:lang w:bidi="ar"/>
                    </w:rPr>
                    <w:t>天津市环境保护产业协会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07"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刘昌贵</w:t>
                  </w:r>
                </w:p>
              </w:tc>
              <w:tc>
                <w:tcPr>
                  <w:tcW w:w="796"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嗅辩员</w:t>
                  </w:r>
                </w:p>
              </w:tc>
              <w:tc>
                <w:tcPr>
                  <w:tcW w:w="1102"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XB202111200000274</w:t>
                  </w:r>
                </w:p>
              </w:tc>
              <w:tc>
                <w:tcPr>
                  <w:tcW w:w="1893" w:type="pct"/>
                  <w:vAlign w:val="center"/>
                </w:tcPr>
                <w:p>
                  <w:pPr>
                    <w:widowControl/>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color w:val="000000"/>
                      <w:kern w:val="0"/>
                      <w:sz w:val="21"/>
                      <w:szCs w:val="21"/>
                      <w:lang w:bidi="ar"/>
                    </w:rPr>
                    <w:t>中国环境科学协会</w:t>
                  </w:r>
                </w:p>
              </w:tc>
            </w:tr>
          </w:tbl>
          <w:p>
            <w:pPr>
              <w:pStyle w:val="89"/>
              <w:widowControl w:val="0"/>
              <w:numPr>
                <w:ilvl w:val="0"/>
                <w:numId w:val="0"/>
              </w:numPr>
              <w:ind w:left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三、</w:t>
            </w:r>
            <w:r>
              <w:rPr>
                <w:rFonts w:hint="default" w:ascii="Times New Roman" w:hAnsi="Times New Roman" w:eastAsia="宋体" w:cs="Times New Roman"/>
                <w:b w:val="0"/>
                <w:bCs w:val="0"/>
                <w:sz w:val="24"/>
                <w:szCs w:val="24"/>
              </w:rPr>
              <w:t>质量控制</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exact"/>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1、控制方法：全程序空白</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714"/>
              <w:gridCol w:w="1712"/>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999" w:type="pct"/>
                  <w:tcBorders>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参数项目</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样品编号</w:t>
                  </w:r>
                </w:p>
              </w:tc>
              <w:tc>
                <w:tcPr>
                  <w:tcW w:w="999"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单位</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99" w:type="pct"/>
                  <w:tcBorders>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非甲烷总烃</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Q</w:t>
                  </w:r>
                  <w:r>
                    <w:rPr>
                      <w:rFonts w:hint="default" w:ascii="Times New Roman" w:hAnsi="Times New Roman" w:eastAsia="宋体" w:cs="Times New Roman"/>
                      <w:b w:val="0"/>
                      <w:bCs w:val="0"/>
                      <w:sz w:val="21"/>
                      <w:szCs w:val="21"/>
                      <w:lang w:val="en-US" w:eastAsia="zh-CN"/>
                    </w:rPr>
                    <w:t>010404</w:t>
                  </w:r>
                  <w:r>
                    <w:rPr>
                      <w:rFonts w:hint="default" w:ascii="Times New Roman" w:hAnsi="Times New Roman" w:eastAsia="宋体" w:cs="Times New Roman"/>
                      <w:b w:val="0"/>
                      <w:bCs w:val="0"/>
                      <w:sz w:val="21"/>
                      <w:szCs w:val="21"/>
                    </w:rPr>
                    <w:t>K</w:t>
                  </w:r>
                </w:p>
              </w:tc>
              <w:tc>
                <w:tcPr>
                  <w:tcW w:w="999"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&lt;0.07</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99" w:type="pct"/>
                  <w:tcBorders>
                    <w:right w:val="single" w:color="auto" w:sz="4" w:space="0"/>
                  </w:tcBorders>
                  <w:vAlign w:val="center"/>
                </w:tcPr>
                <w:p>
                  <w:pPr>
                    <w:widowControl w:val="0"/>
                    <w:snapToGrid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非甲烷总烃</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Q</w:t>
                  </w:r>
                  <w:r>
                    <w:rPr>
                      <w:rFonts w:hint="default" w:ascii="Times New Roman" w:hAnsi="Times New Roman" w:eastAsia="宋体" w:cs="Times New Roman"/>
                      <w:b w:val="0"/>
                      <w:bCs w:val="0"/>
                      <w:sz w:val="21"/>
                      <w:szCs w:val="21"/>
                      <w:lang w:val="en-US" w:eastAsia="zh-CN"/>
                    </w:rPr>
                    <w:t>010604</w:t>
                  </w:r>
                  <w:r>
                    <w:rPr>
                      <w:rFonts w:hint="default" w:ascii="Times New Roman" w:hAnsi="Times New Roman" w:eastAsia="宋体" w:cs="Times New Roman"/>
                      <w:b w:val="0"/>
                      <w:bCs w:val="0"/>
                      <w:sz w:val="21"/>
                      <w:szCs w:val="21"/>
                    </w:rPr>
                    <w:t>K</w:t>
                  </w:r>
                </w:p>
              </w:tc>
              <w:tc>
                <w:tcPr>
                  <w:tcW w:w="999"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&lt;0.07</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jc w:val="center"/>
              </w:trPr>
              <w:tc>
                <w:tcPr>
                  <w:tcW w:w="999" w:type="pct"/>
                  <w:tcBorders>
                    <w:right w:val="single" w:color="auto" w:sz="4" w:space="0"/>
                  </w:tcBorders>
                  <w:vAlign w:val="center"/>
                </w:tcPr>
                <w:p>
                  <w:pPr>
                    <w:widowControl w:val="0"/>
                    <w:snapToGrid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color w:val="auto"/>
                      <w:sz w:val="21"/>
                      <w:szCs w:val="21"/>
                    </w:rPr>
                    <w:t>苯并[a]芘</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Q</w:t>
                  </w:r>
                  <w:r>
                    <w:rPr>
                      <w:rFonts w:hint="default" w:ascii="Times New Roman" w:hAnsi="Times New Roman" w:eastAsia="宋体" w:cs="Times New Roman"/>
                      <w:b w:val="0"/>
                      <w:bCs w:val="0"/>
                      <w:sz w:val="21"/>
                      <w:szCs w:val="21"/>
                      <w:lang w:val="en-US" w:eastAsia="zh-CN"/>
                    </w:rPr>
                    <w:t>010604</w:t>
                  </w:r>
                  <w:r>
                    <w:rPr>
                      <w:rFonts w:hint="default" w:ascii="Times New Roman" w:hAnsi="Times New Roman" w:eastAsia="宋体" w:cs="Times New Roman"/>
                      <w:b w:val="0"/>
                      <w:bCs w:val="0"/>
                      <w:sz w:val="21"/>
                      <w:szCs w:val="21"/>
                    </w:rPr>
                    <w:t>K</w:t>
                  </w:r>
                </w:p>
              </w:tc>
              <w:tc>
                <w:tcPr>
                  <w:tcW w:w="999"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&lt;</w:t>
                  </w:r>
                  <w:r>
                    <w:rPr>
                      <w:rFonts w:hint="default" w:ascii="Times New Roman" w:hAnsi="Times New Roman" w:eastAsia="宋体" w:cs="Times New Roman"/>
                      <w:b w:val="0"/>
                      <w:bCs w:val="0"/>
                      <w:sz w:val="21"/>
                      <w:szCs w:val="21"/>
                      <w:lang w:val="en-US" w:eastAsia="zh-CN"/>
                    </w:rPr>
                    <w:t>4</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rPr>
                    <w:t>ng/m</w:t>
                  </w:r>
                  <w:r>
                    <w:rPr>
                      <w:rFonts w:hint="default" w:ascii="Times New Roman" w:hAnsi="Times New Roman" w:eastAsia="宋体" w:cs="Times New Roman"/>
                      <w:b w:val="0"/>
                      <w:bCs w:val="0"/>
                      <w:color w:val="auto"/>
                      <w:sz w:val="21"/>
                      <w:szCs w:val="21"/>
                      <w:vertAlign w:val="superscript"/>
                    </w:rPr>
                    <w:t>3</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bl>
          <w:p>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exact"/>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、控制方法：</w:t>
            </w:r>
            <w:r>
              <w:rPr>
                <w:rFonts w:hint="default" w:ascii="Times New Roman" w:hAnsi="Times New Roman" w:eastAsia="宋体" w:cs="Times New Roman"/>
                <w:b w:val="0"/>
                <w:bCs w:val="0"/>
                <w:sz w:val="24"/>
                <w:szCs w:val="24"/>
                <w:lang w:val="en-US" w:eastAsia="zh-CN"/>
              </w:rPr>
              <w:t>标准样品</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842"/>
              <w:gridCol w:w="1142"/>
              <w:gridCol w:w="755"/>
              <w:gridCol w:w="1142"/>
              <w:gridCol w:w="876"/>
              <w:gridCol w:w="927"/>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检测日期</w:t>
                  </w:r>
                </w:p>
              </w:tc>
              <w:tc>
                <w:tcPr>
                  <w:tcW w:w="89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标准物质溯源号及批号</w:t>
                  </w:r>
                </w:p>
              </w:tc>
              <w:tc>
                <w:tcPr>
                  <w:tcW w:w="600"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标准品值</w:t>
                  </w:r>
                </w:p>
              </w:tc>
              <w:tc>
                <w:tcPr>
                  <w:tcW w:w="505"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参项目</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实测值</w:t>
                  </w:r>
                </w:p>
              </w:tc>
              <w:tc>
                <w:tcPr>
                  <w:tcW w:w="576" w:type="pct"/>
                  <w:vAlign w:val="center"/>
                </w:tcPr>
                <w:p>
                  <w:pPr>
                    <w:widowControl w:val="0"/>
                    <w:snapToGrid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lang w:val="en-US" w:eastAsia="zh-CN"/>
                    </w:rPr>
                    <w:t>相对误差</w:t>
                  </w:r>
                </w:p>
              </w:tc>
              <w:tc>
                <w:tcPr>
                  <w:tcW w:w="564"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控制要求</w:t>
                  </w:r>
                </w:p>
              </w:tc>
              <w:tc>
                <w:tcPr>
                  <w:tcW w:w="573"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 w:type="pct"/>
                  <w:vMerge w:val="restart"/>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2022.04.15</w:t>
                  </w:r>
                </w:p>
              </w:tc>
              <w:tc>
                <w:tcPr>
                  <w:tcW w:w="896" w:type="pct"/>
                  <w:vMerge w:val="restart"/>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GBW（E）062131</w:t>
                  </w:r>
                </w:p>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/L153303194</w:t>
                  </w:r>
                </w:p>
              </w:tc>
              <w:tc>
                <w:tcPr>
                  <w:tcW w:w="60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14.4mg/m</w:t>
                  </w:r>
                  <w:r>
                    <w:rPr>
                      <w:rFonts w:hint="default" w:ascii="Times New Roman" w:hAnsi="Times New Roman" w:eastAsia="宋体" w:cs="Times New Roman"/>
                      <w:b w:val="0"/>
                      <w:bCs w:val="0"/>
                      <w:sz w:val="21"/>
                      <w:szCs w:val="21"/>
                      <w:vertAlign w:val="superscript"/>
                      <w:lang w:val="en-US" w:eastAsia="zh-CN"/>
                    </w:rPr>
                    <w:t>3</w:t>
                  </w:r>
                </w:p>
              </w:tc>
              <w:tc>
                <w:tcPr>
                  <w:tcW w:w="505"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rPr>
                    <w:t>总烃</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15.6mg/m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8.3 </w:t>
                  </w:r>
                  <w:r>
                    <w:rPr>
                      <w:rFonts w:hint="default" w:ascii="Times New Roman" w:hAnsi="Times New Roman" w:eastAsia="宋体" w:cs="Times New Roman"/>
                      <w:b w:val="0"/>
                      <w:bCs w:val="0"/>
                      <w:kern w:val="0"/>
                      <w:sz w:val="21"/>
                      <w:szCs w:val="21"/>
                      <w:lang w:val="en-US" w:eastAsia="zh-CN"/>
                    </w:rPr>
                    <w:t>%</w:t>
                  </w:r>
                </w:p>
              </w:tc>
              <w:tc>
                <w:tcPr>
                  <w:tcW w:w="564" w:type="pct"/>
                  <w:vAlign w:val="center"/>
                </w:tcPr>
                <w:p>
                  <w:pPr>
                    <w:widowControl w:val="0"/>
                    <w:snapToGrid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60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505"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rPr>
                    <w:t>甲烷</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13.0mg/m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-9.7 </w:t>
                  </w:r>
                  <w:r>
                    <w:rPr>
                      <w:rFonts w:hint="default" w:ascii="Times New Roman" w:hAnsi="Times New Roman" w:eastAsia="宋体" w:cs="Times New Roman"/>
                      <w:b w:val="0"/>
                      <w:bCs w:val="0"/>
                      <w:kern w:val="0"/>
                      <w:sz w:val="21"/>
                      <w:szCs w:val="21"/>
                      <w:lang w:val="en-US" w:eastAsia="zh-CN"/>
                    </w:rPr>
                    <w:t>%</w:t>
                  </w:r>
                </w:p>
              </w:tc>
              <w:tc>
                <w:tcPr>
                  <w:tcW w:w="564" w:type="pct"/>
                  <w:vAlign w:val="center"/>
                </w:tcPr>
                <w:p>
                  <w:pPr>
                    <w:widowControl w:val="0"/>
                    <w:snapToGrid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continue"/>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restart"/>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GBW（E）062131/L208403032</w:t>
                  </w:r>
                </w:p>
              </w:tc>
              <w:tc>
                <w:tcPr>
                  <w:tcW w:w="60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403mg/m</w:t>
                  </w:r>
                  <w:r>
                    <w:rPr>
                      <w:rFonts w:hint="default" w:ascii="Times New Roman" w:hAnsi="Times New Roman" w:eastAsia="宋体" w:cs="Times New Roman"/>
                      <w:b w:val="0"/>
                      <w:bCs w:val="0"/>
                      <w:sz w:val="21"/>
                      <w:szCs w:val="21"/>
                      <w:vertAlign w:val="superscript"/>
                      <w:lang w:val="en-US" w:eastAsia="zh-CN"/>
                    </w:rPr>
                    <w:t>3</w:t>
                  </w: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总烃</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434mg/m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7.7 </w:t>
                  </w:r>
                  <w:r>
                    <w:rPr>
                      <w:rFonts w:hint="default" w:ascii="Times New Roman" w:hAnsi="Times New Roman" w:eastAsia="宋体" w:cs="Times New Roman"/>
                      <w:b w:val="0"/>
                      <w:bCs w:val="0"/>
                      <w:kern w:val="0"/>
                      <w:sz w:val="21"/>
                      <w:szCs w:val="21"/>
                      <w:lang w:val="en-US" w:eastAsia="zh-CN"/>
                    </w:rPr>
                    <w:t>%</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60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甲烷</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427mg/m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6.0 %</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restart"/>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2022.04.16</w:t>
                  </w:r>
                </w:p>
              </w:tc>
              <w:tc>
                <w:tcPr>
                  <w:tcW w:w="896" w:type="pct"/>
                  <w:vMerge w:val="restart"/>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GBW（E）062131</w:t>
                  </w:r>
                </w:p>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/L153303194</w:t>
                  </w:r>
                </w:p>
              </w:tc>
              <w:tc>
                <w:tcPr>
                  <w:tcW w:w="60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14.4mg/m</w:t>
                  </w:r>
                  <w:r>
                    <w:rPr>
                      <w:rFonts w:hint="default" w:ascii="Times New Roman" w:hAnsi="Times New Roman" w:eastAsia="宋体" w:cs="Times New Roman"/>
                      <w:b w:val="0"/>
                      <w:bCs w:val="0"/>
                      <w:sz w:val="21"/>
                      <w:szCs w:val="21"/>
                      <w:vertAlign w:val="superscript"/>
                      <w:lang w:val="en-US" w:eastAsia="zh-CN"/>
                    </w:rPr>
                    <w:t>3</w:t>
                  </w: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总烃</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15.4mg/m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6.9 % </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60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甲烷</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13.4mg/m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-6.9 % </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continue"/>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restart"/>
                  <w:vAlign w:val="center"/>
                </w:tcPr>
                <w:p>
                  <w:pPr>
                    <w:pStyle w:val="13"/>
                    <w:widowControl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GBW（E）062131/L208403032</w:t>
                  </w:r>
                </w:p>
              </w:tc>
              <w:tc>
                <w:tcPr>
                  <w:tcW w:w="60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403mg/m</w:t>
                  </w:r>
                  <w:r>
                    <w:rPr>
                      <w:rFonts w:hint="default" w:ascii="Times New Roman" w:hAnsi="Times New Roman" w:eastAsia="宋体" w:cs="Times New Roman"/>
                      <w:b w:val="0"/>
                      <w:bCs w:val="0"/>
                      <w:sz w:val="21"/>
                      <w:szCs w:val="21"/>
                      <w:vertAlign w:val="superscript"/>
                      <w:lang w:val="en-US" w:eastAsia="zh-CN"/>
                    </w:rPr>
                    <w:t>3</w:t>
                  </w: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总烃</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426mg/m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5.7 % </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1"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896" w:type="pct"/>
                  <w:vMerge w:val="continue"/>
                  <w:vAlign w:val="center"/>
                </w:tcPr>
                <w:p>
                  <w:pPr>
                    <w:widowControl w:val="0"/>
                    <w:snapToGrid w:val="0"/>
                    <w:spacing w:line="240" w:lineRule="auto"/>
                    <w:jc w:val="center"/>
                    <w:rPr>
                      <w:rFonts w:hint="default" w:ascii="Times New Roman" w:hAnsi="Times New Roman" w:eastAsia="宋体" w:cs="Times New Roman"/>
                      <w:b w:val="0"/>
                      <w:bCs w:val="0"/>
                      <w:sz w:val="21"/>
                      <w:szCs w:val="21"/>
                      <w:lang w:val="en-US" w:eastAsia="zh-CN"/>
                    </w:rPr>
                  </w:pPr>
                </w:p>
              </w:tc>
              <w:tc>
                <w:tcPr>
                  <w:tcW w:w="60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505"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甲烷</w:t>
                  </w:r>
                </w:p>
              </w:tc>
              <w:tc>
                <w:tcPr>
                  <w:tcW w:w="662"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415mg/m</w:t>
                  </w:r>
                  <w:r>
                    <w:rPr>
                      <w:rFonts w:hint="default" w:ascii="Times New Roman" w:hAnsi="Times New Roman" w:eastAsia="宋体" w:cs="Times New Roman"/>
                      <w:b w:val="0"/>
                      <w:bCs w:val="0"/>
                      <w:sz w:val="21"/>
                      <w:szCs w:val="21"/>
                      <w:vertAlign w:val="superscript"/>
                      <w:lang w:val="en-US" w:eastAsia="zh-CN"/>
                    </w:rPr>
                    <w:t>3</w:t>
                  </w:r>
                </w:p>
              </w:tc>
              <w:tc>
                <w:tcPr>
                  <w:tcW w:w="576"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3.0 % </w:t>
                  </w:r>
                </w:p>
              </w:tc>
              <w:tc>
                <w:tcPr>
                  <w:tcW w:w="564" w:type="pc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±10%</w:t>
                  </w:r>
                </w:p>
              </w:tc>
              <w:tc>
                <w:tcPr>
                  <w:tcW w:w="573"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合格</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240" w:lineRule="exact"/>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控制方法：</w:t>
            </w:r>
            <w:r>
              <w:rPr>
                <w:rFonts w:hint="default" w:ascii="Times New Roman" w:hAnsi="Times New Roman" w:eastAsia="宋体" w:cs="Times New Roman"/>
                <w:b w:val="0"/>
                <w:bCs w:val="0"/>
                <w:sz w:val="24"/>
                <w:szCs w:val="24"/>
                <w:lang w:val="en-US" w:eastAsia="zh-CN"/>
              </w:rPr>
              <w:t>平行样</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113"/>
              <w:gridCol w:w="1128"/>
              <w:gridCol w:w="1313"/>
              <w:gridCol w:w="1113"/>
              <w:gridCol w:w="1039"/>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990" w:type="pct"/>
                  <w:vMerge w:val="restar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参数项目</w:t>
                  </w:r>
                </w:p>
              </w:tc>
              <w:tc>
                <w:tcPr>
                  <w:tcW w:w="649" w:type="pct"/>
                  <w:vMerge w:val="restar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样品编号</w:t>
                  </w:r>
                </w:p>
              </w:tc>
              <w:tc>
                <w:tcPr>
                  <w:tcW w:w="1424" w:type="pct"/>
                  <w:gridSpan w:val="2"/>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检测结果（mg/L）</w:t>
                  </w:r>
                </w:p>
              </w:tc>
              <w:tc>
                <w:tcPr>
                  <w:tcW w:w="649" w:type="pct"/>
                  <w:vMerge w:val="restar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相对偏差（%）</w:t>
                  </w:r>
                </w:p>
              </w:tc>
              <w:tc>
                <w:tcPr>
                  <w:tcW w:w="606" w:type="pct"/>
                  <w:vMerge w:val="restar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允许相对偏差（%）</w:t>
                  </w:r>
                </w:p>
              </w:tc>
              <w:tc>
                <w:tcPr>
                  <w:tcW w:w="680" w:type="pct"/>
                  <w:vMerge w:val="restart"/>
                  <w:vAlign w:val="center"/>
                </w:tcPr>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质控结</w:t>
                  </w:r>
                </w:p>
                <w:p>
                  <w:pPr>
                    <w:widowControl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90"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c>
                <w:tcPr>
                  <w:tcW w:w="649"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c>
                <w:tcPr>
                  <w:tcW w:w="658"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766"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649"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c>
                <w:tcPr>
                  <w:tcW w:w="606"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c>
                <w:tcPr>
                  <w:tcW w:w="680"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非甲烷总烃</w:t>
                  </w:r>
                </w:p>
              </w:tc>
              <w:tc>
                <w:tcPr>
                  <w:tcW w:w="649"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Q010501</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15.6</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15.5</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0.3 </w:t>
                  </w:r>
                </w:p>
              </w:tc>
              <w:tc>
                <w:tcPr>
                  <w:tcW w:w="606" w:type="pct"/>
                  <w:vMerge w:val="restart"/>
                  <w:vAlign w:val="center"/>
                </w:tcPr>
                <w:p>
                  <w:pPr>
                    <w:widowControl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680" w:type="pct"/>
                  <w:vMerge w:val="restar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649"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Q010603</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1.03</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1.04</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-0.5 </w:t>
                  </w:r>
                </w:p>
              </w:tc>
              <w:tc>
                <w:tcPr>
                  <w:tcW w:w="606" w:type="pct"/>
                  <w:vMerge w:val="continue"/>
                  <w:vAlign w:val="center"/>
                </w:tcPr>
                <w:p>
                  <w:pPr>
                    <w:widowControl w:val="0"/>
                    <w:snapToGrid w:val="0"/>
                    <w:jc w:val="center"/>
                    <w:rPr>
                      <w:rFonts w:hint="default" w:ascii="Times New Roman" w:hAnsi="Times New Roman" w:eastAsia="宋体" w:cs="Times New Roman"/>
                      <w:b w:val="0"/>
                      <w:bCs w:val="0"/>
                      <w:color w:val="auto"/>
                      <w:sz w:val="21"/>
                      <w:szCs w:val="21"/>
                    </w:rPr>
                  </w:pPr>
                </w:p>
              </w:tc>
              <w:tc>
                <w:tcPr>
                  <w:tcW w:w="680" w:type="pct"/>
                  <w:vMerge w:val="continue"/>
                  <w:vAlign w:val="center"/>
                </w:tcPr>
                <w:p>
                  <w:pPr>
                    <w:widowControl w:val="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649" w:type="pct"/>
                  <w:vAlign w:val="center"/>
                </w:tcPr>
                <w:p>
                  <w:pPr>
                    <w:widowControl w:val="0"/>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Q020501</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14.9</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14.9</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w:t>
                  </w:r>
                </w:p>
              </w:tc>
              <w:tc>
                <w:tcPr>
                  <w:tcW w:w="606" w:type="pct"/>
                  <w:vMerge w:val="continue"/>
                  <w:vAlign w:val="center"/>
                </w:tcPr>
                <w:p>
                  <w:pPr>
                    <w:widowControl w:val="0"/>
                    <w:snapToGrid w:val="0"/>
                    <w:jc w:val="center"/>
                    <w:rPr>
                      <w:rFonts w:hint="default" w:ascii="Times New Roman" w:hAnsi="Times New Roman" w:eastAsia="宋体" w:cs="Times New Roman"/>
                      <w:b w:val="0"/>
                      <w:bCs w:val="0"/>
                      <w:color w:val="auto"/>
                      <w:sz w:val="21"/>
                      <w:szCs w:val="21"/>
                    </w:rPr>
                  </w:pPr>
                </w:p>
              </w:tc>
              <w:tc>
                <w:tcPr>
                  <w:tcW w:w="680" w:type="pct"/>
                  <w:vMerge w:val="continue"/>
                  <w:vAlign w:val="center"/>
                </w:tcPr>
                <w:p>
                  <w:pPr>
                    <w:widowControl w:val="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continue"/>
                  <w:vAlign w:val="center"/>
                </w:tcPr>
                <w:p>
                  <w:pPr>
                    <w:widowControl w:val="0"/>
                    <w:snapToGrid w:val="0"/>
                    <w:jc w:val="center"/>
                    <w:rPr>
                      <w:rFonts w:hint="default" w:ascii="Times New Roman" w:hAnsi="Times New Roman" w:eastAsia="宋体" w:cs="Times New Roman"/>
                      <w:b w:val="0"/>
                      <w:bCs w:val="0"/>
                      <w:sz w:val="21"/>
                      <w:szCs w:val="21"/>
                      <w:lang w:val="en-US" w:eastAsia="zh-CN"/>
                    </w:rPr>
                  </w:pPr>
                </w:p>
              </w:tc>
              <w:tc>
                <w:tcPr>
                  <w:tcW w:w="649" w:type="pct"/>
                  <w:vAlign w:val="center"/>
                </w:tcPr>
                <w:p>
                  <w:pPr>
                    <w:widowControl w:val="0"/>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Q020601</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1.05</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1.05</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w:t>
                  </w:r>
                </w:p>
              </w:tc>
              <w:tc>
                <w:tcPr>
                  <w:tcW w:w="606" w:type="pct"/>
                  <w:vMerge w:val="continue"/>
                  <w:vAlign w:val="center"/>
                </w:tcPr>
                <w:p>
                  <w:pPr>
                    <w:widowControl w:val="0"/>
                    <w:snapToGrid w:val="0"/>
                    <w:jc w:val="center"/>
                    <w:rPr>
                      <w:rFonts w:hint="default" w:ascii="Times New Roman" w:hAnsi="Times New Roman" w:eastAsia="宋体" w:cs="Times New Roman"/>
                      <w:b w:val="0"/>
                      <w:bCs w:val="0"/>
                      <w:color w:val="auto"/>
                      <w:sz w:val="21"/>
                      <w:szCs w:val="21"/>
                    </w:rPr>
                  </w:pPr>
                </w:p>
              </w:tc>
              <w:tc>
                <w:tcPr>
                  <w:tcW w:w="680" w:type="pct"/>
                  <w:vMerge w:val="continue"/>
                  <w:vAlign w:val="center"/>
                </w:tcPr>
                <w:p>
                  <w:pPr>
                    <w:widowControl w:val="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restar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非甲烷总烃</w:t>
                  </w:r>
                </w:p>
              </w:tc>
              <w:tc>
                <w:tcPr>
                  <w:tcW w:w="649"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Q010101</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0.45</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0.45</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w:t>
                  </w:r>
                </w:p>
              </w:tc>
              <w:tc>
                <w:tcPr>
                  <w:tcW w:w="606" w:type="pct"/>
                  <w:vMerge w:val="restart"/>
                  <w:vAlign w:val="center"/>
                </w:tcPr>
                <w:p>
                  <w:pPr>
                    <w:widowControl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680" w:type="pct"/>
                  <w:vMerge w:val="restar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990" w:type="pct"/>
                  <w:vMerge w:val="continue"/>
                  <w:vAlign w:val="center"/>
                </w:tcPr>
                <w:p>
                  <w:pPr>
                    <w:widowControl w:val="0"/>
                    <w:snapToGrid w:val="0"/>
                    <w:jc w:val="center"/>
                    <w:rPr>
                      <w:rFonts w:hint="default" w:ascii="Times New Roman" w:hAnsi="Times New Roman" w:eastAsia="宋体" w:cs="Times New Roman"/>
                      <w:b w:val="0"/>
                      <w:bCs w:val="0"/>
                      <w:sz w:val="21"/>
                      <w:szCs w:val="21"/>
                    </w:rPr>
                  </w:pPr>
                </w:p>
              </w:tc>
              <w:tc>
                <w:tcPr>
                  <w:tcW w:w="649" w:type="pct"/>
                  <w:vAlign w:val="center"/>
                </w:tcPr>
                <w:p>
                  <w:pPr>
                    <w:widowControl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Q020101</w:t>
                  </w:r>
                </w:p>
              </w:tc>
              <w:tc>
                <w:tcPr>
                  <w:tcW w:w="658"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0.48</w:t>
                  </w:r>
                </w:p>
              </w:tc>
              <w:tc>
                <w:tcPr>
                  <w:tcW w:w="766"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0.48</w:t>
                  </w:r>
                </w:p>
              </w:tc>
              <w:tc>
                <w:tcPr>
                  <w:tcW w:w="64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w:t>
                  </w:r>
                </w:p>
              </w:tc>
              <w:tc>
                <w:tcPr>
                  <w:tcW w:w="606" w:type="pct"/>
                  <w:vMerge w:val="continue"/>
                  <w:vAlign w:val="center"/>
                </w:tcPr>
                <w:p>
                  <w:pPr>
                    <w:widowControl w:val="0"/>
                    <w:snapToGrid w:val="0"/>
                    <w:jc w:val="center"/>
                    <w:rPr>
                      <w:rFonts w:hint="default" w:ascii="Times New Roman" w:hAnsi="Times New Roman" w:eastAsia="宋体" w:cs="Times New Roman"/>
                      <w:b w:val="0"/>
                      <w:bCs w:val="0"/>
                      <w:color w:val="auto"/>
                      <w:sz w:val="21"/>
                      <w:szCs w:val="21"/>
                    </w:rPr>
                  </w:pPr>
                </w:p>
              </w:tc>
              <w:tc>
                <w:tcPr>
                  <w:tcW w:w="680" w:type="pct"/>
                  <w:vMerge w:val="continue"/>
                  <w:vAlign w:val="center"/>
                </w:tcPr>
                <w:p>
                  <w:pPr>
                    <w:widowControl w:val="0"/>
                    <w:jc w:val="center"/>
                    <w:rPr>
                      <w:rFonts w:hint="default" w:ascii="Times New Roman" w:hAnsi="Times New Roman" w:eastAsia="宋体" w:cs="Times New Roman"/>
                      <w:b w:val="0"/>
                      <w:bCs w:val="0"/>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24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四、</w:t>
            </w:r>
            <w:r>
              <w:rPr>
                <w:rFonts w:hint="default" w:ascii="Times New Roman" w:hAnsi="Times New Roman" w:eastAsia="宋体" w:cs="Times New Roman"/>
                <w:b w:val="0"/>
                <w:bCs w:val="0"/>
                <w:sz w:val="24"/>
                <w:szCs w:val="24"/>
              </w:rPr>
              <w:t>仪器检定及校准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表一 现场采样仪器流量校准记录表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138"/>
              <w:gridCol w:w="1127"/>
              <w:gridCol w:w="1161"/>
              <w:gridCol w:w="778"/>
              <w:gridCol w:w="1305"/>
              <w:gridCol w:w="1264"/>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740" w:type="pc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核查装置</w:t>
                  </w:r>
                </w:p>
              </w:tc>
              <w:tc>
                <w:tcPr>
                  <w:tcW w:w="1249" w:type="pct"/>
                  <w:gridSpan w:val="2"/>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AWA6021声校准器</w:t>
                  </w:r>
                </w:p>
              </w:tc>
              <w:tc>
                <w:tcPr>
                  <w:tcW w:w="1093" w:type="pct"/>
                  <w:gridSpan w:val="2"/>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仪器编号</w:t>
                  </w:r>
                </w:p>
              </w:tc>
              <w:tc>
                <w:tcPr>
                  <w:tcW w:w="1915" w:type="pct"/>
                  <w:gridSpan w:val="3"/>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HXJC-2058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仪器名称</w:t>
                  </w:r>
                </w:p>
              </w:tc>
              <w:tc>
                <w:tcPr>
                  <w:tcW w:w="5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仪器型号</w:t>
                  </w:r>
                </w:p>
              </w:tc>
              <w:tc>
                <w:tcPr>
                  <w:tcW w:w="650"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管理编号</w:t>
                  </w:r>
                </w:p>
              </w:tc>
              <w:tc>
                <w:tcPr>
                  <w:tcW w:w="3009" w:type="pct"/>
                  <w:gridSpan w:val="5"/>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现场校准情况    示值（dB）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740"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599"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50"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11"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时间</w:t>
                  </w:r>
                </w:p>
              </w:tc>
              <w:tc>
                <w:tcPr>
                  <w:tcW w:w="481"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标准值</w:t>
                  </w:r>
                </w:p>
              </w:tc>
              <w:tc>
                <w:tcPr>
                  <w:tcW w:w="78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检测前校准值</w:t>
                  </w:r>
                </w:p>
              </w:tc>
              <w:tc>
                <w:tcPr>
                  <w:tcW w:w="765"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检测后校准值</w:t>
                  </w:r>
                </w:p>
              </w:tc>
              <w:tc>
                <w:tcPr>
                  <w:tcW w:w="36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740"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多功能声级计</w:t>
                  </w:r>
                </w:p>
              </w:tc>
              <w:tc>
                <w:tcPr>
                  <w:tcW w:w="5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AWA</w:t>
                  </w:r>
                  <w:r>
                    <w:rPr>
                      <w:rFonts w:hint="default" w:ascii="Times New Roman" w:hAnsi="Times New Roman" w:eastAsia="宋体" w:cs="Times New Roman"/>
                      <w:b w:val="0"/>
                      <w:bCs w:val="0"/>
                      <w:sz w:val="21"/>
                      <w:szCs w:val="21"/>
                      <w:lang w:val="en-US" w:eastAsia="zh-CN"/>
                    </w:rPr>
                    <w:t>6228</w:t>
                  </w:r>
                </w:p>
              </w:tc>
              <w:tc>
                <w:tcPr>
                  <w:tcW w:w="650"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114</w:t>
                  </w:r>
                </w:p>
              </w:tc>
              <w:tc>
                <w:tcPr>
                  <w:tcW w:w="611"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2022.04.14</w:t>
                  </w:r>
                </w:p>
              </w:tc>
              <w:tc>
                <w:tcPr>
                  <w:tcW w:w="48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94.0</w:t>
                  </w:r>
                </w:p>
              </w:tc>
              <w:tc>
                <w:tcPr>
                  <w:tcW w:w="78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93.8</w:t>
                  </w:r>
                </w:p>
              </w:tc>
              <w:tc>
                <w:tcPr>
                  <w:tcW w:w="765"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93.8</w:t>
                  </w:r>
                </w:p>
              </w:tc>
              <w:tc>
                <w:tcPr>
                  <w:tcW w:w="36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740"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599"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50"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11"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2022.04.15</w:t>
                  </w:r>
                </w:p>
              </w:tc>
              <w:tc>
                <w:tcPr>
                  <w:tcW w:w="481" w:type="pc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94.0</w:t>
                  </w:r>
                </w:p>
              </w:tc>
              <w:tc>
                <w:tcPr>
                  <w:tcW w:w="78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93.8</w:t>
                  </w:r>
                </w:p>
              </w:tc>
              <w:tc>
                <w:tcPr>
                  <w:tcW w:w="765"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93.8</w:t>
                  </w:r>
                </w:p>
              </w:tc>
              <w:tc>
                <w:tcPr>
                  <w:tcW w:w="36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 xml:space="preserve">表二 </w:t>
            </w:r>
            <w:r>
              <w:rPr>
                <w:rFonts w:hint="default" w:ascii="Times New Roman" w:hAnsi="Times New Roman" w:eastAsia="宋体" w:cs="Times New Roman"/>
                <w:b w:val="0"/>
                <w:bCs w:val="0"/>
                <w:sz w:val="24"/>
                <w:szCs w:val="24"/>
              </w:rPr>
              <w:t>现场采样仪器流量校准记录表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179"/>
              <w:gridCol w:w="1232"/>
              <w:gridCol w:w="1332"/>
              <w:gridCol w:w="1217"/>
              <w:gridCol w:w="10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blHeader/>
                <w:jc w:val="center"/>
              </w:trPr>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核查装置</w:t>
                  </w:r>
                </w:p>
              </w:tc>
              <w:tc>
                <w:tcPr>
                  <w:tcW w:w="135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bidi="ar"/>
                    </w:rPr>
                    <w:t>孔口</w:t>
                  </w:r>
                  <w:r>
                    <w:rPr>
                      <w:rFonts w:hint="default" w:ascii="Times New Roman" w:hAnsi="Times New Roman" w:eastAsia="宋体" w:cs="Times New Roman"/>
                      <w:b w:val="0"/>
                      <w:bCs w:val="0"/>
                      <w:color w:val="000000"/>
                      <w:kern w:val="0"/>
                      <w:sz w:val="21"/>
                      <w:szCs w:val="21"/>
                      <w:lang w:bidi="ar"/>
                    </w:rPr>
                    <w:t>流量</w:t>
                  </w:r>
                  <w:r>
                    <w:rPr>
                      <w:rFonts w:hint="default" w:ascii="Times New Roman" w:hAnsi="Times New Roman" w:eastAsia="宋体" w:cs="Times New Roman"/>
                      <w:b w:val="0"/>
                      <w:bCs w:val="0"/>
                      <w:color w:val="000000"/>
                      <w:kern w:val="0"/>
                      <w:sz w:val="21"/>
                      <w:szCs w:val="21"/>
                      <w:lang w:val="en-US" w:eastAsia="zh-CN" w:bidi="ar"/>
                    </w:rPr>
                    <w:t>校准器</w:t>
                  </w:r>
                  <w:r>
                    <w:rPr>
                      <w:rFonts w:hint="default" w:ascii="Times New Roman" w:hAnsi="Times New Roman" w:eastAsia="宋体" w:cs="Times New Roman"/>
                      <w:b w:val="0"/>
                      <w:bCs w:val="0"/>
                      <w:color w:val="000000"/>
                      <w:kern w:val="0"/>
                      <w:sz w:val="21"/>
                      <w:szCs w:val="21"/>
                      <w:lang w:bidi="ar"/>
                    </w:rPr>
                    <w:t>EE-</w:t>
                  </w:r>
                  <w:r>
                    <w:rPr>
                      <w:rFonts w:hint="default" w:ascii="Times New Roman" w:hAnsi="Times New Roman" w:eastAsia="宋体" w:cs="Times New Roman"/>
                      <w:b w:val="0"/>
                      <w:bCs w:val="0"/>
                      <w:color w:val="000000"/>
                      <w:kern w:val="0"/>
                      <w:sz w:val="21"/>
                      <w:szCs w:val="21"/>
                      <w:lang w:val="en-US" w:eastAsia="zh-CN" w:bidi="ar"/>
                    </w:rPr>
                    <w:t>5025</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仪器编号</w:t>
                  </w:r>
                </w:p>
              </w:tc>
              <w:tc>
                <w:tcPr>
                  <w:tcW w:w="2052"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color w:val="000000"/>
                      <w:kern w:val="0"/>
                      <w:sz w:val="21"/>
                      <w:szCs w:val="21"/>
                      <w:lang w:bidi="ar"/>
                    </w:rPr>
                    <w:t>HXJC-201</w:t>
                  </w:r>
                  <w:r>
                    <w:rPr>
                      <w:rFonts w:hint="default" w:ascii="Times New Roman" w:hAnsi="Times New Roman" w:eastAsia="宋体" w:cs="Times New Roman"/>
                      <w:b w:val="0"/>
                      <w:bCs w:val="0"/>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仪器名称</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仪器型号</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管理编号</w:t>
                  </w:r>
                </w:p>
              </w:tc>
              <w:tc>
                <w:tcPr>
                  <w:tcW w:w="2840" w:type="pct"/>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现场校准情况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表观流量（L/min）</w:t>
                  </w:r>
                </w:p>
              </w:tc>
              <w:tc>
                <w:tcPr>
                  <w:tcW w:w="72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实测值（L/min）</w:t>
                  </w:r>
                </w:p>
              </w:tc>
              <w:tc>
                <w:tcPr>
                  <w:tcW w:w="6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误差（%）</w:t>
                  </w:r>
                </w:p>
              </w:tc>
              <w:tc>
                <w:tcPr>
                  <w:tcW w:w="6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恒温恒流大气颗粒物采样器</w:t>
                  </w: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MH1205型</w:t>
                  </w: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87</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99.2</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0.80 </w:t>
                  </w:r>
                </w:p>
              </w:tc>
              <w:tc>
                <w:tcPr>
                  <w:tcW w:w="68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100.4</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100.1</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-0.10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恒温恒流大气颗粒物采样器</w:t>
                  </w: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MH1205型</w:t>
                  </w: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88</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100.7</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-0.70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100.0</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0.00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100.2</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-0.20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恒温恒流大气颗粒物采样器</w:t>
                  </w: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MH1205型</w:t>
                  </w: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89</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99.5</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0.50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100.0</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0.00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101.0</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-1.00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恒温恒流大气颗粒物采样器</w:t>
                  </w: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MH1205型</w:t>
                  </w: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90</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99.1</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0.90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99.4</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0.60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99.4</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0.60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MH1205型</w:t>
                  </w: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91</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99.0</w:t>
                  </w:r>
                </w:p>
              </w:tc>
              <w:tc>
                <w:tcPr>
                  <w:tcW w:w="648"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1.00 </w:t>
                  </w:r>
                </w:p>
              </w:tc>
              <w:tc>
                <w:tcPr>
                  <w:tcW w:w="68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100.1</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-0.10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100.6</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-0.60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仪器名称</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仪器型号</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管理编号</w:t>
                  </w:r>
                </w:p>
              </w:tc>
              <w:tc>
                <w:tcPr>
                  <w:tcW w:w="2840" w:type="pct"/>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现场校准情况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p>
              </w:tc>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p>
              </w:tc>
              <w:tc>
                <w:tcPr>
                  <w:tcW w:w="65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表观流量（L/min）</w:t>
                  </w:r>
                </w:p>
              </w:tc>
              <w:tc>
                <w:tcPr>
                  <w:tcW w:w="72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实测值（L/min）</w:t>
                  </w:r>
                </w:p>
              </w:tc>
              <w:tc>
                <w:tcPr>
                  <w:tcW w:w="64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误差（%）</w:t>
                  </w:r>
                </w:p>
              </w:tc>
              <w:tc>
                <w:tcPr>
                  <w:tcW w:w="682"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恒温恒流大气颗粒物采样器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MH1205型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lang w:val="en-US" w:eastAsia="zh-CN" w:bidi="ar-SA"/>
                    </w:rPr>
                  </w:pP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92</w:t>
                  </w: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100.6</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-0.60 </w:t>
                  </w:r>
                </w:p>
              </w:tc>
              <w:tc>
                <w:tcPr>
                  <w:tcW w:w="682" w:type="pct"/>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99.1</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0.90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100.9</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-0.90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恒温恒流大气颗粒物采样器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MH1205型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93</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99.4</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0.60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99.3</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0.70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99.3</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0.70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恒温恒流大气颗粒物采样器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restar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MH1205型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94</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100.1</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-0.10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99.0</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1.00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100.8</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-0.80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采样器</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崂应2050</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76</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100.3</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-0.30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100.8</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-0.80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100.4</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采样器</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崂应2050</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77</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100.4</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100.8</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-0.80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99.6</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采样器</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崂应2050</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78</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100.4</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99.1</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0.90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99.1</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0.90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采样器</w:t>
                  </w:r>
                </w:p>
              </w:tc>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崂应2050</w:t>
                  </w:r>
                </w:p>
              </w:tc>
              <w:tc>
                <w:tcPr>
                  <w:tcW w:w="6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79</w:t>
                  </w: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100.0</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0.00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100.4</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-0.40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806"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0"/>
                      <w:sz w:val="21"/>
                      <w:szCs w:val="21"/>
                    </w:rPr>
                  </w:pPr>
                </w:p>
              </w:tc>
              <w:tc>
                <w:tcPr>
                  <w:tcW w:w="699"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652" w:type="pct"/>
                  <w:vMerge w:val="continue"/>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c>
                <w:tcPr>
                  <w:tcW w:w="788"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w:t>
                  </w:r>
                </w:p>
              </w:tc>
              <w:tc>
                <w:tcPr>
                  <w:tcW w:w="721"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99.3</w:t>
                  </w:r>
                </w:p>
              </w:tc>
              <w:tc>
                <w:tcPr>
                  <w:tcW w:w="64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0.70 </w:t>
                  </w:r>
                </w:p>
              </w:tc>
              <w:tc>
                <w:tcPr>
                  <w:tcW w:w="682" w:type="pct"/>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rPr>
                  </w:pPr>
                </w:p>
              </w:tc>
            </w:tr>
          </w:tbl>
          <w:p>
            <w:pPr>
              <w:widowControl w:val="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（续）</w:t>
            </w:r>
            <w:r>
              <w:rPr>
                <w:rFonts w:hint="default" w:ascii="Times New Roman" w:hAnsi="Times New Roman" w:eastAsia="宋体" w:cs="Times New Roman"/>
                <w:b w:val="0"/>
                <w:bCs w:val="0"/>
                <w:sz w:val="24"/>
                <w:szCs w:val="24"/>
              </w:rPr>
              <w:t>表</w:t>
            </w:r>
            <w:r>
              <w:rPr>
                <w:rFonts w:hint="default" w:ascii="Times New Roman" w:hAnsi="Times New Roman" w:eastAsia="宋体" w:cs="Times New Roman"/>
                <w:b w:val="0"/>
                <w:bCs w:val="0"/>
                <w:sz w:val="24"/>
                <w:szCs w:val="24"/>
                <w:lang w:val="en-US" w:eastAsia="zh-CN"/>
              </w:rPr>
              <w:t>二</w:t>
            </w:r>
            <w:r>
              <w:rPr>
                <w:rFonts w:hint="default" w:ascii="Times New Roman" w:hAnsi="Times New Roman" w:eastAsia="宋体" w:cs="Times New Roman"/>
                <w:b w:val="0"/>
                <w:bCs w:val="0"/>
                <w:sz w:val="24"/>
                <w:szCs w:val="24"/>
              </w:rPr>
              <w:t xml:space="preserve"> 现场采样仪器流量校准记录表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1161"/>
              <w:gridCol w:w="1232"/>
              <w:gridCol w:w="753"/>
              <w:gridCol w:w="1195"/>
              <w:gridCol w:w="1195"/>
              <w:gridCol w:w="899"/>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7"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仪器名称</w:t>
                  </w:r>
                </w:p>
              </w:tc>
              <w:tc>
                <w:tcPr>
                  <w:tcW w:w="67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仪器型号</w:t>
                  </w:r>
                </w:p>
              </w:tc>
              <w:tc>
                <w:tcPr>
                  <w:tcW w:w="648"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管理编号</w:t>
                  </w:r>
                </w:p>
              </w:tc>
              <w:tc>
                <w:tcPr>
                  <w:tcW w:w="2747" w:type="pct"/>
                  <w:gridSpan w:val="5"/>
                  <w:tcBorders>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现场校准情况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27" w:type="pct"/>
                  <w:vMerge w:val="continue"/>
                </w:tcPr>
                <w:p>
                  <w:pPr>
                    <w:widowControl w:val="0"/>
                    <w:jc w:val="center"/>
                    <w:rPr>
                      <w:rFonts w:hint="default" w:ascii="Times New Roman" w:hAnsi="Times New Roman" w:eastAsia="宋体" w:cs="Times New Roman"/>
                      <w:b w:val="0"/>
                      <w:bCs w:val="0"/>
                      <w:sz w:val="21"/>
                      <w:szCs w:val="21"/>
                    </w:rPr>
                  </w:pPr>
                </w:p>
              </w:tc>
              <w:tc>
                <w:tcPr>
                  <w:tcW w:w="676"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48"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479" w:type="pc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名称</w:t>
                  </w:r>
                </w:p>
              </w:tc>
              <w:tc>
                <w:tcPr>
                  <w:tcW w:w="678"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标准浓度（mg/m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629"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实测值（mg/m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56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误差（%）</w:t>
                  </w:r>
                </w:p>
              </w:tc>
              <w:tc>
                <w:tcPr>
                  <w:tcW w:w="39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27" w:type="pct"/>
                  <w:vMerge w:val="restart"/>
                  <w:vAlign w:val="top"/>
                </w:tcPr>
                <w:p>
                  <w:pPr>
                    <w:pStyle w:val="13"/>
                    <w:widowControl w:val="0"/>
                    <w:spacing w:before="24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大流量烟尘（气）测试仪</w:t>
                  </w:r>
                </w:p>
              </w:tc>
              <w:tc>
                <w:tcPr>
                  <w:tcW w:w="676" w:type="pct"/>
                  <w:vMerge w:val="restar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YQ3000-D</w:t>
                  </w:r>
                </w:p>
              </w:tc>
              <w:tc>
                <w:tcPr>
                  <w:tcW w:w="648" w:type="pct"/>
                  <w:vMerge w:val="restart"/>
                  <w:vAlign w:val="center"/>
                </w:tcPr>
                <w:p>
                  <w:pPr>
                    <w:widowControl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45</w:t>
                  </w:r>
                </w:p>
              </w:tc>
              <w:tc>
                <w:tcPr>
                  <w:tcW w:w="479"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SO</w:t>
                  </w:r>
                  <w:r>
                    <w:rPr>
                      <w:rFonts w:hint="default" w:ascii="Times New Roman" w:hAnsi="Times New Roman" w:eastAsia="宋体" w:cs="Times New Roman"/>
                      <w:b w:val="0"/>
                      <w:bCs w:val="0"/>
                      <w:sz w:val="21"/>
                      <w:szCs w:val="21"/>
                      <w:vertAlign w:val="subscript"/>
                      <w:lang w:val="en-US" w:eastAsia="zh-CN"/>
                    </w:rPr>
                    <w:t>2</w:t>
                  </w:r>
                </w:p>
              </w:tc>
              <w:tc>
                <w:tcPr>
                  <w:tcW w:w="67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130</w:t>
                  </w:r>
                </w:p>
              </w:tc>
              <w:tc>
                <w:tcPr>
                  <w:tcW w:w="62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128</w:t>
                  </w:r>
                </w:p>
              </w:tc>
              <w:tc>
                <w:tcPr>
                  <w:tcW w:w="56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-1.54</w:t>
                  </w:r>
                </w:p>
              </w:tc>
              <w:tc>
                <w:tcPr>
                  <w:tcW w:w="394" w:type="pct"/>
                  <w:vMerge w:val="restart"/>
                  <w:tcBorders>
                    <w:left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7" w:type="pct"/>
                  <w:vMerge w:val="continue"/>
                </w:tcPr>
                <w:p>
                  <w:pPr>
                    <w:widowControl w:val="0"/>
                    <w:spacing w:line="360" w:lineRule="auto"/>
                    <w:jc w:val="center"/>
                    <w:rPr>
                      <w:rFonts w:hint="default" w:ascii="Times New Roman" w:hAnsi="Times New Roman" w:eastAsia="宋体" w:cs="Times New Roman"/>
                      <w:b w:val="0"/>
                      <w:bCs w:val="0"/>
                      <w:sz w:val="21"/>
                      <w:szCs w:val="21"/>
                    </w:rPr>
                  </w:pPr>
                </w:p>
              </w:tc>
              <w:tc>
                <w:tcPr>
                  <w:tcW w:w="676"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48"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479" w:type="pct"/>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NO</w:t>
                  </w:r>
                </w:p>
              </w:tc>
              <w:tc>
                <w:tcPr>
                  <w:tcW w:w="67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285</w:t>
                  </w:r>
                </w:p>
              </w:tc>
              <w:tc>
                <w:tcPr>
                  <w:tcW w:w="62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283</w:t>
                  </w:r>
                </w:p>
              </w:tc>
              <w:tc>
                <w:tcPr>
                  <w:tcW w:w="56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-0.70</w:t>
                  </w:r>
                </w:p>
              </w:tc>
              <w:tc>
                <w:tcPr>
                  <w:tcW w:w="394" w:type="pct"/>
                  <w:vMerge w:val="continue"/>
                  <w:tcBorders>
                    <w:left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7" w:type="pct"/>
                  <w:vMerge w:val="restart"/>
                  <w:vAlign w:val="center"/>
                </w:tcPr>
                <w:p>
                  <w:pPr>
                    <w:pStyle w:val="13"/>
                    <w:widowControl w:val="0"/>
                    <w:spacing w:before="24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智能烟尘烟气分析仪</w:t>
                  </w:r>
                </w:p>
              </w:tc>
              <w:tc>
                <w:tcPr>
                  <w:tcW w:w="676" w:type="pct"/>
                  <w:vMerge w:val="restar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EM3088 3.0</w:t>
                  </w:r>
                </w:p>
              </w:tc>
              <w:tc>
                <w:tcPr>
                  <w:tcW w:w="648" w:type="pct"/>
                  <w:vMerge w:val="restar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32</w:t>
                  </w:r>
                </w:p>
              </w:tc>
              <w:tc>
                <w:tcPr>
                  <w:tcW w:w="479" w:type="pc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SO</w:t>
                  </w:r>
                  <w:r>
                    <w:rPr>
                      <w:rFonts w:hint="default" w:ascii="Times New Roman" w:hAnsi="Times New Roman" w:eastAsia="宋体" w:cs="Times New Roman"/>
                      <w:b w:val="0"/>
                      <w:bCs w:val="0"/>
                      <w:sz w:val="21"/>
                      <w:szCs w:val="21"/>
                      <w:vertAlign w:val="subscript"/>
                      <w:lang w:val="en-US" w:eastAsia="zh-CN"/>
                    </w:rPr>
                    <w:t>2</w:t>
                  </w:r>
                </w:p>
              </w:tc>
              <w:tc>
                <w:tcPr>
                  <w:tcW w:w="67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130</w:t>
                  </w:r>
                </w:p>
              </w:tc>
              <w:tc>
                <w:tcPr>
                  <w:tcW w:w="62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133</w:t>
                  </w:r>
                </w:p>
              </w:tc>
              <w:tc>
                <w:tcPr>
                  <w:tcW w:w="56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2.31</w:t>
                  </w:r>
                </w:p>
              </w:tc>
              <w:tc>
                <w:tcPr>
                  <w:tcW w:w="394" w:type="pct"/>
                  <w:vMerge w:val="continue"/>
                  <w:tcBorders>
                    <w:left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7"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76"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648"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479" w:type="pc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NO</w:t>
                  </w:r>
                </w:p>
              </w:tc>
              <w:tc>
                <w:tcPr>
                  <w:tcW w:w="678"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285</w:t>
                  </w:r>
                </w:p>
              </w:tc>
              <w:tc>
                <w:tcPr>
                  <w:tcW w:w="629"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287</w:t>
                  </w:r>
                </w:p>
              </w:tc>
              <w:tc>
                <w:tcPr>
                  <w:tcW w:w="564"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0.70</w:t>
                  </w:r>
                </w:p>
              </w:tc>
              <w:tc>
                <w:tcPr>
                  <w:tcW w:w="394" w:type="pct"/>
                  <w:vMerge w:val="continue"/>
                  <w:tcBorders>
                    <w:left w:val="single" w:color="auto" w:sz="4" w:space="0"/>
                    <w:right w:val="single" w:color="auto" w:sz="4" w:space="0"/>
                  </w:tcBorders>
                  <w:vAlign w:val="center"/>
                </w:tcPr>
                <w:p>
                  <w:pPr>
                    <w:widowControl w:val="0"/>
                    <w:spacing w:line="360" w:lineRule="auto"/>
                    <w:jc w:val="center"/>
                    <w:rPr>
                      <w:rFonts w:hint="default" w:ascii="Times New Roman" w:hAnsi="Times New Roman" w:eastAsia="宋体" w:cs="Times New Roman"/>
                      <w:b w:val="0"/>
                      <w:bCs w:val="0"/>
                      <w:sz w:val="21"/>
                      <w:szCs w:val="21"/>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表</w:t>
            </w:r>
            <w:r>
              <w:rPr>
                <w:rFonts w:hint="default" w:ascii="Times New Roman" w:hAnsi="Times New Roman" w:eastAsia="宋体" w:cs="Times New Roman"/>
                <w:b w:val="0"/>
                <w:bCs w:val="0"/>
                <w:sz w:val="24"/>
                <w:szCs w:val="24"/>
                <w:lang w:val="en-US" w:eastAsia="zh-CN"/>
              </w:rPr>
              <w:t xml:space="preserve">三 </w:t>
            </w:r>
            <w:r>
              <w:rPr>
                <w:rFonts w:hint="default" w:ascii="Times New Roman" w:hAnsi="Times New Roman" w:eastAsia="宋体" w:cs="Times New Roman"/>
                <w:b w:val="0"/>
                <w:bCs w:val="0"/>
                <w:sz w:val="24"/>
                <w:szCs w:val="24"/>
              </w:rPr>
              <w:t>仪器检定/校准</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4"/>
              <w:gridCol w:w="1290"/>
              <w:gridCol w:w="1232"/>
              <w:gridCol w:w="2200"/>
              <w:gridCol w:w="426"/>
              <w:gridCol w:w="1161"/>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blHeader/>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序号</w:t>
                  </w:r>
                </w:p>
              </w:tc>
              <w:tc>
                <w:tcPr>
                  <w:tcW w:w="64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仪器名称</w:t>
                  </w:r>
                </w:p>
              </w:tc>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型号</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设备编号</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证书编号</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有效期</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检定日期</w:t>
                  </w:r>
                </w:p>
              </w:tc>
              <w:tc>
                <w:tcPr>
                  <w:tcW w:w="73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检定单位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1</w:t>
                  </w:r>
                </w:p>
              </w:tc>
              <w:tc>
                <w:tcPr>
                  <w:tcW w:w="64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声校准器</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AWA6221A</w:t>
                  </w:r>
                </w:p>
              </w:tc>
              <w:tc>
                <w:tcPr>
                  <w:tcW w:w="643"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HXJC-</w:t>
                  </w:r>
                  <w:r>
                    <w:rPr>
                      <w:rFonts w:hint="default" w:ascii="Times New Roman" w:hAnsi="Times New Roman" w:eastAsia="宋体" w:cs="Times New Roman"/>
                      <w:b w:val="0"/>
                      <w:bCs w:val="0"/>
                      <w:kern w:val="0"/>
                      <w:sz w:val="21"/>
                      <w:szCs w:val="21"/>
                      <w:lang w:val="en-US" w:eastAsia="zh-CN" w:bidi="ar"/>
                    </w:rPr>
                    <w:t>2058</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21C1-05907</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1年</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2022.01.19</w:t>
                  </w:r>
                </w:p>
              </w:tc>
              <w:tc>
                <w:tcPr>
                  <w:tcW w:w="73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福建省计量</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2</w:t>
                  </w:r>
                </w:p>
              </w:tc>
              <w:tc>
                <w:tcPr>
                  <w:tcW w:w="64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多功能声级计</w:t>
                  </w:r>
                </w:p>
              </w:tc>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AWA6228</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114</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JT-20210901619</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1年</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2021.</w:t>
                  </w:r>
                  <w:r>
                    <w:rPr>
                      <w:rFonts w:hint="default" w:ascii="Times New Roman" w:hAnsi="Times New Roman" w:eastAsia="宋体" w:cs="Times New Roman"/>
                      <w:b w:val="0"/>
                      <w:bCs w:val="0"/>
                      <w:color w:val="auto"/>
                      <w:sz w:val="21"/>
                      <w:szCs w:val="21"/>
                      <w:lang w:val="en-US" w:eastAsia="zh-CN"/>
                    </w:rPr>
                    <w:t>09.24</w:t>
                  </w:r>
                </w:p>
              </w:tc>
              <w:tc>
                <w:tcPr>
                  <w:tcW w:w="73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浙江省计量</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w:t>
                  </w:r>
                </w:p>
              </w:tc>
              <w:tc>
                <w:tcPr>
                  <w:tcW w:w="64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电子天平</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ME55/02</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HXJC-1009</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（SEPL)C/2</w:t>
                  </w: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rPr>
                    <w:t>-022</w:t>
                  </w:r>
                  <w:r>
                    <w:rPr>
                      <w:rFonts w:hint="default" w:ascii="Times New Roman" w:hAnsi="Times New Roman" w:eastAsia="宋体" w:cs="Times New Roman"/>
                      <w:b w:val="0"/>
                      <w:bCs w:val="0"/>
                      <w:sz w:val="21"/>
                      <w:szCs w:val="21"/>
                      <w:lang w:val="en-US" w:eastAsia="zh-CN"/>
                    </w:rPr>
                    <w:t>1001</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1年</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202</w:t>
                  </w: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rPr>
                    <w:t>.02.2</w:t>
                  </w:r>
                  <w:r>
                    <w:rPr>
                      <w:rFonts w:hint="default" w:ascii="Times New Roman" w:hAnsi="Times New Roman" w:eastAsia="宋体" w:cs="Times New Roman"/>
                      <w:b w:val="0"/>
                      <w:bCs w:val="0"/>
                      <w:sz w:val="21"/>
                      <w:szCs w:val="21"/>
                      <w:lang w:val="en-US" w:eastAsia="zh-CN"/>
                    </w:rPr>
                    <w:t>1</w:t>
                  </w:r>
                </w:p>
              </w:tc>
              <w:tc>
                <w:tcPr>
                  <w:tcW w:w="73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w:t>
                  </w:r>
                </w:p>
              </w:tc>
              <w:tc>
                <w:tcPr>
                  <w:tcW w:w="6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90</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M20210321056</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2022.04.07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安正计量检测</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p>
              </w:tc>
              <w:tc>
                <w:tcPr>
                  <w:tcW w:w="65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bidi="ar"/>
                    </w:rPr>
                  </w:pPr>
                </w:p>
              </w:tc>
              <w:tc>
                <w:tcPr>
                  <w:tcW w:w="64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bidi="ar"/>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M20210321061</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p>
              </w:tc>
              <w:tc>
                <w:tcPr>
                  <w:tcW w:w="7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5</w:t>
                  </w:r>
                </w:p>
              </w:tc>
              <w:tc>
                <w:tcPr>
                  <w:tcW w:w="6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91</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M20210321055</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lang w:val="en-US" w:eastAsia="zh-CN"/>
                    </w:rPr>
                    <w:t>2022.04.07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安正计量检测</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top"/>
                </w:tcPr>
                <w:p>
                  <w:pPr>
                    <w:widowControl w:val="0"/>
                    <w:jc w:val="center"/>
                    <w:rPr>
                      <w:rFonts w:hint="default" w:ascii="Times New Roman" w:hAnsi="Times New Roman" w:eastAsia="宋体" w:cs="Times New Roman"/>
                      <w:b w:val="0"/>
                      <w:bCs w:val="0"/>
                      <w:kern w:val="0"/>
                      <w:sz w:val="21"/>
                      <w:szCs w:val="21"/>
                      <w:lang w:val="en-US" w:eastAsia="zh-CN"/>
                    </w:rPr>
                  </w:pPr>
                </w:p>
              </w:tc>
              <w:tc>
                <w:tcPr>
                  <w:tcW w:w="659"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64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M20210321061</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730"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6</w:t>
                  </w:r>
                </w:p>
              </w:tc>
              <w:tc>
                <w:tcPr>
                  <w:tcW w:w="6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92</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M20210321054</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lang w:val="en-US" w:eastAsia="zh-CN"/>
                    </w:rPr>
                    <w:t>2022.04.07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安正计量检测</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top"/>
                </w:tcPr>
                <w:p>
                  <w:pPr>
                    <w:widowControl w:val="0"/>
                    <w:jc w:val="center"/>
                    <w:rPr>
                      <w:rFonts w:hint="default" w:ascii="Times New Roman" w:hAnsi="Times New Roman" w:eastAsia="宋体" w:cs="Times New Roman"/>
                      <w:b w:val="0"/>
                      <w:bCs w:val="0"/>
                      <w:kern w:val="0"/>
                      <w:sz w:val="21"/>
                      <w:szCs w:val="21"/>
                      <w:lang w:val="en-US" w:eastAsia="zh-CN"/>
                    </w:rPr>
                  </w:pPr>
                </w:p>
              </w:tc>
              <w:tc>
                <w:tcPr>
                  <w:tcW w:w="659"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64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M20210321059</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730"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7</w:t>
                  </w:r>
                </w:p>
              </w:tc>
              <w:tc>
                <w:tcPr>
                  <w:tcW w:w="6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93</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M20210321052</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lang w:val="en-US" w:eastAsia="zh-CN"/>
                    </w:rPr>
                    <w:t>2022.04.07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安正计量检测</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top"/>
                </w:tcPr>
                <w:p>
                  <w:pPr>
                    <w:widowControl w:val="0"/>
                    <w:jc w:val="center"/>
                    <w:rPr>
                      <w:rFonts w:hint="default" w:ascii="Times New Roman" w:hAnsi="Times New Roman" w:eastAsia="宋体" w:cs="Times New Roman"/>
                      <w:b w:val="0"/>
                      <w:bCs w:val="0"/>
                      <w:kern w:val="0"/>
                      <w:sz w:val="21"/>
                      <w:szCs w:val="21"/>
                      <w:lang w:val="en-US" w:eastAsia="zh-CN"/>
                    </w:rPr>
                  </w:pPr>
                </w:p>
              </w:tc>
              <w:tc>
                <w:tcPr>
                  <w:tcW w:w="659"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64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M20210321057</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730"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8</w:t>
                  </w:r>
                </w:p>
              </w:tc>
              <w:tc>
                <w:tcPr>
                  <w:tcW w:w="6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94</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M20210321053</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lang w:val="en-US" w:eastAsia="zh-CN"/>
                    </w:rPr>
                    <w:t>2022.04.07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安正计量检测</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top"/>
                </w:tcPr>
                <w:p>
                  <w:pPr>
                    <w:widowControl w:val="0"/>
                    <w:jc w:val="center"/>
                    <w:rPr>
                      <w:rFonts w:hint="default" w:ascii="Times New Roman" w:hAnsi="Times New Roman" w:eastAsia="宋体" w:cs="Times New Roman"/>
                      <w:b w:val="0"/>
                      <w:bCs w:val="0"/>
                      <w:kern w:val="0"/>
                      <w:sz w:val="21"/>
                      <w:szCs w:val="21"/>
                      <w:lang w:val="en-US" w:eastAsia="zh-CN"/>
                    </w:rPr>
                  </w:pPr>
                </w:p>
              </w:tc>
              <w:tc>
                <w:tcPr>
                  <w:tcW w:w="659"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64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M20210321058</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c>
                <w:tcPr>
                  <w:tcW w:w="730" w:type="pct"/>
                  <w:vMerge w:val="continue"/>
                  <w:vAlign w:val="center"/>
                </w:tcPr>
                <w:p>
                  <w:pPr>
                    <w:widowControl w:val="0"/>
                    <w:jc w:val="center"/>
                    <w:rPr>
                      <w:rFonts w:hint="default" w:ascii="Times New Roman" w:hAnsi="Times New Roman" w:eastAsia="宋体" w:cs="Times New Roman"/>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9</w:t>
                  </w:r>
                </w:p>
              </w:tc>
              <w:tc>
                <w:tcPr>
                  <w:tcW w:w="644" w:type="pct"/>
                  <w:vAlign w:val="top"/>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恒温恒流大气颗粒物采样器</w:t>
                  </w:r>
                </w:p>
              </w:tc>
              <w:tc>
                <w:tcPr>
                  <w:tcW w:w="659"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MH1205型</w:t>
                  </w:r>
                </w:p>
              </w:tc>
              <w:tc>
                <w:tcPr>
                  <w:tcW w:w="64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HXJC-2087</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C06-20211561</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2022.03.21</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山东省计量</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10</w:t>
                  </w:r>
                </w:p>
              </w:tc>
              <w:tc>
                <w:tcPr>
                  <w:tcW w:w="644" w:type="pct"/>
                  <w:vAlign w:val="top"/>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恒温恒流大气颗粒物采样器</w:t>
                  </w:r>
                </w:p>
              </w:tc>
              <w:tc>
                <w:tcPr>
                  <w:tcW w:w="659"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MH1205型</w:t>
                  </w:r>
                </w:p>
              </w:tc>
              <w:tc>
                <w:tcPr>
                  <w:tcW w:w="64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HXJC-2088</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C06-20211562</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2022.03.21</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山东省计量</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11</w:t>
                  </w:r>
                </w:p>
              </w:tc>
              <w:tc>
                <w:tcPr>
                  <w:tcW w:w="644" w:type="pct"/>
                  <w:vAlign w:val="top"/>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恒温恒流大气颗粒物采样器</w:t>
                  </w:r>
                </w:p>
              </w:tc>
              <w:tc>
                <w:tcPr>
                  <w:tcW w:w="659"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MH1205型</w:t>
                  </w:r>
                </w:p>
              </w:tc>
              <w:tc>
                <w:tcPr>
                  <w:tcW w:w="64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HXJC-2089</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C06-20211563</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2022.03.21</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安正计量检测</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12</w:t>
                  </w:r>
                </w:p>
              </w:tc>
              <w:tc>
                <w:tcPr>
                  <w:tcW w:w="644" w:type="pct"/>
                  <w:vMerge w:val="restart"/>
                  <w:vAlign w:val="center"/>
                </w:tcPr>
                <w:p>
                  <w:pPr>
                    <w:widowControl w:val="0"/>
                    <w:spacing w:line="360" w:lineRule="auto"/>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恒温恒流大气颗粒物采样器</w:t>
                  </w:r>
                </w:p>
              </w:tc>
              <w:tc>
                <w:tcPr>
                  <w:tcW w:w="659" w:type="pct"/>
                  <w:vMerge w:val="restart"/>
                  <w:vAlign w:val="center"/>
                </w:tcPr>
                <w:p>
                  <w:pPr>
                    <w:widowControl/>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bidi="ar"/>
                    </w:rPr>
                    <w:t>MH1205型</w:t>
                  </w:r>
                </w:p>
              </w:tc>
              <w:tc>
                <w:tcPr>
                  <w:tcW w:w="643" w:type="pct"/>
                  <w:vMerge w:val="restart"/>
                  <w:vAlign w:val="center"/>
                </w:tcPr>
                <w:p>
                  <w:pPr>
                    <w:widowControl w:val="0"/>
                    <w:spacing w:line="360" w:lineRule="auto"/>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90</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lang w:val="en-US" w:eastAsia="zh-CN"/>
                    </w:rPr>
                    <w:t>M20210321056</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1年</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2021.04.07</w:t>
                  </w:r>
                </w:p>
              </w:tc>
              <w:tc>
                <w:tcPr>
                  <w:tcW w:w="7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山东省计量</w:t>
                  </w:r>
                </w:p>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p>
              </w:tc>
              <w:tc>
                <w:tcPr>
                  <w:tcW w:w="6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rPr>
                  </w:pPr>
                </w:p>
              </w:tc>
              <w:tc>
                <w:tcPr>
                  <w:tcW w:w="65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val="0"/>
                      <w:bCs w:val="0"/>
                      <w:kern w:val="0"/>
                      <w:sz w:val="21"/>
                      <w:szCs w:val="21"/>
                      <w:lang w:bidi="ar"/>
                    </w:rPr>
                  </w:pPr>
                </w:p>
              </w:tc>
              <w:tc>
                <w:tcPr>
                  <w:tcW w:w="643" w:type="pct"/>
                  <w:vMerge w:val="continue"/>
                  <w:vAlign w:val="center"/>
                </w:tcPr>
                <w:p>
                  <w:pPr>
                    <w:widowControl w:val="0"/>
                    <w:spacing w:line="360" w:lineRule="auto"/>
                    <w:jc w:val="center"/>
                    <w:rPr>
                      <w:rFonts w:hint="default" w:ascii="Times New Roman" w:hAnsi="Times New Roman" w:eastAsia="宋体" w:cs="Times New Roman"/>
                      <w:b w:val="0"/>
                      <w:bCs w:val="0"/>
                      <w:sz w:val="21"/>
                      <w:szCs w:val="21"/>
                    </w:rPr>
                  </w:pP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lang w:val="en-US" w:eastAsia="zh-CN"/>
                    </w:rPr>
                    <w:t>M20210321061</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1年</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sz w:val="21"/>
                      <w:szCs w:val="21"/>
                    </w:rPr>
                    <w:t>2021.04.07</w:t>
                  </w:r>
                </w:p>
              </w:tc>
              <w:tc>
                <w:tcPr>
                  <w:tcW w:w="7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13</w:t>
                  </w:r>
                </w:p>
              </w:tc>
              <w:tc>
                <w:tcPr>
                  <w:tcW w:w="644"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采样器</w:t>
                  </w:r>
                </w:p>
              </w:tc>
              <w:tc>
                <w:tcPr>
                  <w:tcW w:w="659"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崂应2050</w:t>
                  </w:r>
                </w:p>
              </w:tc>
              <w:tc>
                <w:tcPr>
                  <w:tcW w:w="643"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rPr>
                    <w:t>2076</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（SEPL）C/21-0322001</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2022.03.22</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14</w:t>
                  </w:r>
                </w:p>
              </w:tc>
              <w:tc>
                <w:tcPr>
                  <w:tcW w:w="644"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采样器</w:t>
                  </w:r>
                </w:p>
              </w:tc>
              <w:tc>
                <w:tcPr>
                  <w:tcW w:w="659"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崂应2050</w:t>
                  </w:r>
                </w:p>
              </w:tc>
              <w:tc>
                <w:tcPr>
                  <w:tcW w:w="643"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rPr>
                    <w:t>207</w:t>
                  </w:r>
                  <w:r>
                    <w:rPr>
                      <w:rFonts w:hint="default" w:ascii="Times New Roman" w:hAnsi="Times New Roman" w:eastAsia="宋体" w:cs="Times New Roman"/>
                      <w:b w:val="0"/>
                      <w:bCs w:val="0"/>
                      <w:sz w:val="21"/>
                      <w:szCs w:val="21"/>
                      <w:lang w:val="en-US" w:eastAsia="zh-CN"/>
                    </w:rPr>
                    <w:t>7</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（SEPL）C/21-0322002</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2022.03.22</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15</w:t>
                  </w:r>
                </w:p>
              </w:tc>
              <w:tc>
                <w:tcPr>
                  <w:tcW w:w="644"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采样器</w:t>
                  </w:r>
                </w:p>
              </w:tc>
              <w:tc>
                <w:tcPr>
                  <w:tcW w:w="659"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崂应2050</w:t>
                  </w:r>
                </w:p>
              </w:tc>
              <w:tc>
                <w:tcPr>
                  <w:tcW w:w="643"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rPr>
                    <w:t>207</w:t>
                  </w:r>
                  <w:r>
                    <w:rPr>
                      <w:rFonts w:hint="default" w:ascii="Times New Roman" w:hAnsi="Times New Roman" w:eastAsia="宋体" w:cs="Times New Roman"/>
                      <w:b w:val="0"/>
                      <w:bCs w:val="0"/>
                      <w:sz w:val="21"/>
                      <w:szCs w:val="21"/>
                      <w:lang w:val="en-US" w:eastAsia="zh-CN"/>
                    </w:rPr>
                    <w:t>8</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（SEPL）C/21-0322004</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2022.03.22</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16</w:t>
                  </w:r>
                </w:p>
              </w:tc>
              <w:tc>
                <w:tcPr>
                  <w:tcW w:w="644"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空气综合</w:t>
                  </w:r>
                </w:p>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采样器</w:t>
                  </w:r>
                </w:p>
              </w:tc>
              <w:tc>
                <w:tcPr>
                  <w:tcW w:w="659"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崂应2050</w:t>
                  </w:r>
                </w:p>
              </w:tc>
              <w:tc>
                <w:tcPr>
                  <w:tcW w:w="643"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rPr>
                    <w:t>207</w:t>
                  </w:r>
                  <w:r>
                    <w:rPr>
                      <w:rFonts w:hint="default" w:ascii="Times New Roman" w:hAnsi="Times New Roman" w:eastAsia="宋体" w:cs="Times New Roman"/>
                      <w:b w:val="0"/>
                      <w:bCs w:val="0"/>
                      <w:sz w:val="21"/>
                      <w:szCs w:val="21"/>
                      <w:lang w:val="en-US" w:eastAsia="zh-CN"/>
                    </w:rPr>
                    <w:t>9</w:t>
                  </w:r>
                </w:p>
              </w:tc>
              <w:tc>
                <w:tcPr>
                  <w:tcW w:w="1128"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（SEPL）C/21-0322003</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2022.03.22</w:t>
                  </w:r>
                </w:p>
              </w:tc>
              <w:tc>
                <w:tcPr>
                  <w:tcW w:w="730" w:type="pct"/>
                  <w:vAlign w:val="center"/>
                </w:tcPr>
                <w:p>
                  <w:pPr>
                    <w:widowControl w:val="0"/>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17</w:t>
                  </w:r>
                </w:p>
              </w:tc>
              <w:tc>
                <w:tcPr>
                  <w:tcW w:w="644"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rPr>
                    <w:t>气相色谱仪</w:t>
                  </w:r>
                </w:p>
              </w:tc>
              <w:tc>
                <w:tcPr>
                  <w:tcW w:w="659"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GC-1120</w:t>
                  </w:r>
                </w:p>
              </w:tc>
              <w:tc>
                <w:tcPr>
                  <w:tcW w:w="643" w:type="pct"/>
                  <w:vAlign w:val="center"/>
                </w:tcPr>
                <w:p>
                  <w:pPr>
                    <w:widowControl w:val="0"/>
                    <w:spacing w:line="360" w:lineRule="auto"/>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HXJC-1001</w:t>
                  </w:r>
                </w:p>
              </w:tc>
              <w:tc>
                <w:tcPr>
                  <w:tcW w:w="1128"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rPr>
                    <w:t>（SEPL)C/20-0416012</w:t>
                  </w:r>
                </w:p>
              </w:tc>
              <w:tc>
                <w:tcPr>
                  <w:tcW w:w="361"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rPr>
                    <w:t>2年</w:t>
                  </w:r>
                </w:p>
              </w:tc>
              <w:tc>
                <w:tcPr>
                  <w:tcW w:w="593"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rPr>
                    <w:t>2020.04.16</w:t>
                  </w:r>
                </w:p>
              </w:tc>
              <w:tc>
                <w:tcPr>
                  <w:tcW w:w="730"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18</w:t>
                  </w:r>
                </w:p>
              </w:tc>
              <w:tc>
                <w:tcPr>
                  <w:tcW w:w="644" w:type="pct"/>
                  <w:vAlign w:val="top"/>
                </w:tcPr>
                <w:p>
                  <w:pPr>
                    <w:pStyle w:val="13"/>
                    <w:widowControl w:val="0"/>
                    <w:spacing w:before="24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sz w:val="21"/>
                      <w:szCs w:val="21"/>
                    </w:rPr>
                    <w:t>大流量烟尘（气）测试仪</w:t>
                  </w:r>
                </w:p>
              </w:tc>
              <w:tc>
                <w:tcPr>
                  <w:tcW w:w="659" w:type="pct"/>
                  <w:vAlign w:val="center"/>
                </w:tcPr>
                <w:p>
                  <w:pPr>
                    <w:widowControl w:val="0"/>
                    <w:spacing w:line="36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YQ3000-D</w:t>
                  </w:r>
                </w:p>
              </w:tc>
              <w:tc>
                <w:tcPr>
                  <w:tcW w:w="643" w:type="pct"/>
                  <w:vAlign w:val="center"/>
                </w:tcPr>
                <w:p>
                  <w:pPr>
                    <w:widowControl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45</w:t>
                  </w:r>
                </w:p>
              </w:tc>
              <w:tc>
                <w:tcPr>
                  <w:tcW w:w="1128"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（SEPL) C21-0701020 \（SEPL) C21-0701021</w:t>
                  </w:r>
                </w:p>
              </w:tc>
              <w:tc>
                <w:tcPr>
                  <w:tcW w:w="361"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2021.07.01</w:t>
                  </w:r>
                </w:p>
              </w:tc>
              <w:tc>
                <w:tcPr>
                  <w:tcW w:w="730"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19</w:t>
                  </w:r>
                </w:p>
              </w:tc>
              <w:tc>
                <w:tcPr>
                  <w:tcW w:w="644" w:type="pct"/>
                  <w:vAlign w:val="center"/>
                </w:tcPr>
                <w:p>
                  <w:pPr>
                    <w:pStyle w:val="13"/>
                    <w:widowControl w:val="0"/>
                    <w:spacing w:before="24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智能烟尘烟气分析仪</w:t>
                  </w:r>
                </w:p>
              </w:tc>
              <w:tc>
                <w:tcPr>
                  <w:tcW w:w="659"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EM3088 3.0</w:t>
                  </w:r>
                </w:p>
              </w:tc>
              <w:tc>
                <w:tcPr>
                  <w:tcW w:w="643" w:type="pct"/>
                  <w:vAlign w:val="center"/>
                </w:tcPr>
                <w:p>
                  <w:pPr>
                    <w:widowControl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HXJC-20</w:t>
                  </w:r>
                  <w:r>
                    <w:rPr>
                      <w:rFonts w:hint="default" w:ascii="Times New Roman" w:hAnsi="Times New Roman" w:eastAsia="宋体" w:cs="Times New Roman"/>
                      <w:b w:val="0"/>
                      <w:bCs w:val="0"/>
                      <w:sz w:val="21"/>
                      <w:szCs w:val="21"/>
                      <w:lang w:val="en-US" w:eastAsia="zh-CN"/>
                    </w:rPr>
                    <w:t>32</w:t>
                  </w:r>
                </w:p>
              </w:tc>
              <w:tc>
                <w:tcPr>
                  <w:tcW w:w="1128"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（SEPL）C/21-0524003   （SEPL）C/21-0524004</w:t>
                  </w:r>
                </w:p>
              </w:tc>
              <w:tc>
                <w:tcPr>
                  <w:tcW w:w="361"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593" w:type="pct"/>
                  <w:vAlign w:val="center"/>
                </w:tcPr>
                <w:p>
                  <w:pPr>
                    <w:widowControl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2021.05.24</w:t>
                  </w:r>
                </w:p>
              </w:tc>
              <w:tc>
                <w:tcPr>
                  <w:tcW w:w="730" w:type="pct"/>
                  <w:vAlign w:val="center"/>
                </w:tcPr>
                <w:p>
                  <w:pPr>
                    <w:widowControl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海峡富民生质检技术服务有限公司</w:t>
                  </w:r>
                </w:p>
              </w:tc>
            </w:tr>
          </w:tbl>
          <w:p>
            <w:pPr>
              <w:widowControl w:val="0"/>
              <w:adjustRightInd/>
              <w:spacing w:line="360" w:lineRule="auto"/>
              <w:ind w:firstLine="480" w:firstLineChars="200"/>
              <w:jc w:val="both"/>
              <w:rPr>
                <w:rFonts w:hint="default" w:ascii="Times New Roman" w:hAnsi="Times New Roman" w:eastAsia="宋体" w:cs="Times New Roman"/>
                <w:b w:val="0"/>
                <w:bCs w:val="0"/>
                <w:color w:val="0000FF"/>
                <w:sz w:val="24"/>
                <w:szCs w:val="24"/>
              </w:rPr>
            </w:pPr>
          </w:p>
          <w:p>
            <w:pPr>
              <w:pStyle w:val="25"/>
              <w:widowControl w:val="0"/>
              <w:jc w:val="both"/>
              <w:rPr>
                <w:rFonts w:hint="default" w:ascii="Times New Roman" w:hAnsi="Times New Roman" w:eastAsia="宋体" w:cs="Times New Roman"/>
                <w:b w:val="0"/>
                <w:bCs w:val="0"/>
                <w:color w:val="0000FF"/>
                <w:sz w:val="24"/>
                <w:szCs w:val="24"/>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表六</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000000" w:themeColor="text1"/>
                <w:sz w:val="24"/>
                <w:szCs w:val="24"/>
                <w14:textFill>
                  <w14:solidFill>
                    <w14:schemeClr w14:val="tx1"/>
                  </w14:solidFill>
                </w14:textFill>
              </w:rPr>
            </w:pPr>
            <w:bookmarkStart w:id="6" w:name="_Toc4084"/>
            <w:bookmarkStart w:id="7" w:name="_Toc24246"/>
            <w:r>
              <w:rPr>
                <w:rFonts w:ascii="Times New Roman" w:hAnsi="Times New Roman" w:eastAsia="宋体" w:cs="Times New Roman"/>
                <w:bCs/>
                <w:color w:val="000000" w:themeColor="text1"/>
                <w:sz w:val="24"/>
                <w:szCs w:val="24"/>
                <w14:textFill>
                  <w14:solidFill>
                    <w14:schemeClr w14:val="tx1"/>
                  </w14:solidFill>
                </w14:textFill>
              </w:rPr>
              <w:t>1、环境保护设施调试效果</w:t>
            </w:r>
            <w:bookmarkEnd w:id="6"/>
            <w:bookmarkEnd w:id="7"/>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通过对各类污染物达标排放排放及各类污染治理设施去除效率的监测，来说明环境保护设施调试效果，具体监测内容如下：</w:t>
            </w:r>
          </w:p>
          <w:p>
            <w:pPr>
              <w:pStyle w:val="2"/>
              <w:widowControl w:val="0"/>
              <w:numPr>
                <w:ilvl w:val="0"/>
                <w:numId w:val="0"/>
              </w:num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（1）废气</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本次验收废气监测内容明细表见下表。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1 </w:t>
            </w:r>
            <w:r>
              <w:rPr>
                <w:rFonts w:ascii="Times New Roman" w:hAnsi="Times New Roman" w:eastAsia="宋体" w:cs="Times New Roman"/>
                <w:b/>
                <w:color w:val="000000" w:themeColor="text1"/>
                <w:sz w:val="21"/>
                <w:szCs w:val="21"/>
                <w14:textFill>
                  <w14:solidFill>
                    <w14:schemeClr w14:val="tx1"/>
                  </w14:solidFill>
                </w14:textFill>
              </w:rPr>
              <w:t>废气监测明内容细</w:t>
            </w:r>
          </w:p>
          <w:tbl>
            <w:tblPr>
              <w:tblStyle w:val="27"/>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697"/>
              <w:gridCol w:w="3005"/>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69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300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3" w:hRule="atLeast"/>
                <w:jc w:val="center"/>
              </w:trPr>
              <w:tc>
                <w:tcPr>
                  <w:tcW w:w="1103"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有组织废气</w:t>
                  </w:r>
                </w:p>
              </w:tc>
              <w:tc>
                <w:tcPr>
                  <w:tcW w:w="269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沥青废气进出口2个点位</w:t>
                  </w:r>
                </w:p>
              </w:tc>
              <w:tc>
                <w:tcPr>
                  <w:tcW w:w="300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喷淋塔+电捕焦油器+UV光氧催化+活性炭吸附装置</w:t>
                  </w:r>
                </w:p>
              </w:tc>
              <w:tc>
                <w:tcPr>
                  <w:tcW w:w="14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3次/天，2天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3" w:hRule="atLeast"/>
                <w:jc w:val="center"/>
              </w:trPr>
              <w:tc>
                <w:tcPr>
                  <w:tcW w:w="1103" w:type="dxa"/>
                  <w:vMerge w:val="continue"/>
                  <w:tcBorders>
                    <w:tl2br w:val="nil"/>
                    <w:tr2bl w:val="nil"/>
                  </w:tcBorders>
                  <w:vAlign w:val="center"/>
                </w:tcPr>
                <w:p>
                  <w:pPr>
                    <w:widowControl w:val="0"/>
                    <w:adjustRightInd/>
                    <w:snapToGrid/>
                    <w:jc w:val="center"/>
                    <w:rPr>
                      <w:color w:val="000000" w:themeColor="text1"/>
                      <w14:textFill>
                        <w14:solidFill>
                          <w14:schemeClr w14:val="tx1"/>
                        </w14:solidFill>
                      </w14:textFill>
                    </w:rPr>
                  </w:pPr>
                </w:p>
              </w:tc>
              <w:tc>
                <w:tcPr>
                  <w:tcW w:w="269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导热油炉废气出口个点位</w:t>
                  </w:r>
                </w:p>
              </w:tc>
              <w:tc>
                <w:tcPr>
                  <w:tcW w:w="300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10m排气筒</w:t>
                  </w:r>
                </w:p>
              </w:tc>
              <w:tc>
                <w:tcPr>
                  <w:tcW w:w="1410" w:type="dxa"/>
                  <w:vMerge w:val="continue"/>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无组织废气</w:t>
                  </w:r>
                </w:p>
              </w:tc>
              <w:tc>
                <w:tcPr>
                  <w:tcW w:w="269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厂界4个点位</w:t>
                  </w:r>
                </w:p>
              </w:tc>
              <w:tc>
                <w:tcPr>
                  <w:tcW w:w="300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ascii="Times New Roman" w:hAnsi="Times New Roman" w:eastAsia="宋体" w:cs="Times New Roman"/>
                <w:bCs/>
                <w:color w:val="000000" w:themeColor="text1"/>
                <w:sz w:val="24"/>
                <w:szCs w:val="24"/>
                <w14:textFill>
                  <w14:solidFill>
                    <w14:schemeClr w14:val="tx1"/>
                  </w14:solidFill>
                </w14:textFill>
              </w:rPr>
              <w:t>）厂界噪声监测</w:t>
            </w:r>
          </w:p>
          <w:p>
            <w:pPr>
              <w:widowControl w:val="0"/>
              <w:adjustRightIn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本次验收厂界噪声监测明细表见下表。</w:t>
            </w:r>
          </w:p>
          <w:p>
            <w:pPr>
              <w:widowControl w:val="0"/>
              <w:adjustRightInd/>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2</w:t>
            </w:r>
            <w:r>
              <w:rPr>
                <w:rFonts w:ascii="Times New Roman" w:hAnsi="Times New Roman" w:eastAsia="宋体" w:cs="Times New Roman"/>
                <w:b/>
                <w:color w:val="000000" w:themeColor="text1"/>
                <w:sz w:val="21"/>
                <w:szCs w:val="21"/>
                <w14:textFill>
                  <w14:solidFill>
                    <w14:schemeClr w14:val="tx1"/>
                  </w14:solidFill>
                </w14:textFill>
              </w:rPr>
              <w:t>厂界噪声监测内容明细</w:t>
            </w:r>
          </w:p>
          <w:tbl>
            <w:tblPr>
              <w:tblStyle w:val="27"/>
              <w:tblW w:w="825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111"/>
              <w:gridCol w:w="2715"/>
              <w:gridCol w:w="230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116"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111"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71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2308"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16" w:type="dxa"/>
                  <w:tcBorders>
                    <w:tl2br w:val="nil"/>
                    <w:tr2bl w:val="nil"/>
                  </w:tcBorders>
                  <w:vAlign w:val="center"/>
                </w:tcPr>
                <w:p>
                  <w:pPr>
                    <w:widowControl w:val="0"/>
                    <w:adjustRightInd/>
                    <w:jc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厂界噪声</w:t>
                  </w:r>
                </w:p>
              </w:tc>
              <w:tc>
                <w:tcPr>
                  <w:tcW w:w="2111" w:type="dxa"/>
                  <w:tcBorders>
                    <w:tl2br w:val="nil"/>
                    <w:tr2bl w:val="nil"/>
                  </w:tcBorders>
                  <w:vAlign w:val="center"/>
                </w:tcPr>
                <w:p>
                  <w:pPr>
                    <w:widowControl w:val="0"/>
                    <w:adjustRightIn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厂界</w:t>
                  </w:r>
                </w:p>
              </w:tc>
              <w:tc>
                <w:tcPr>
                  <w:tcW w:w="2715" w:type="dxa"/>
                  <w:tcBorders>
                    <w:tl2br w:val="nil"/>
                    <w:tr2bl w:val="nil"/>
                  </w:tcBorders>
                  <w:vAlign w:val="center"/>
                </w:tcPr>
                <w:p>
                  <w:pPr>
                    <w:widowControl w:val="0"/>
                    <w:adjustRightIn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隔声</w:t>
                  </w:r>
                  <w:r>
                    <w:rPr>
                      <w:rFonts w:hint="eastAsia" w:ascii="Times New Roman" w:hAnsi="Times New Roman" w:eastAsia="宋体" w:cs="Times New Roman"/>
                      <w:bCs/>
                      <w:color w:val="000000" w:themeColor="text1"/>
                      <w:sz w:val="21"/>
                      <w:szCs w:val="21"/>
                      <w14:textFill>
                        <w14:solidFill>
                          <w14:schemeClr w14:val="tx1"/>
                        </w14:solidFill>
                      </w14:textFill>
                    </w:rPr>
                    <w:t>、合理布局机台</w:t>
                  </w:r>
                </w:p>
              </w:tc>
              <w:tc>
                <w:tcPr>
                  <w:tcW w:w="2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昼</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夜各</w:t>
                  </w:r>
                  <w:r>
                    <w:rPr>
                      <w:rFonts w:ascii="Times New Roman" w:hAnsi="Times New Roman" w:eastAsia="宋体" w:cs="Times New Roman"/>
                      <w:bCs/>
                      <w:color w:val="000000" w:themeColor="text1"/>
                      <w:sz w:val="21"/>
                      <w:szCs w:val="21"/>
                      <w14:textFill>
                        <w14:solidFill>
                          <w14:schemeClr w14:val="tx1"/>
                        </w14:solidFill>
                      </w14:textFill>
                    </w:rPr>
                    <w:t>1次/天，2天</w:t>
                  </w:r>
                </w:p>
              </w:tc>
            </w:tr>
          </w:tbl>
          <w:p>
            <w:pPr>
              <w:pStyle w:val="25"/>
              <w:widowControl w:val="0"/>
              <w:ind w:left="0" w:leftChars="0" w:firstLine="0" w:firstLineChars="0"/>
              <w:jc w:val="both"/>
              <w:rPr>
                <w:rFonts w:hint="eastAsia"/>
                <w:color w:val="0000FF"/>
                <w:lang w:val="en-US" w:eastAsia="zh-CN"/>
              </w:rPr>
            </w:pPr>
          </w:p>
          <w:p>
            <w:pPr>
              <w:pStyle w:val="25"/>
              <w:widowControl w:val="0"/>
              <w:ind w:left="0" w:leftChars="0" w:firstLine="0" w:firstLineChars="0"/>
              <w:jc w:val="center"/>
              <w:rPr>
                <w:rFonts w:hint="default" w:eastAsia="楷体_GB2312"/>
                <w:color w:val="0000FF"/>
                <w:lang w:val="en-US" w:eastAsia="zh-CN"/>
              </w:rPr>
            </w:pP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tabs>
          <w:tab w:val="left" w:pos="3960"/>
        </w:tabs>
        <w:spacing w:line="360" w:lineRule="auto"/>
        <w:outlineLvl w:val="0"/>
        <w:rPr>
          <w:rFonts w:hint="default"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表七</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bookmarkStart w:id="8" w:name="_Toc23720"/>
            <w:bookmarkStart w:id="9" w:name="_Toc8105"/>
            <w:r>
              <w:rPr>
                <w:rFonts w:ascii="Times New Roman" w:hAnsi="Times New Roman" w:eastAsia="宋体" w:cs="Times New Roman"/>
                <w:color w:val="auto"/>
                <w:sz w:val="24"/>
                <w:szCs w:val="24"/>
              </w:rPr>
              <w:t>1、生产工况</w:t>
            </w:r>
            <w:bookmarkEnd w:id="8"/>
            <w:bookmarkEnd w:id="9"/>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厦门华厦学苑检测有限公司</w:t>
            </w:r>
            <w:bookmarkStart w:id="11" w:name="_GoBack"/>
            <w:bookmarkEnd w:id="11"/>
            <w:r>
              <w:rPr>
                <w:rFonts w:hint="eastAsia"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14</w:t>
            </w:r>
            <w:r>
              <w:rPr>
                <w:rFonts w:hint="eastAsia" w:ascii="Times New Roman" w:hAnsi="Times New Roman" w:eastAsia="宋体" w:cs="Times New Roman"/>
                <w:color w:val="auto"/>
                <w:sz w:val="24"/>
                <w:szCs w:val="24"/>
                <w:lang w:eastAsia="zh-CN"/>
              </w:rPr>
              <w:t>日至202</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rPr>
              <w:t>到</w:t>
            </w:r>
            <w:r>
              <w:rPr>
                <w:rFonts w:hint="eastAsia" w:ascii="Times New Roman" w:hAnsi="Times New Roman" w:eastAsia="宋体" w:cs="Times New Roman"/>
                <w:color w:val="auto"/>
                <w:sz w:val="24"/>
                <w:szCs w:val="24"/>
                <w:lang w:val="en-US" w:eastAsia="zh-CN"/>
              </w:rPr>
              <w:t>福建鑫华毅建材有限公司</w:t>
            </w:r>
            <w:r>
              <w:rPr>
                <w:rFonts w:hint="eastAsia" w:ascii="Times New Roman" w:hAnsi="Times New Roman" w:eastAsia="宋体" w:cs="Times New Roman"/>
                <w:color w:val="auto"/>
                <w:sz w:val="24"/>
                <w:szCs w:val="24"/>
              </w:rPr>
              <w:t>进行现场监测</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年产1000万平方米环保型弹性体沥青防水卷材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检测期间</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环保型弹性体沥青防水卷材</w:t>
            </w:r>
            <w:r>
              <w:rPr>
                <w:rFonts w:hint="eastAsia" w:ascii="Times New Roman" w:hAnsi="Times New Roman" w:eastAsia="宋体" w:cs="Times New Roman"/>
                <w:color w:val="auto"/>
                <w:sz w:val="24"/>
                <w:szCs w:val="24"/>
                <w:lang w:val="en-US" w:eastAsia="zh-CN"/>
              </w:rPr>
              <w:t>26250</w:t>
            </w:r>
            <w:r>
              <w:rPr>
                <w:rFonts w:hint="default" w:ascii="Times New Roman" w:hAnsi="Times New Roman" w:eastAsia="宋体" w:cs="Times New Roman"/>
                <w:color w:val="auto"/>
                <w:sz w:val="24"/>
                <w:szCs w:val="24"/>
                <w:lang w:val="en-US" w:eastAsia="zh-CN"/>
              </w:rPr>
              <w:t>平方米，占设计产能</w:t>
            </w:r>
            <w:r>
              <w:rPr>
                <w:rFonts w:hint="eastAsia" w:ascii="Times New Roman" w:hAnsi="Times New Roman" w:eastAsia="宋体"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%，检测期间</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环保型弹性体沥青防水卷材</w:t>
            </w:r>
            <w:r>
              <w:rPr>
                <w:rFonts w:hint="eastAsia" w:ascii="Times New Roman" w:hAnsi="Times New Roman" w:eastAsia="宋体" w:cs="Times New Roman"/>
                <w:color w:val="auto"/>
                <w:sz w:val="24"/>
                <w:szCs w:val="24"/>
                <w:lang w:val="en-US" w:eastAsia="zh-CN"/>
              </w:rPr>
              <w:t>26875</w:t>
            </w:r>
            <w:r>
              <w:rPr>
                <w:rFonts w:hint="default" w:ascii="Times New Roman" w:hAnsi="Times New Roman" w:eastAsia="宋体" w:cs="Times New Roman"/>
                <w:color w:val="auto"/>
                <w:sz w:val="24"/>
                <w:szCs w:val="24"/>
                <w:lang w:val="en-US" w:eastAsia="zh-CN"/>
              </w:rPr>
              <w:t>平方米，占设计产能</w:t>
            </w:r>
            <w:r>
              <w:rPr>
                <w:rFonts w:hint="eastAsia" w:ascii="Times New Roman" w:hAnsi="Times New Roman" w:eastAsia="宋体" w:cs="Times New Roman"/>
                <w:color w:val="auto"/>
                <w:sz w:val="24"/>
                <w:szCs w:val="24"/>
                <w:lang w:val="en-US" w:eastAsia="zh-CN"/>
              </w:rPr>
              <w:t>86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采样期间的现场工况见下表。</w:t>
            </w:r>
          </w:p>
          <w:p>
            <w:pPr>
              <w:widowControl w:val="0"/>
              <w:adjustRightIn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表7-1 生产负荷表</w:t>
            </w:r>
          </w:p>
          <w:tbl>
            <w:tblPr>
              <w:tblStyle w:val="27"/>
              <w:tblW w:w="472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651"/>
              <w:gridCol w:w="1532"/>
              <w:gridCol w:w="2424"/>
              <w:gridCol w:w="99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1052"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环评设计产能</w:t>
                  </w:r>
                </w:p>
              </w:tc>
              <w:tc>
                <w:tcPr>
                  <w:tcW w:w="976"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实际产能</w:t>
                  </w:r>
                </w:p>
              </w:tc>
              <w:tc>
                <w:tcPr>
                  <w:tcW w:w="154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790"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20220414</w:t>
                  </w:r>
                </w:p>
              </w:tc>
              <w:tc>
                <w:tcPr>
                  <w:tcW w:w="1052"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年产1000万平方米环保型弹性体沥青防水卷材</w:t>
                  </w:r>
                </w:p>
              </w:tc>
              <w:tc>
                <w:tcPr>
                  <w:tcW w:w="976"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年产1000万平方米环保型弹性体沥青防水卷材</w:t>
                  </w: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环保型弹性体沥青防水卷材</w:t>
                  </w:r>
                  <w:r>
                    <w:rPr>
                      <w:rFonts w:hint="eastAsia" w:ascii="Times New Roman" w:hAnsi="Times New Roman" w:eastAsia="宋体" w:cs="Times New Roman"/>
                      <w:color w:val="auto"/>
                      <w:sz w:val="21"/>
                      <w:szCs w:val="21"/>
                      <w:lang w:val="en-US" w:eastAsia="zh-CN"/>
                    </w:rPr>
                    <w:t>26250</w:t>
                  </w:r>
                  <w:r>
                    <w:rPr>
                      <w:rFonts w:hint="default" w:ascii="Times New Roman" w:hAnsi="Times New Roman" w:eastAsia="宋体" w:cs="Times New Roman"/>
                      <w:color w:val="auto"/>
                      <w:sz w:val="21"/>
                      <w:szCs w:val="21"/>
                      <w:lang w:val="en-US" w:eastAsia="zh-CN"/>
                    </w:rPr>
                    <w:t>平方米</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790"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20220415</w:t>
                  </w:r>
                </w:p>
              </w:tc>
              <w:tc>
                <w:tcPr>
                  <w:tcW w:w="1052"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976"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环保型弹性体沥青防水卷材</w:t>
                  </w:r>
                  <w:r>
                    <w:rPr>
                      <w:rFonts w:hint="eastAsia" w:ascii="Times New Roman" w:hAnsi="Times New Roman" w:eastAsia="宋体" w:cs="Times New Roman"/>
                      <w:color w:val="auto"/>
                      <w:sz w:val="21"/>
                      <w:szCs w:val="21"/>
                      <w:lang w:val="en-US" w:eastAsia="zh-CN"/>
                    </w:rPr>
                    <w:t>26875</w:t>
                  </w:r>
                  <w:r>
                    <w:rPr>
                      <w:rFonts w:hint="default" w:ascii="Times New Roman" w:hAnsi="Times New Roman" w:eastAsia="宋体" w:cs="Times New Roman"/>
                      <w:color w:val="auto"/>
                      <w:sz w:val="21"/>
                      <w:szCs w:val="21"/>
                      <w:lang w:val="en-US" w:eastAsia="zh-CN"/>
                    </w:rPr>
                    <w:t>平方米</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p>
              </w:tc>
            </w:tr>
          </w:tbl>
          <w:p>
            <w:pPr>
              <w:widowControl/>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验收监测结果：</w:t>
            </w:r>
          </w:p>
          <w:p>
            <w:pPr>
              <w:pStyle w:val="4"/>
              <w:widowControl w:val="0"/>
              <w:numPr>
                <w:ilvl w:val="0"/>
                <w:numId w:val="6"/>
              </w:numPr>
              <w:ind w:leftChars="200"/>
              <w:jc w:val="both"/>
              <w:rPr>
                <w:rFonts w:hint="eastAsia" w:ascii="Times New Roman" w:hAnsi="Times New Roman" w:eastAsia="宋体" w:cs="Times New Roman"/>
                <w:color w:val="auto"/>
                <w:sz w:val="24"/>
                <w:szCs w:val="24"/>
                <w:shd w:val="clear"/>
                <w:lang w:val="en-US" w:eastAsia="zh-CN" w:bidi="ar-SA"/>
              </w:rPr>
            </w:pPr>
            <w:r>
              <w:rPr>
                <w:rFonts w:hint="eastAsia" w:ascii="Times New Roman" w:hAnsi="Times New Roman" w:eastAsia="宋体" w:cs="Times New Roman"/>
                <w:color w:val="auto"/>
                <w:sz w:val="24"/>
                <w:szCs w:val="24"/>
                <w:shd w:val="clear"/>
                <w:lang w:val="en-US" w:eastAsia="zh-CN" w:bidi="ar-SA"/>
              </w:rPr>
              <w:t>废气</w:t>
            </w:r>
          </w:p>
          <w:p>
            <w:pPr>
              <w:widowControl w:val="0"/>
              <w:numPr>
                <w:ilvl w:val="0"/>
                <w:numId w:val="0"/>
              </w:numPr>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7-1 废气监测结果</w:t>
            </w:r>
          </w:p>
          <w:tbl>
            <w:tblPr>
              <w:tblStyle w:val="27"/>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731"/>
              <w:gridCol w:w="540"/>
              <w:gridCol w:w="2745"/>
              <w:gridCol w:w="1605"/>
              <w:gridCol w:w="1245"/>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521"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w:t>
                  </w:r>
                </w:p>
              </w:tc>
              <w:tc>
                <w:tcPr>
                  <w:tcW w:w="731"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监测点位</w:t>
                  </w:r>
                </w:p>
              </w:tc>
              <w:tc>
                <w:tcPr>
                  <w:tcW w:w="3285" w:type="dxa"/>
                  <w:gridSpan w:val="2"/>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20955</wp:posOffset>
                            </wp:positionV>
                            <wp:extent cx="2059940" cy="323215"/>
                            <wp:effectExtent l="635" t="4445" r="15875" b="15240"/>
                            <wp:wrapNone/>
                            <wp:docPr id="187" name="直接连接符 187"/>
                            <wp:cNvGraphicFramePr/>
                            <a:graphic xmlns:a="http://schemas.openxmlformats.org/drawingml/2006/main">
                              <a:graphicData uri="http://schemas.microsoft.com/office/word/2010/wordprocessingShape">
                                <wps:wsp>
                                  <wps:cNvCnPr/>
                                  <wps:spPr>
                                    <a:xfrm>
                                      <a:off x="2165985" y="6535420"/>
                                      <a:ext cx="205994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5.45pt;width:162.2pt;z-index:251662336;mso-width-relative:page;mso-height-relative:page;" filled="f" stroked="t" coordsize="21600,21600" o:gfxdata="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xi5g/XAAAACAEAAA8AAAAAAAAAAQAgAAAAIgAAAGRycy9kb3ducmV2LnhtbFBL&#10;AQIUABQAAAAIAIdO4kA0/eKQ9wEAAMYDAAAOAAAAAAAAAAEAIAAAACYBAABkcnMvZTJvRG9jLnht&#10;bFBLBQYAAAAABgAGAFkBAACP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val="0"/>
                      <w:bCs w:val="0"/>
                      <w:color w:val="auto"/>
                      <w:sz w:val="21"/>
                      <w:szCs w:val="21"/>
                      <w:vertAlign w:val="baseline"/>
                      <w:lang w:val="en-US" w:eastAsia="zh-CN"/>
                    </w:rPr>
                    <w:t xml:space="preserve">                 监测内容</w:t>
                  </w:r>
                </w:p>
                <w:p>
                  <w:pPr>
                    <w:pStyle w:val="37"/>
                    <w:ind w:firstLine="42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监测点位</w:t>
                  </w:r>
                </w:p>
              </w:tc>
              <w:tc>
                <w:tcPr>
                  <w:tcW w:w="2850" w:type="dxa"/>
                  <w:gridSpan w:val="2"/>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监测结果</w:t>
                  </w:r>
                </w:p>
              </w:tc>
              <w:tc>
                <w:tcPr>
                  <w:tcW w:w="919"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标准</w:t>
                  </w:r>
                </w:p>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3285" w:type="dxa"/>
                  <w:gridSpan w:val="2"/>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1605" w:type="dxa"/>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20220414</w:t>
                  </w:r>
                </w:p>
              </w:tc>
              <w:tc>
                <w:tcPr>
                  <w:tcW w:w="1245" w:type="dxa"/>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20220415</w:t>
                  </w:r>
                </w:p>
              </w:tc>
              <w:tc>
                <w:tcPr>
                  <w:tcW w:w="919"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521"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有组织废气废气</w:t>
                  </w:r>
                </w:p>
              </w:tc>
              <w:tc>
                <w:tcPr>
                  <w:tcW w:w="731" w:type="dxa"/>
                  <w:vMerge w:val="restart"/>
                  <w:tcBorders>
                    <w:tl2br w:val="nil"/>
                    <w:tr2bl w:val="nil"/>
                  </w:tcBorders>
                  <w:vAlign w:val="center"/>
                </w:tcPr>
                <w:p>
                  <w:pPr>
                    <w:widowControl w:val="0"/>
                    <w:tabs>
                      <w:tab w:val="left" w:pos="0"/>
                    </w:tabs>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Cs w:val="21"/>
                      <w:lang w:val="en-US" w:eastAsia="zh-CN"/>
                    </w:rPr>
                    <w:t>沥青</w:t>
                  </w:r>
                  <w:r>
                    <w:rPr>
                      <w:rFonts w:hint="eastAsia" w:ascii="Times New Roman" w:hAnsi="Times New Roman" w:eastAsia="宋体" w:cs="Times New Roman"/>
                      <w:color w:val="auto"/>
                      <w:szCs w:val="21"/>
                    </w:rPr>
                    <w:t>废气</w:t>
                  </w:r>
                </w:p>
              </w:tc>
              <w:tc>
                <w:tcPr>
                  <w:tcW w:w="540"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进口</w:t>
                  </w: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标杆流量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c>
                <w:tcPr>
                  <w:tcW w:w="1605" w:type="dxa"/>
                  <w:tcBorders>
                    <w:tl2br w:val="nil"/>
                    <w:tr2bl w:val="nil"/>
                  </w:tcBorders>
                  <w:vAlign w:val="center"/>
                </w:tcPr>
                <w:p>
                  <w:pPr>
                    <w:widowControl/>
                    <w:adjustRightInd w:val="0"/>
                    <w:snapToGrid w:val="0"/>
                    <w:jc w:val="center"/>
                    <w:rPr>
                      <w:rFonts w:hint="default" w:ascii="Times New Roman" w:hAnsi="Times New Roman" w:eastAsia="微软雅黑" w:cs="Times New Roman"/>
                      <w:b w:val="0"/>
                      <w:bCs w:val="0"/>
                      <w:color w:val="auto"/>
                      <w:sz w:val="21"/>
                      <w:szCs w:val="21"/>
                      <w:lang w:val="en-US" w:eastAsia="zh-CN" w:bidi="ar-SA"/>
                    </w:rPr>
                  </w:pPr>
                  <w:r>
                    <w:rPr>
                      <w:rFonts w:hint="eastAsia" w:ascii="Times New Roman" w:hAnsi="Times New Roman" w:cs="Times New Roman"/>
                      <w:b w:val="0"/>
                      <w:bCs w:val="0"/>
                      <w:color w:val="auto"/>
                      <w:sz w:val="21"/>
                      <w:szCs w:val="21"/>
                      <w:lang w:val="en-US" w:eastAsia="zh-CN" w:bidi="ar-SA"/>
                    </w:rPr>
                    <w:t>2460</w:t>
                  </w:r>
                </w:p>
              </w:tc>
              <w:tc>
                <w:tcPr>
                  <w:tcW w:w="124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2540</w:t>
                  </w:r>
                </w:p>
              </w:tc>
              <w:tc>
                <w:tcPr>
                  <w:tcW w:w="9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沥青烟产生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22</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18</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沥青烟产生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0.054</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0.046</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标杆流量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2630</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2500</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苯并【a】芘产生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0.000045</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0.00045</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苯并【a】芘产生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0.00000012</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0.00000011</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15.7</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15.1</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非甲烷总烃产生</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臭气浓度</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977</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977</w:t>
                  </w:r>
                </w:p>
              </w:tc>
              <w:tc>
                <w:tcPr>
                  <w:tcW w:w="9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widowControl w:val="0"/>
                    <w:tabs>
                      <w:tab w:val="left" w:pos="0"/>
                    </w:tabs>
                    <w:adjustRightInd w:val="0"/>
                    <w:snapToGrid w:val="0"/>
                    <w:jc w:val="center"/>
                    <w:rPr>
                      <w:rFonts w:hint="eastAsia" w:ascii="Times New Roman" w:hAnsi="Times New Roman" w:eastAsia="宋体" w:cs="Times New Roman"/>
                      <w:b w:val="0"/>
                      <w:bCs w:val="0"/>
                      <w:color w:val="auto"/>
                      <w:sz w:val="21"/>
                      <w:szCs w:val="21"/>
                      <w:vertAlign w:val="baseline"/>
                      <w:lang w:val="en-US" w:eastAsia="zh-CN" w:bidi="ar-SA"/>
                    </w:rPr>
                  </w:pPr>
                </w:p>
              </w:tc>
              <w:tc>
                <w:tcPr>
                  <w:tcW w:w="540"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出口</w:t>
                  </w: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标杆流量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c>
                <w:tcPr>
                  <w:tcW w:w="1605" w:type="dxa"/>
                  <w:tcBorders>
                    <w:tl2br w:val="nil"/>
                    <w:tr2bl w:val="nil"/>
                  </w:tcBorders>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3250</w:t>
                  </w:r>
                </w:p>
              </w:tc>
              <w:tc>
                <w:tcPr>
                  <w:tcW w:w="124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3030</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沥青烟排放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&lt;11.7</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&lt;11.5</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沥青烟排放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标杆流量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3080</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2940</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苯并【a】芘排放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&lt;</w:t>
                  </w:r>
                  <w:r>
                    <w:rPr>
                      <w:rFonts w:hint="eastAsia" w:ascii="Times New Roman" w:hAnsi="Times New Roman" w:eastAsia="宋体" w:cs="Times New Roman"/>
                      <w:color w:val="auto"/>
                      <w:sz w:val="21"/>
                      <w:szCs w:val="21"/>
                      <w:lang w:val="en-US" w:eastAsia="zh-CN"/>
                    </w:rPr>
                    <w:t>0.000004</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&lt;</w:t>
                  </w:r>
                  <w:r>
                    <w:rPr>
                      <w:rFonts w:hint="eastAsia" w:ascii="Times New Roman" w:hAnsi="Times New Roman" w:eastAsia="宋体" w:cs="Times New Roman"/>
                      <w:color w:val="auto"/>
                      <w:sz w:val="21"/>
                      <w:szCs w:val="21"/>
                      <w:lang w:val="en-US" w:eastAsia="zh-CN"/>
                    </w:rPr>
                    <w:t>0.000004</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苯并【a】芘排放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0.0033</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臭气浓度</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549</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导热油炉废气</w:t>
                  </w:r>
                </w:p>
              </w:tc>
              <w:tc>
                <w:tcPr>
                  <w:tcW w:w="540" w:type="dxa"/>
                  <w:vMerge w:val="restart"/>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出口</w:t>
                  </w: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标杆流量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1920</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2020</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颗粒物实测浓度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2.4</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2.3</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颗粒物折算浓度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颗粒物排放速率</w:t>
                  </w:r>
                  <w:r>
                    <w:rPr>
                      <w:rFonts w:hint="default" w:ascii="Times New Roman" w:hAnsi="Times New Roman" w:eastAsia="宋体" w:cs="Times New Roman"/>
                      <w:b w:val="0"/>
                      <w:bCs w:val="0"/>
                      <w:i w:val="0"/>
                      <w:iCs w:val="0"/>
                      <w:color w:val="auto"/>
                      <w:kern w:val="0"/>
                      <w:sz w:val="21"/>
                      <w:szCs w:val="21"/>
                      <w:vertAlign w:val="baseline"/>
                      <w:lang w:val="en-US" w:eastAsia="zh-CN" w:bidi="ar-SA"/>
                    </w:rPr>
                    <w:t>(kg/h）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0.0045</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0.0047</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二氧化硫测浓度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&lt;</w:t>
                  </w:r>
                  <w:r>
                    <w:rPr>
                      <w:rFonts w:hint="eastAsia" w:ascii="Times New Roman" w:hAnsi="Times New Roman" w:eastAsia="宋体" w:cs="Times New Roman"/>
                      <w:color w:val="auto"/>
                      <w:sz w:val="21"/>
                      <w:szCs w:val="21"/>
                      <w:lang w:val="en-US" w:eastAsia="zh-CN"/>
                    </w:rPr>
                    <w:t>3</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&lt;</w:t>
                  </w:r>
                  <w:r>
                    <w:rPr>
                      <w:rFonts w:hint="eastAsia" w:ascii="Times New Roman" w:hAnsi="Times New Roman" w:eastAsia="宋体" w:cs="Times New Roman"/>
                      <w:color w:val="auto"/>
                      <w:sz w:val="21"/>
                      <w:szCs w:val="21"/>
                      <w:lang w:val="en-US" w:eastAsia="zh-CN"/>
                    </w:rPr>
                    <w:t>3</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二氧化硫折算浓度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二氧化硫排放速率</w:t>
                  </w:r>
                  <w:r>
                    <w:rPr>
                      <w:rFonts w:hint="default" w:ascii="Times New Roman" w:hAnsi="Times New Roman" w:eastAsia="宋体" w:cs="Times New Roman"/>
                      <w:b w:val="0"/>
                      <w:bCs w:val="0"/>
                      <w:i w:val="0"/>
                      <w:iCs w:val="0"/>
                      <w:color w:val="auto"/>
                      <w:kern w:val="0"/>
                      <w:sz w:val="21"/>
                      <w:szCs w:val="21"/>
                      <w:vertAlign w:val="baseline"/>
                      <w:lang w:val="en-US" w:eastAsia="zh-CN" w:bidi="ar-SA"/>
                    </w:rPr>
                    <w:t>(kg/h）</w:t>
                  </w:r>
                </w:p>
              </w:tc>
              <w:tc>
                <w:tcPr>
                  <w:tcW w:w="160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tcBorders>
                    <w:tl2br w:val="nil"/>
                    <w:tr2bl w:val="nil"/>
                  </w:tcBorders>
                  <w:vAlign w:val="center"/>
                </w:tcPr>
                <w:p>
                  <w:pPr>
                    <w:widowControl/>
                    <w:tabs>
                      <w:tab w:val="left" w:pos="0"/>
                    </w:tabs>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氮氧化物实测浓度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氮氧化物折算浓度</w:t>
                  </w:r>
                  <w:r>
                    <w:rPr>
                      <w:rFonts w:hint="default" w:ascii="Times New Roman" w:hAnsi="Times New Roman" w:eastAsia="宋体" w:cs="Times New Roman"/>
                      <w:b w:val="0"/>
                      <w:bCs w:val="0"/>
                      <w:i w:val="0"/>
                      <w:iCs w:val="0"/>
                      <w:color w:val="auto"/>
                      <w:kern w:val="0"/>
                      <w:sz w:val="21"/>
                      <w:szCs w:val="21"/>
                      <w:vertAlign w:val="baseline"/>
                      <w:lang w:val="en-US" w:eastAsia="zh-CN" w:bidi="ar-SA"/>
                    </w:rPr>
                    <w:t>(mg/m³)</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dxa"/>
                  <w:vMerge w:val="continue"/>
                  <w:tcBorders>
                    <w:tl2br w:val="nil"/>
                    <w:tr2bl w:val="nil"/>
                  </w:tcBorders>
                  <w:vAlign w:val="center"/>
                </w:tcPr>
                <w:p>
                  <w:pPr>
                    <w:pStyle w:val="37"/>
                    <w:jc w:val="center"/>
                    <w:rPr>
                      <w:rFonts w:hint="default" w:ascii="Times New Roman" w:hAnsi="Times New Roman" w:eastAsia="宋体" w:cs="Times New Roman"/>
                      <w:b w:val="0"/>
                      <w:bCs w:val="0"/>
                      <w:color w:val="auto"/>
                      <w:sz w:val="21"/>
                      <w:szCs w:val="21"/>
                      <w:vertAlign w:val="baseline"/>
                      <w:lang w:val="en-US" w:eastAsia="zh-CN"/>
                    </w:rPr>
                  </w:pPr>
                </w:p>
              </w:tc>
              <w:tc>
                <w:tcPr>
                  <w:tcW w:w="731" w:type="dxa"/>
                  <w:vMerge w:val="continue"/>
                  <w:tcBorders>
                    <w:tl2br w:val="nil"/>
                    <w:tr2bl w:val="nil"/>
                  </w:tcBorders>
                  <w:vAlign w:val="center"/>
                </w:tcPr>
                <w:p>
                  <w:pPr>
                    <w:pStyle w:val="37"/>
                    <w:jc w:val="center"/>
                    <w:rPr>
                      <w:rFonts w:hint="eastAsia" w:ascii="Times New Roman" w:hAnsi="Times New Roman" w:eastAsia="宋体" w:cs="Times New Roman"/>
                      <w:b w:val="0"/>
                      <w:bCs w:val="0"/>
                      <w:color w:val="auto"/>
                      <w:sz w:val="21"/>
                      <w:szCs w:val="21"/>
                      <w:lang w:val="en-US" w:eastAsia="zh-CN"/>
                    </w:rPr>
                  </w:pPr>
                </w:p>
              </w:tc>
              <w:tc>
                <w:tcPr>
                  <w:tcW w:w="540" w:type="dxa"/>
                  <w:vMerge w:val="continue"/>
                  <w:tcBorders>
                    <w:tl2br w:val="nil"/>
                    <w:tr2bl w:val="nil"/>
                  </w:tcBorders>
                  <w:vAlign w:val="center"/>
                </w:tcPr>
                <w:p>
                  <w:pPr>
                    <w:pStyle w:val="37"/>
                    <w:jc w:val="center"/>
                    <w:rPr>
                      <w:rFonts w:hint="eastAsia" w:ascii="Times New Roman" w:hAnsi="Times New Roman" w:cs="Times New Roman"/>
                      <w:b w:val="0"/>
                      <w:bCs w:val="0"/>
                      <w:color w:val="auto"/>
                      <w:sz w:val="21"/>
                      <w:szCs w:val="21"/>
                      <w:vertAlign w:val="baseline"/>
                      <w:lang w:val="en-US" w:eastAsia="zh-CN"/>
                    </w:rPr>
                  </w:pPr>
                </w:p>
              </w:tc>
              <w:tc>
                <w:tcPr>
                  <w:tcW w:w="2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氮氧化物排放速率</w:t>
                  </w:r>
                  <w:r>
                    <w:rPr>
                      <w:rFonts w:hint="default" w:ascii="Times New Roman" w:hAnsi="Times New Roman" w:eastAsia="宋体" w:cs="Times New Roman"/>
                      <w:b w:val="0"/>
                      <w:bCs w:val="0"/>
                      <w:i w:val="0"/>
                      <w:iCs w:val="0"/>
                      <w:color w:val="auto"/>
                      <w:kern w:val="0"/>
                      <w:sz w:val="21"/>
                      <w:szCs w:val="21"/>
                      <w:vertAlign w:val="baseline"/>
                      <w:lang w:val="en-US" w:eastAsia="zh-CN" w:bidi="ar-SA"/>
                    </w:rPr>
                    <w:t>(kg/h）</w:t>
                  </w:r>
                </w:p>
              </w:tc>
              <w:tc>
                <w:tcPr>
                  <w:tcW w:w="160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0.070</w:t>
                  </w:r>
                </w:p>
              </w:tc>
              <w:tc>
                <w:tcPr>
                  <w:tcW w:w="1245" w:type="dxa"/>
                  <w:tcBorders>
                    <w:tl2br w:val="nil"/>
                    <w:tr2bl w:val="nil"/>
                  </w:tcBorders>
                  <w:vAlign w:val="center"/>
                </w:tcPr>
                <w:p>
                  <w:pPr>
                    <w:widowControl/>
                    <w:tabs>
                      <w:tab w:val="left" w:pos="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0.074</w:t>
                  </w:r>
                </w:p>
              </w:tc>
              <w:tc>
                <w:tcPr>
                  <w:tcW w:w="9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r>
          </w:tbl>
          <w:p>
            <w:pPr>
              <w:pStyle w:val="2"/>
              <w:widowControl w:val="0"/>
              <w:jc w:val="both"/>
              <w:rPr>
                <w:rFonts w:hint="default"/>
                <w:color w:val="auto"/>
                <w:lang w:val="en-US" w:eastAsia="zh-CN"/>
              </w:rPr>
            </w:pPr>
          </w:p>
          <w:p>
            <w:pPr>
              <w:pStyle w:val="25"/>
              <w:widowControl w:val="0"/>
              <w:numPr>
                <w:ilvl w:val="0"/>
                <w:numId w:val="0"/>
              </w:numPr>
              <w:spacing w:after="60"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由上表7-</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监测结果可知，本项目</w:t>
            </w:r>
            <w:r>
              <w:rPr>
                <w:rFonts w:hint="eastAsia" w:ascii="Times New Roman" w:hAnsi="Times New Roman" w:eastAsia="宋体" w:cs="Times New Roman"/>
                <w:b w:val="0"/>
                <w:bCs w:val="0"/>
                <w:color w:val="auto"/>
                <w:sz w:val="24"/>
                <w:szCs w:val="24"/>
                <w:lang w:val="en-US" w:eastAsia="zh-CN"/>
              </w:rPr>
              <w:t>沥青废气沥青烟、苯并[a]芘排放满足《大气污染物综合排放标准》GB 16297-1996 表 2 新污染源大气污染物排放限值中二级标准限值；非甲烷总烃排放满足《工业企业挥发性有机物排放标准》DB 35/1782-2018 表 1 排气筒挥发性有机物排放限值中其他行业限值；臭气浓度排放满足《恶臭污染物排放标准》GB 14554-93 表 2 恶臭污染物排放标准值中排气筒高度 15m限值；</w:t>
            </w:r>
          </w:p>
          <w:p>
            <w:pPr>
              <w:pStyle w:val="25"/>
              <w:widowControl w:val="0"/>
              <w:numPr>
                <w:ilvl w:val="0"/>
                <w:numId w:val="0"/>
              </w:numPr>
              <w:spacing w:after="60"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导热油炉废气排放满足《锅炉大气污染物排放标准》GB 13271-2014 表 2 新建锅炉大气污染物排放浓度限值中燃气锅炉。</w:t>
            </w:r>
          </w:p>
          <w:p>
            <w:pPr>
              <w:pStyle w:val="37"/>
              <w:numPr>
                <w:ilvl w:val="0"/>
                <w:numId w:val="7"/>
              </w:numPr>
              <w:spacing w:line="360" w:lineRule="auto"/>
              <w:ind w:left="440" w:leftChars="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无组织废气</w:t>
            </w:r>
          </w:p>
          <w:p>
            <w:pPr>
              <w:pStyle w:val="37"/>
              <w:numPr>
                <w:ilvl w:val="0"/>
                <w:numId w:val="0"/>
              </w:numPr>
              <w:spacing w:line="360" w:lineRule="auto"/>
              <w:jc w:val="center"/>
              <w:rPr>
                <w:rFonts w:hint="eastAsia" w:ascii="Times New Roman" w:hAnsi="Times New Roman" w:cs="Times New Roman"/>
                <w:color w:val="auto"/>
                <w:lang w:val="en-US" w:eastAsia="zh-CN"/>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7-</w:t>
            </w:r>
            <w:r>
              <w:rPr>
                <w:rFonts w:hint="eastAsia" w:ascii="Times New Roman" w:hAnsi="Times New Roman" w:cs="Times New Roman"/>
                <w:b/>
                <w:color w:val="auto"/>
                <w:sz w:val="21"/>
                <w:szCs w:val="21"/>
                <w:lang w:val="en-US" w:eastAsia="zh-CN"/>
              </w:rPr>
              <w:t>2 废气</w:t>
            </w:r>
            <w:r>
              <w:rPr>
                <w:rFonts w:hint="eastAsia" w:ascii="Times New Roman" w:hAnsi="Times New Roman" w:eastAsia="宋体" w:cs="Times New Roman"/>
                <w:b/>
                <w:color w:val="auto"/>
                <w:sz w:val="21"/>
                <w:szCs w:val="21"/>
                <w:lang w:val="en-US" w:eastAsia="zh-CN"/>
              </w:rPr>
              <w:t>监测结果</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8"/>
              <w:gridCol w:w="1492"/>
              <w:gridCol w:w="776"/>
              <w:gridCol w:w="776"/>
              <w:gridCol w:w="776"/>
              <w:gridCol w:w="794"/>
              <w:gridCol w:w="582"/>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698"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w:t>
                  </w: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898"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879" w:type="pct"/>
                  <w:gridSpan w:val="4"/>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w:t>
                  </w:r>
                </w:p>
              </w:tc>
              <w:tc>
                <w:tcPr>
                  <w:tcW w:w="350" w:type="pct"/>
                  <w:vMerge w:val="restar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w:t>
                  </w:r>
                </w:p>
              </w:tc>
              <w:tc>
                <w:tcPr>
                  <w:tcW w:w="469" w:type="pct"/>
                  <w:vMerge w:val="restar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350" w:type="pct"/>
                  <w:vMerge w:val="continue"/>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469" w:type="pct"/>
                  <w:vMerge w:val="continue"/>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2022</w:t>
                  </w:r>
                  <w:r>
                    <w:rPr>
                      <w:rFonts w:hint="eastAsia" w:ascii="Times New Roman" w:hAnsi="Times New Roman" w:eastAsia="宋体" w:cs="Times New Roman"/>
                      <w:color w:val="auto"/>
                      <w:sz w:val="21"/>
                      <w:szCs w:val="21"/>
                      <w:lang w:val="en-US" w:eastAsia="zh-CN"/>
                    </w:rPr>
                    <w:t>0414</w:t>
                  </w: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厂界上风向1#</w:t>
                  </w: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0.128</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0.133</w:t>
                  </w:r>
                </w:p>
              </w:tc>
              <w:tc>
                <w:tcPr>
                  <w:tcW w:w="350" w:type="pc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469" w:type="pc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0.50</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0.50</w:t>
                  </w:r>
                </w:p>
              </w:tc>
              <w:tc>
                <w:tcPr>
                  <w:tcW w:w="350" w:type="pc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50" w:type="pct"/>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厂界下风向2#</w:t>
                  </w: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0.397</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0.397</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厂界下风向3#</w:t>
                  </w: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0.392</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0.53</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厂界下风向4#</w:t>
                  </w: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0.392</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0.63</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2022</w:t>
                  </w:r>
                  <w:r>
                    <w:rPr>
                      <w:rFonts w:hint="eastAsia" w:ascii="Times New Roman" w:hAnsi="Times New Roman" w:eastAsia="宋体" w:cs="Times New Roman"/>
                      <w:color w:val="auto"/>
                      <w:sz w:val="21"/>
                      <w:szCs w:val="21"/>
                      <w:lang w:val="en-US" w:eastAsia="zh-CN"/>
                    </w:rPr>
                    <w:t>0415</w:t>
                  </w: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厂界上风向1#</w:t>
                  </w:r>
                </w:p>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0.123</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0.47</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厂界下风向2#</w:t>
                  </w:r>
                </w:p>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0.383</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0.393</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厂界下风向3#</w:t>
                  </w:r>
                </w:p>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0.398</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0.398</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restar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厂界下风向4#</w:t>
                  </w:r>
                </w:p>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0.412</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703" w:type="pct"/>
                  <w:vMerge w:val="continue"/>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p>
              </w:tc>
              <w:tc>
                <w:tcPr>
                  <w:tcW w:w="898"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467"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476" w:type="pct"/>
                  <w:shd w:val="clear" w:color="auto" w:fill="auto"/>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82"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778" w:type="dxa"/>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无量纲</w:t>
                  </w:r>
                </w:p>
              </w:tc>
            </w:tr>
          </w:tbl>
          <w:p>
            <w:pPr>
              <w:pStyle w:val="37"/>
              <w:numPr>
                <w:ilvl w:val="0"/>
                <w:numId w:val="0"/>
              </w:num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由上表7-2监测结果可知，本项目无组织废气非甲烷总烃排放满足《工业企业挥发性有机物排放标准》DB 35/1782-2018 表 3 企业边界监控点浓度限值；颗粒物排放满足《大气污染物综合排放标准》GB 16297-1996 表 2 新污染源大气污染物排放限值中无组织排放监控浓度限值；臭气浓度排放满足《恶臭污染物排放标准》GB 14554-93 表 1 恶臭污染物厂界标准值中二级/新扩改建限值。</w:t>
            </w:r>
          </w:p>
          <w:p>
            <w:pPr>
              <w:pStyle w:val="37"/>
              <w:numPr>
                <w:ilvl w:val="0"/>
                <w:numId w:val="7"/>
              </w:numPr>
              <w:spacing w:line="360" w:lineRule="auto"/>
              <w:ind w:left="440" w:leftChars="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噪声</w:t>
            </w:r>
          </w:p>
          <w:p>
            <w:pPr>
              <w:pStyle w:val="37"/>
              <w:jc w:val="center"/>
              <w:rPr>
                <w:rFonts w:hint="eastAsia" w:ascii="Times New Roman" w:hAnsi="Times New Roman" w:eastAsia="宋体" w:cs="Times New Roman"/>
                <w:b/>
                <w:color w:val="auto"/>
                <w:sz w:val="21"/>
                <w:szCs w:val="21"/>
                <w:highlight w:val="none"/>
                <w:lang w:val="en-US" w:eastAsia="zh-CN"/>
              </w:rPr>
            </w:pPr>
            <w:r>
              <w:rPr>
                <w:rFonts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7</w:t>
            </w:r>
            <w:r>
              <w:rPr>
                <w:rFonts w:hint="eastAsia" w:ascii="Times New Roman" w:hAnsi="Times New Roman" w:cs="Times New Roman"/>
                <w:b/>
                <w:color w:val="auto"/>
                <w:sz w:val="21"/>
                <w:szCs w:val="21"/>
                <w:highlight w:val="none"/>
                <w:lang w:val="en-US" w:eastAsia="zh-CN"/>
              </w:rPr>
              <w:t>-3 噪声</w:t>
            </w:r>
            <w:r>
              <w:rPr>
                <w:rFonts w:hint="eastAsia" w:ascii="Times New Roman" w:hAnsi="Times New Roman" w:eastAsia="宋体" w:cs="Times New Roman"/>
                <w:b/>
                <w:color w:val="auto"/>
                <w:sz w:val="21"/>
                <w:szCs w:val="21"/>
                <w:highlight w:val="none"/>
                <w:lang w:val="en-US" w:eastAsia="zh-CN"/>
              </w:rPr>
              <w:t>监测结果</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72"/>
              <w:gridCol w:w="1473"/>
              <w:gridCol w:w="1383"/>
              <w:gridCol w:w="1247"/>
              <w:gridCol w:w="1194"/>
              <w:gridCol w:w="1194"/>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tblHeader/>
                <w:jc w:val="center"/>
              </w:trPr>
              <w:tc>
                <w:tcPr>
                  <w:tcW w:w="713" w:type="pct"/>
                  <w:shd w:val="clear" w:color="auto" w:fill="FFFFFF"/>
                  <w:noWrap w:val="0"/>
                  <w:vAlign w:val="center"/>
                </w:tcPr>
                <w:p>
                  <w:pPr>
                    <w:pStyle w:val="41"/>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采样日期</w:t>
                  </w:r>
                </w:p>
              </w:tc>
              <w:tc>
                <w:tcPr>
                  <w:tcW w:w="894" w:type="pct"/>
                  <w:shd w:val="clear" w:color="auto" w:fill="FFFFFF"/>
                  <w:noWrap w:val="0"/>
                  <w:vAlign w:val="center"/>
                </w:tcPr>
                <w:p>
                  <w:pPr>
                    <w:pStyle w:val="41"/>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检测点位</w:t>
                  </w:r>
                </w:p>
              </w:tc>
              <w:tc>
                <w:tcPr>
                  <w:tcW w:w="840" w:type="pct"/>
                  <w:shd w:val="clear" w:color="auto" w:fill="FFFFFF"/>
                  <w:noWrap w:val="0"/>
                  <w:vAlign w:val="center"/>
                </w:tcPr>
                <w:p>
                  <w:pPr>
                    <w:pStyle w:val="41"/>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测量值</w:t>
                  </w: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eq</w:t>
                  </w:r>
                  <w:r>
                    <w:rPr>
                      <w:rFonts w:hint="default" w:ascii="Times New Roman" w:hAnsi="Times New Roman" w:eastAsia="宋体" w:cs="Times New Roman"/>
                      <w:color w:val="auto"/>
                      <w:szCs w:val="21"/>
                    </w:rPr>
                    <w:t>[dB(A)]</w:t>
                  </w:r>
                </w:p>
              </w:tc>
              <w:tc>
                <w:tcPr>
                  <w:tcW w:w="758"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背景值</w:t>
                  </w: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eq</w:t>
                  </w:r>
                  <w:r>
                    <w:rPr>
                      <w:rFonts w:hint="default" w:ascii="Times New Roman" w:hAnsi="Times New Roman" w:eastAsia="宋体" w:cs="Times New Roman"/>
                      <w:color w:val="auto"/>
                      <w:szCs w:val="21"/>
                    </w:rPr>
                    <w:t>[dB(A)]</w:t>
                  </w:r>
                </w:p>
              </w:tc>
              <w:tc>
                <w:tcPr>
                  <w:tcW w:w="672" w:type="pct"/>
                  <w:shd w:val="clear" w:color="auto" w:fill="FFFFFF"/>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测量结果</w:t>
                  </w: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eq</w:t>
                  </w:r>
                  <w:r>
                    <w:rPr>
                      <w:rFonts w:hint="default" w:ascii="Times New Roman" w:hAnsi="Times New Roman" w:eastAsia="宋体" w:cs="Times New Roman"/>
                      <w:color w:val="auto"/>
                      <w:szCs w:val="21"/>
                    </w:rPr>
                    <w:t>[dB(A)]</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限值L</w:t>
                  </w:r>
                  <w:r>
                    <w:rPr>
                      <w:rFonts w:hint="default" w:ascii="Times New Roman" w:hAnsi="Times New Roman" w:eastAsia="宋体" w:cs="Times New Roman"/>
                      <w:color w:val="auto"/>
                      <w:szCs w:val="21"/>
                      <w:vertAlign w:val="subscript"/>
                    </w:rPr>
                    <w:t>eq</w:t>
                  </w:r>
                  <w:r>
                    <w:rPr>
                      <w:rFonts w:hint="default" w:ascii="Times New Roman" w:hAnsi="Times New Roman" w:eastAsia="宋体" w:cs="Times New Roman"/>
                      <w:color w:val="auto"/>
                      <w:szCs w:val="21"/>
                    </w:rPr>
                    <w:t>[dB(A)]</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jc w:val="center"/>
              </w:trPr>
              <w:tc>
                <w:tcPr>
                  <w:tcW w:w="713" w:type="pct"/>
                  <w:vMerge w:val="restart"/>
                  <w:shd w:val="clear" w:color="auto" w:fill="FFFFFF"/>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2022</w:t>
                  </w:r>
                  <w:r>
                    <w:rPr>
                      <w:rFonts w:hint="eastAsia" w:ascii="Times New Roman" w:hAnsi="Times New Roman" w:eastAsia="宋体" w:cs="Times New Roman"/>
                      <w:color w:val="auto"/>
                      <w:sz w:val="21"/>
                      <w:szCs w:val="21"/>
                      <w:lang w:val="en-US" w:eastAsia="zh-CN"/>
                    </w:rPr>
                    <w:t>0414</w:t>
                  </w: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东</w:t>
                  </w:r>
                  <w:r>
                    <w:rPr>
                      <w:rFonts w:hint="default" w:ascii="Times New Roman" w:hAnsi="Times New Roman" w:eastAsia="宋体" w:cs="Times New Roman"/>
                      <w:color w:val="auto"/>
                      <w:szCs w:val="21"/>
                    </w:rPr>
                    <w:t>侧厂界外1米处1#</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59.6</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56.4</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侧厂界外1米处2#</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58.7</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55.4</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default" w:ascii="Times New Roman" w:hAnsi="Times New Roman" w:eastAsia="宋体" w:cs="Times New Roman"/>
                      <w:color w:val="auto"/>
                      <w:szCs w:val="21"/>
                    </w:rPr>
                    <w:t>侧厂界外1米处3#</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559.0</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56.0</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北</w:t>
                  </w:r>
                  <w:r>
                    <w:rPr>
                      <w:rFonts w:hint="default" w:ascii="Times New Roman" w:hAnsi="Times New Roman" w:eastAsia="宋体" w:cs="Times New Roman"/>
                      <w:color w:val="auto"/>
                      <w:szCs w:val="21"/>
                    </w:rPr>
                    <w:t>侧厂界外1米处4#</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61.2</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58.2</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 w:type="pct"/>
                  <w:vMerge w:val="restart"/>
                  <w:shd w:val="clear" w:color="auto" w:fill="FFFFFF"/>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2022</w:t>
                  </w:r>
                  <w:r>
                    <w:rPr>
                      <w:rFonts w:hint="eastAsia" w:ascii="Times New Roman" w:hAnsi="Times New Roman" w:eastAsia="宋体" w:cs="Times New Roman"/>
                      <w:color w:val="auto"/>
                      <w:sz w:val="21"/>
                      <w:szCs w:val="21"/>
                      <w:lang w:val="en-US" w:eastAsia="zh-CN"/>
                    </w:rPr>
                    <w:t>0415</w:t>
                  </w: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东</w:t>
                  </w:r>
                  <w:r>
                    <w:rPr>
                      <w:rFonts w:hint="default" w:ascii="Times New Roman" w:hAnsi="Times New Roman" w:eastAsia="宋体" w:cs="Times New Roman"/>
                      <w:color w:val="auto"/>
                      <w:szCs w:val="21"/>
                    </w:rPr>
                    <w:t>侧厂界外1米处1#</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60.1</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57.1</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侧厂界外1米处2#</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59.2</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56.0</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default" w:ascii="Times New Roman" w:hAnsi="Times New Roman" w:eastAsia="宋体" w:cs="Times New Roman"/>
                      <w:color w:val="auto"/>
                      <w:szCs w:val="21"/>
                    </w:rPr>
                    <w:t>侧厂界外1米处3#</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59.7</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56.4</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 w:type="pct"/>
                  <w:vMerge w:val="continue"/>
                  <w:shd w:val="clear" w:color="auto" w:fill="FFFFFF"/>
                  <w:noWrap w:val="0"/>
                  <w:vAlign w:val="center"/>
                </w:tcPr>
                <w:p>
                  <w:pPr>
                    <w:jc w:val="center"/>
                    <w:rPr>
                      <w:rFonts w:hint="default" w:ascii="Times New Roman" w:hAnsi="Times New Roman" w:eastAsia="宋体" w:cs="Times New Roman"/>
                      <w:color w:val="auto"/>
                      <w:szCs w:val="21"/>
                    </w:rPr>
                  </w:pPr>
                </w:p>
              </w:tc>
              <w:tc>
                <w:tcPr>
                  <w:tcW w:w="894" w:type="pct"/>
                  <w:shd w:val="clear" w:color="auto" w:fill="FFFFFF"/>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北</w:t>
                  </w:r>
                  <w:r>
                    <w:rPr>
                      <w:rFonts w:hint="default" w:ascii="Times New Roman" w:hAnsi="Times New Roman" w:eastAsia="宋体" w:cs="Times New Roman"/>
                      <w:color w:val="auto"/>
                      <w:szCs w:val="21"/>
                    </w:rPr>
                    <w:t>侧厂界外1米处4#</w:t>
                  </w:r>
                </w:p>
              </w:tc>
              <w:tc>
                <w:tcPr>
                  <w:tcW w:w="840"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61.3</w:t>
                  </w:r>
                </w:p>
              </w:tc>
              <w:tc>
                <w:tcPr>
                  <w:tcW w:w="758"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58.1</w:t>
                  </w:r>
                </w:p>
              </w:tc>
              <w:tc>
                <w:tcPr>
                  <w:tcW w:w="672" w:type="pct"/>
                  <w:shd w:val="clear" w:color="auto" w:fill="FFFFFF"/>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w:t>
                  </w:r>
                </w:p>
              </w:tc>
              <w:tc>
                <w:tcPr>
                  <w:tcW w:w="719"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400" w:type="pct"/>
                  <w:shd w:val="clear" w:color="auto" w:fill="FFFFFF"/>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bl>
          <w:p>
            <w:pPr>
              <w:pStyle w:val="37"/>
              <w:spacing w:line="360" w:lineRule="auto"/>
              <w:ind w:firstLine="480" w:firstLineChars="200"/>
              <w:jc w:val="both"/>
              <w:rPr>
                <w:rFonts w:ascii="Times New Roman" w:hAnsi="Times New Roman" w:eastAsia="宋体" w:cs="Times New Roman"/>
                <w:color w:val="auto"/>
              </w:rPr>
            </w:pPr>
            <w:r>
              <w:rPr>
                <w:rFonts w:ascii="Times New Roman" w:hAnsi="Times New Roman" w:cs="Times New Roman"/>
                <w:color w:val="auto"/>
              </w:rPr>
              <w:t>由7-</w:t>
            </w:r>
            <w:r>
              <w:rPr>
                <w:rFonts w:hint="eastAsia" w:ascii="Times New Roman" w:hAnsi="Times New Roman" w:cs="Times New Roman"/>
                <w:color w:val="auto"/>
                <w:lang w:val="en-US" w:eastAsia="zh-CN"/>
              </w:rPr>
              <w:t>3</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w:t>
            </w:r>
            <w:r>
              <w:rPr>
                <w:rFonts w:hint="eastAsia" w:ascii="Times New Roman" w:hAnsi="Times New Roman" w:cs="Times New Roman"/>
                <w:color w:val="auto"/>
                <w:lang w:eastAsia="zh-CN"/>
              </w:rPr>
              <w:t>）</w:t>
            </w:r>
            <w:r>
              <w:rPr>
                <w:rFonts w:hint="eastAsia" w:ascii="Times New Roman" w:hAnsi="Times New Roman" w:cs="Times New Roman"/>
                <w:color w:val="auto"/>
              </w:rPr>
              <w:t>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w:t>
            </w:r>
            <w:r>
              <w:rPr>
                <w:rFonts w:hint="eastAsia" w:ascii="Times New Roman" w:hAnsi="Times New Roman" w:eastAsia="宋体" w:cs="Times New Roman"/>
                <w:color w:val="auto"/>
              </w:rPr>
              <w:t>标准，即：</w:t>
            </w:r>
            <w:r>
              <w:rPr>
                <w:rFonts w:hint="eastAsia" w:ascii="Times New Roman" w:hAnsi="Times New Roman" w:cs="Times New Roman"/>
                <w:color w:val="auto"/>
                <w:lang w:val="en-US" w:eastAsia="zh-CN"/>
              </w:rPr>
              <w:t>3</w:t>
            </w:r>
            <w:r>
              <w:rPr>
                <w:rFonts w:hint="eastAsia" w:ascii="Times New Roman" w:hAnsi="Times New Roman" w:eastAsia="宋体" w:cs="Times New Roman"/>
                <w:color w:val="auto"/>
                <w:lang w:val="en-US" w:eastAsia="zh-CN"/>
              </w:rPr>
              <w:t>类昼间：</w:t>
            </w:r>
            <w:r>
              <w:rPr>
                <w:rFonts w:hint="eastAsia" w:ascii="Times New Roman" w:hAnsi="Times New Roman" w:cs="Times New Roman"/>
                <w:color w:val="auto"/>
                <w:lang w:val="en-US" w:eastAsia="zh-CN"/>
              </w:rPr>
              <w:t>55</w:t>
            </w:r>
            <w:r>
              <w:rPr>
                <w:rFonts w:hint="eastAsia" w:ascii="Times New Roman" w:hAnsi="Times New Roman" w:eastAsia="宋体" w:cs="Times New Roman"/>
                <w:color w:val="auto"/>
                <w:lang w:val="en-US" w:eastAsia="zh-CN"/>
              </w:rPr>
              <w:t>dB（A），夜间</w:t>
            </w:r>
            <w:r>
              <w:rPr>
                <w:rFonts w:hint="eastAsia" w:ascii="Times New Roman" w:hAnsi="Times New Roman" w:cs="Times New Roman"/>
                <w:color w:val="auto"/>
                <w:lang w:val="en-US" w:eastAsia="zh-CN"/>
              </w:rPr>
              <w:t>45</w:t>
            </w:r>
            <w:r>
              <w:rPr>
                <w:rFonts w:hint="eastAsia" w:ascii="Times New Roman" w:hAnsi="Times New Roman" w:eastAsia="宋体" w:cs="Times New Roman"/>
                <w:color w:val="auto"/>
                <w:lang w:val="en-US" w:eastAsia="zh-CN"/>
              </w:rPr>
              <w:t>dB（A）</w:t>
            </w:r>
            <w:r>
              <w:rPr>
                <w:rFonts w:ascii="Times New Roman" w:hAnsi="Times New Roman" w:eastAsia="宋体" w:cs="Times New Roman"/>
                <w:color w:val="auto"/>
              </w:rPr>
              <w:t>。</w:t>
            </w:r>
          </w:p>
          <w:p>
            <w:pPr>
              <w:pStyle w:val="37"/>
              <w:spacing w:line="360" w:lineRule="auto"/>
              <w:ind w:firstLine="480" w:firstLineChars="200"/>
              <w:jc w:val="both"/>
              <w:rPr>
                <w:rFonts w:ascii="Times New Roman" w:hAnsi="Times New Roman" w:eastAsia="宋体" w:cs="Times New Roman"/>
                <w:color w:val="auto"/>
              </w:rPr>
            </w:pPr>
          </w:p>
          <w:p>
            <w:pPr>
              <w:pStyle w:val="37"/>
              <w:spacing w:line="360" w:lineRule="auto"/>
              <w:ind w:firstLine="480" w:firstLineChars="200"/>
              <w:jc w:val="both"/>
              <w:rPr>
                <w:rFonts w:ascii="Times New Roman" w:hAnsi="Times New Roman" w:eastAsia="宋体" w:cs="Times New Roman"/>
                <w:color w:val="auto"/>
              </w:rPr>
            </w:pPr>
          </w:p>
          <w:p>
            <w:pPr>
              <w:pStyle w:val="37"/>
              <w:numPr>
                <w:ilvl w:val="0"/>
                <w:numId w:val="8"/>
              </w:numPr>
              <w:spacing w:line="360" w:lineRule="auto"/>
              <w:ind w:firstLine="480" w:firstLineChars="200"/>
              <w:jc w:val="both"/>
              <w:rPr>
                <w:rFonts w:hint="eastAsia"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污染物排放总量核</w:t>
            </w:r>
            <w:r>
              <w:rPr>
                <w:rFonts w:hint="eastAsia" w:ascii="Times New Roman" w:hAnsi="Times New Roman" w:cs="Times New Roman"/>
                <w:color w:val="auto"/>
                <w:sz w:val="24"/>
                <w:szCs w:val="24"/>
                <w:lang w:val="en-US" w:eastAsia="zh-CN"/>
              </w:rPr>
              <w:t>算</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22" w:firstLineChars="20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粉尘废气</w:t>
            </w:r>
            <w:r>
              <w:rPr>
                <w:rFonts w:hint="default" w:ascii="Times New Roman" w:hAnsi="Times New Roman" w:eastAsia="宋体" w:cs="Times New Roman"/>
                <w:b/>
                <w:bCs/>
                <w:color w:val="auto"/>
                <w:sz w:val="21"/>
                <w:szCs w:val="21"/>
                <w:lang w:val="en-US" w:eastAsia="zh-CN"/>
              </w:rPr>
              <w:t>污染物排放总量</w:t>
            </w:r>
          </w:p>
          <w:tbl>
            <w:tblPr>
              <w:tblStyle w:val="27"/>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885"/>
              <w:gridCol w:w="1155"/>
              <w:gridCol w:w="2280"/>
              <w:gridCol w:w="11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112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监测点位</w:t>
                  </w:r>
                </w:p>
              </w:tc>
              <w:tc>
                <w:tcPr>
                  <w:tcW w:w="88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15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设施名称</w:t>
                  </w: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标杆流量：m³/h</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1970</w:t>
                  </w:r>
                </w:p>
              </w:tc>
              <w:tc>
                <w:tcPr>
                  <w:tcW w:w="1526"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0" w:type="dxa"/>
                  <w:vMerge w:val="restart"/>
                  <w:tcBorders>
                    <w:tl2br w:val="nil"/>
                    <w:tr2bl w:val="nil"/>
                  </w:tcBorders>
                  <w:vAlign w:val="center"/>
                </w:tcPr>
                <w:p>
                  <w:pPr>
                    <w:pStyle w:val="37"/>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导热油炉废气</w:t>
                  </w:r>
                </w:p>
              </w:tc>
              <w:tc>
                <w:tcPr>
                  <w:tcW w:w="885"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二氧化硫</w:t>
                  </w:r>
                </w:p>
              </w:tc>
              <w:tc>
                <w:tcPr>
                  <w:tcW w:w="1155"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10m排气筒</w:t>
                  </w: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排放浓度（</w:t>
                  </w:r>
                  <w:r>
                    <w:rPr>
                      <w:rFonts w:hint="default" w:ascii="Times New Roman" w:hAnsi="Times New Roman" w:eastAsia="宋体" w:cs="Times New Roman"/>
                      <w:b w:val="0"/>
                      <w:bCs w:val="0"/>
                      <w:color w:val="auto"/>
                      <w:szCs w:val="21"/>
                      <w:lang w:val="en-US" w:eastAsia="zh-CN"/>
                    </w:rPr>
                    <w:t>mg</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1526"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速率（</w:t>
                  </w:r>
                  <w:r>
                    <w:rPr>
                      <w:rFonts w:hint="default" w:ascii="Times New Roman" w:hAnsi="Times New Roman" w:eastAsia="宋体" w:cs="Times New Roman"/>
                      <w:b w:val="0"/>
                      <w:bCs w:val="0"/>
                      <w:color w:val="auto"/>
                      <w:szCs w:val="21"/>
                    </w:rPr>
                    <w:t>kg/h</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废气</w:t>
                  </w:r>
                  <w:r>
                    <w:rPr>
                      <w:rFonts w:hint="default" w:ascii="Times New Roman" w:hAnsi="Times New Roman" w:eastAsia="宋体" w:cs="Times New Roman"/>
                      <w:color w:val="auto"/>
                      <w:sz w:val="21"/>
                      <w:szCs w:val="21"/>
                      <w:vertAlign w:val="baseline"/>
                      <w:lang w:val="en-US" w:eastAsia="zh-CN"/>
                    </w:rPr>
                    <w:t>量（万标立方米）</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756.84</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量（t/a）</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0.0113</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排放浓度（</w:t>
                  </w:r>
                  <w:r>
                    <w:rPr>
                      <w:rFonts w:hint="default" w:ascii="Times New Roman" w:hAnsi="Times New Roman" w:eastAsia="宋体" w:cs="Times New Roman"/>
                      <w:b w:val="0"/>
                      <w:bCs w:val="0"/>
                      <w:color w:val="auto"/>
                      <w:szCs w:val="21"/>
                      <w:lang w:val="en-US" w:eastAsia="zh-CN"/>
                    </w:rPr>
                    <w:t>mg</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36.5</w:t>
                  </w:r>
                </w:p>
              </w:tc>
              <w:tc>
                <w:tcPr>
                  <w:tcW w:w="1526"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速率（</w:t>
                  </w:r>
                  <w:r>
                    <w:rPr>
                      <w:rFonts w:hint="default" w:ascii="Times New Roman" w:hAnsi="Times New Roman" w:eastAsia="宋体" w:cs="Times New Roman"/>
                      <w:b w:val="0"/>
                      <w:bCs w:val="0"/>
                      <w:color w:val="auto"/>
                      <w:szCs w:val="21"/>
                    </w:rPr>
                    <w:t>kg/h</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0.072</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废气</w:t>
                  </w:r>
                  <w:r>
                    <w:rPr>
                      <w:rFonts w:hint="default" w:ascii="Times New Roman" w:hAnsi="Times New Roman" w:eastAsia="宋体" w:cs="Times New Roman"/>
                      <w:color w:val="auto"/>
                      <w:sz w:val="21"/>
                      <w:szCs w:val="21"/>
                      <w:vertAlign w:val="baseline"/>
                      <w:lang w:val="en-US" w:eastAsia="zh-CN"/>
                    </w:rPr>
                    <w:t>量（万标立方米）</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7564</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量（t/a）</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0.2765</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20"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沥青废气</w:t>
                  </w:r>
                </w:p>
              </w:tc>
              <w:tc>
                <w:tcPr>
                  <w:tcW w:w="885"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1155"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标杆流量：m³/h</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3010</w:t>
                  </w:r>
                </w:p>
              </w:tc>
              <w:tc>
                <w:tcPr>
                  <w:tcW w:w="1526"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排放浓度（</w:t>
                  </w:r>
                  <w:r>
                    <w:rPr>
                      <w:rFonts w:hint="default" w:ascii="Times New Roman" w:hAnsi="Times New Roman" w:eastAsia="宋体" w:cs="Times New Roman"/>
                      <w:b w:val="0"/>
                      <w:bCs w:val="0"/>
                      <w:color w:val="auto"/>
                      <w:szCs w:val="21"/>
                      <w:lang w:val="en-US" w:eastAsia="zh-CN"/>
                    </w:rPr>
                    <w:t>mg</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1.045</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速率（</w:t>
                  </w:r>
                  <w:r>
                    <w:rPr>
                      <w:rFonts w:hint="default" w:ascii="Times New Roman" w:hAnsi="Times New Roman" w:eastAsia="宋体" w:cs="Times New Roman"/>
                      <w:b w:val="0"/>
                      <w:bCs w:val="0"/>
                      <w:color w:val="auto"/>
                      <w:szCs w:val="21"/>
                    </w:rPr>
                    <w:t>kg/h</w:t>
                  </w:r>
                  <w:r>
                    <w:rPr>
                      <w:rFonts w:hint="default" w:ascii="Times New Roman" w:hAnsi="Times New Roman" w:eastAsia="宋体" w:cs="Times New Roman"/>
                      <w:color w:val="auto"/>
                      <w:sz w:val="21"/>
                      <w:szCs w:val="21"/>
                      <w:vertAlign w:val="baseline"/>
                      <w:lang w:val="en-US" w:eastAsia="zh-CN"/>
                    </w:rPr>
                    <w:t>）</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0.00315</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废气</w:t>
                  </w:r>
                  <w:r>
                    <w:rPr>
                      <w:rFonts w:hint="default" w:ascii="Times New Roman" w:hAnsi="Times New Roman" w:eastAsia="宋体" w:cs="Times New Roman"/>
                      <w:color w:val="auto"/>
                      <w:sz w:val="21"/>
                      <w:szCs w:val="21"/>
                      <w:vertAlign w:val="baseline"/>
                      <w:lang w:val="en-US" w:eastAsia="zh-CN"/>
                    </w:rPr>
                    <w:t>量（万标立方米）</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1155.84</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trPr>
              <w:tc>
                <w:tcPr>
                  <w:tcW w:w="1120"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88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5"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280"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产生</w:t>
                  </w:r>
                  <w:r>
                    <w:rPr>
                      <w:rFonts w:hint="default" w:ascii="Times New Roman" w:hAnsi="Times New Roman" w:eastAsia="宋体" w:cs="Times New Roman"/>
                      <w:color w:val="auto"/>
                      <w:sz w:val="21"/>
                      <w:szCs w:val="21"/>
                      <w:vertAlign w:val="baseline"/>
                      <w:lang w:val="en-US" w:eastAsia="zh-CN"/>
                    </w:rPr>
                    <w:t>量（t/a）</w:t>
                  </w:r>
                </w:p>
              </w:tc>
              <w:tc>
                <w:tcPr>
                  <w:tcW w:w="115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0.0121</w:t>
                  </w:r>
                </w:p>
              </w:tc>
              <w:tc>
                <w:tcPr>
                  <w:tcW w:w="1526" w:type="dxa"/>
                  <w:vMerge w:val="continue"/>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trPr>
              <w:tc>
                <w:tcPr>
                  <w:tcW w:w="8119" w:type="dxa"/>
                  <w:gridSpan w:val="6"/>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项目年工作时间为3840h/a。</w:t>
                  </w:r>
                </w:p>
              </w:tc>
            </w:tr>
          </w:tbl>
          <w:p>
            <w:pPr>
              <w:pStyle w:val="37"/>
              <w:spacing w:line="360" w:lineRule="auto"/>
              <w:ind w:firstLine="480" w:firstLineChars="200"/>
              <w:jc w:val="both"/>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auto"/>
                <w:sz w:val="24"/>
                <w:szCs w:val="24"/>
                <w:lang w:val="en-US" w:eastAsia="zh-CN" w:bidi="ar-SA"/>
              </w:rPr>
              <w:t>由</w:t>
            </w:r>
            <w:r>
              <w:rPr>
                <w:rFonts w:hint="eastAsia" w:ascii="Times New Roman" w:hAnsi="Times New Roman" w:cs="Times New Roman"/>
                <w:color w:val="auto"/>
                <w:sz w:val="24"/>
                <w:szCs w:val="24"/>
                <w:lang w:val="en-US" w:eastAsia="zh-CN" w:bidi="ar-SA"/>
              </w:rPr>
              <w:t>上表7-6</w:t>
            </w:r>
            <w:r>
              <w:rPr>
                <w:rFonts w:hint="default" w:ascii="Times New Roman" w:hAnsi="Times New Roman" w:eastAsia="宋体" w:cs="Times New Roman"/>
                <w:color w:val="auto"/>
                <w:sz w:val="24"/>
                <w:szCs w:val="24"/>
                <w:lang w:val="en-US" w:eastAsia="zh-CN" w:bidi="ar-SA"/>
              </w:rPr>
              <w:t>可知</w:t>
            </w:r>
            <w:r>
              <w:rPr>
                <w:rFonts w:hint="eastAsia" w:ascii="Times New Roman" w:hAnsi="Times New Roman" w:eastAsia="宋体"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二氧化硫总</w:t>
            </w:r>
            <w:r>
              <w:rPr>
                <w:rFonts w:hint="eastAsia" w:ascii="Times New Roman" w:hAnsi="Times New Roman" w:eastAsia="宋体" w:cs="Times New Roman"/>
                <w:color w:val="auto"/>
                <w:sz w:val="24"/>
                <w:szCs w:val="24"/>
                <w:lang w:val="en-US" w:eastAsia="zh-CN" w:bidi="ar-SA"/>
              </w:rPr>
              <w:t>排放量为</w:t>
            </w:r>
            <w:r>
              <w:rPr>
                <w:rFonts w:hint="eastAsia" w:ascii="Times New Roman" w:hAnsi="Times New Roman" w:cs="Times New Roman"/>
                <w:color w:val="auto"/>
                <w:sz w:val="24"/>
                <w:szCs w:val="24"/>
                <w:lang w:val="en-US" w:eastAsia="zh-CN" w:bidi="ar-SA"/>
              </w:rPr>
              <w:t>0.0113</w:t>
            </w:r>
            <w:r>
              <w:rPr>
                <w:rFonts w:hint="eastAsia" w:ascii="Times New Roman" w:hAnsi="Times New Roman" w:eastAsia="宋体" w:cs="Times New Roman"/>
                <w:color w:val="auto"/>
                <w:sz w:val="24"/>
                <w:szCs w:val="24"/>
                <w:lang w:val="en-US" w:eastAsia="zh-CN" w:bidi="ar-SA"/>
              </w:rPr>
              <w:t>t/a，氮氧化物</w:t>
            </w:r>
            <w:r>
              <w:rPr>
                <w:rFonts w:hint="eastAsia" w:ascii="Times New Roman" w:hAnsi="Times New Roman" w:cs="Times New Roman"/>
                <w:color w:val="auto"/>
                <w:sz w:val="24"/>
                <w:szCs w:val="24"/>
                <w:lang w:val="en-US" w:eastAsia="zh-CN" w:bidi="ar-SA"/>
              </w:rPr>
              <w:t>总</w:t>
            </w:r>
            <w:r>
              <w:rPr>
                <w:rFonts w:hint="eastAsia" w:ascii="Times New Roman" w:hAnsi="Times New Roman" w:eastAsia="宋体" w:cs="Times New Roman"/>
                <w:color w:val="auto"/>
                <w:sz w:val="24"/>
                <w:szCs w:val="24"/>
                <w:lang w:val="en-US" w:eastAsia="zh-CN" w:bidi="ar-SA"/>
              </w:rPr>
              <w:t>排放量为</w:t>
            </w:r>
            <w:r>
              <w:rPr>
                <w:rFonts w:hint="eastAsia" w:ascii="Times New Roman" w:hAnsi="Times New Roman" w:cs="Times New Roman"/>
                <w:color w:val="auto"/>
                <w:sz w:val="24"/>
                <w:szCs w:val="24"/>
                <w:lang w:val="en-US" w:eastAsia="zh-CN" w:bidi="ar-SA"/>
              </w:rPr>
              <w:t>0.2765</w:t>
            </w:r>
            <w:r>
              <w:rPr>
                <w:rFonts w:hint="eastAsia" w:ascii="Times New Roman" w:hAnsi="Times New Roman" w:eastAsia="宋体" w:cs="Times New Roman"/>
                <w:color w:val="auto"/>
                <w:sz w:val="24"/>
                <w:szCs w:val="24"/>
                <w:lang w:val="en-US" w:eastAsia="zh-CN" w:bidi="ar-SA"/>
              </w:rPr>
              <w:t>t/a，非甲烷总烃</w:t>
            </w:r>
            <w:r>
              <w:rPr>
                <w:rFonts w:hint="eastAsia" w:ascii="Times New Roman" w:hAnsi="Times New Roman" w:cs="Times New Roman"/>
                <w:color w:val="auto"/>
                <w:sz w:val="24"/>
                <w:szCs w:val="24"/>
                <w:lang w:val="en-US" w:eastAsia="zh-CN" w:bidi="ar-SA"/>
              </w:rPr>
              <w:t>总</w:t>
            </w:r>
            <w:r>
              <w:rPr>
                <w:rFonts w:hint="eastAsia" w:ascii="Times New Roman" w:hAnsi="Times New Roman" w:eastAsia="宋体" w:cs="Times New Roman"/>
                <w:color w:val="auto"/>
                <w:sz w:val="24"/>
                <w:szCs w:val="24"/>
                <w:lang w:val="en-US" w:eastAsia="zh-CN" w:bidi="ar-SA"/>
              </w:rPr>
              <w:t>排放量为</w:t>
            </w:r>
            <w:r>
              <w:rPr>
                <w:rFonts w:hint="eastAsia" w:ascii="Times New Roman" w:hAnsi="Times New Roman" w:cs="Times New Roman"/>
                <w:color w:val="auto"/>
                <w:sz w:val="24"/>
                <w:szCs w:val="24"/>
                <w:lang w:val="en-US" w:eastAsia="zh-CN" w:bidi="ar-SA"/>
              </w:rPr>
              <w:t>0.0121t</w:t>
            </w:r>
            <w:r>
              <w:rPr>
                <w:rFonts w:hint="eastAsia" w:ascii="Times New Roman" w:hAnsi="Times New Roman" w:eastAsia="宋体" w:cs="Times New Roman"/>
                <w:color w:val="auto"/>
                <w:sz w:val="24"/>
                <w:szCs w:val="24"/>
                <w:lang w:val="en-US" w:eastAsia="zh-CN" w:bidi="ar-SA"/>
              </w:rPr>
              <w:t>/a。废气污染物排放总量满足环评批复要求</w:t>
            </w:r>
            <w:r>
              <w:rPr>
                <w:rFonts w:hint="eastAsia" w:ascii="Times New Roman" w:hAnsi="Times New Roman" w:cs="Times New Roman"/>
                <w:color w:val="auto"/>
                <w:sz w:val="24"/>
                <w:szCs w:val="24"/>
                <w:lang w:val="en-US" w:eastAsia="zh-CN" w:bidi="ar-SA"/>
              </w:rPr>
              <w:t>二氧化硫0.152</w:t>
            </w:r>
            <w:r>
              <w:rPr>
                <w:rFonts w:hint="eastAsia" w:ascii="Times New Roman" w:hAnsi="Times New Roman" w:eastAsia="宋体" w:cs="Times New Roman"/>
                <w:color w:val="auto"/>
                <w:sz w:val="24"/>
                <w:szCs w:val="24"/>
                <w:lang w:val="en-US" w:eastAsia="zh-CN" w:bidi="ar-SA"/>
              </w:rPr>
              <w:t>t/a，氮氧化物</w:t>
            </w:r>
            <w:r>
              <w:rPr>
                <w:rFonts w:hint="eastAsia" w:ascii="Times New Roman" w:hAnsi="Times New Roman" w:cs="Times New Roman"/>
                <w:color w:val="auto"/>
                <w:sz w:val="24"/>
                <w:szCs w:val="24"/>
                <w:lang w:val="en-US" w:eastAsia="zh-CN" w:bidi="ar-SA"/>
              </w:rPr>
              <w:t>0.711</w:t>
            </w:r>
            <w:r>
              <w:rPr>
                <w:rFonts w:hint="eastAsia" w:ascii="Times New Roman" w:hAnsi="Times New Roman" w:eastAsia="宋体" w:cs="Times New Roman"/>
                <w:color w:val="auto"/>
                <w:sz w:val="24"/>
                <w:szCs w:val="24"/>
                <w:lang w:val="en-US" w:eastAsia="zh-CN" w:bidi="ar-SA"/>
              </w:rPr>
              <w:t>t/a，非甲烷总烃</w:t>
            </w:r>
            <w:r>
              <w:rPr>
                <w:rFonts w:hint="eastAsia" w:ascii="Times New Roman" w:hAnsi="Times New Roman" w:cs="Times New Roman"/>
                <w:color w:val="auto"/>
                <w:sz w:val="24"/>
                <w:szCs w:val="24"/>
                <w:lang w:val="en-US" w:eastAsia="zh-CN" w:bidi="ar-SA"/>
              </w:rPr>
              <w:t>0.1952t</w:t>
            </w:r>
            <w:r>
              <w:rPr>
                <w:rFonts w:hint="eastAsia" w:ascii="Times New Roman" w:hAnsi="Times New Roman" w:eastAsia="宋体" w:cs="Times New Roman"/>
                <w:color w:val="auto"/>
                <w:sz w:val="24"/>
                <w:szCs w:val="24"/>
                <w:lang w:val="en-US" w:eastAsia="zh-CN" w:bidi="ar-SA"/>
              </w:rPr>
              <w:t>/a。</w:t>
            </w:r>
          </w:p>
        </w:tc>
      </w:tr>
    </w:tbl>
    <w:p>
      <w:pPr>
        <w:pStyle w:val="2"/>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验收监测结论：</w:t>
            </w:r>
          </w:p>
          <w:p>
            <w:pPr>
              <w:pStyle w:val="37"/>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本次验收针对</w:t>
            </w:r>
            <w:r>
              <w:rPr>
                <w:rFonts w:hint="eastAsia" w:ascii="Times New Roman" w:hAnsi="Times New Roman" w:cs="Times New Roman"/>
                <w:b/>
                <w:bCs/>
                <w:color w:val="auto"/>
                <w:lang w:val="en-US" w:eastAsia="zh-CN"/>
              </w:rPr>
              <w:t>福建鑫华毅建材有限公司年产1000万平方米环保型弹性体沥青防水卷材项目</w:t>
            </w:r>
            <w:r>
              <w:rPr>
                <w:rFonts w:ascii="Times New Roman" w:hAnsi="Times New Roman" w:cs="Times New Roman"/>
                <w:b/>
                <w:bCs/>
                <w:color w:val="auto"/>
              </w:rPr>
              <w:t>进行</w:t>
            </w:r>
            <w:r>
              <w:rPr>
                <w:rFonts w:hint="eastAsia" w:ascii="Times New Roman" w:hAnsi="Times New Roman" w:cs="Times New Roman"/>
                <w:b/>
                <w:bCs/>
                <w:color w:val="auto"/>
                <w:lang w:val="en-US" w:eastAsia="zh-CN"/>
              </w:rPr>
              <w:t>整体验收</w:t>
            </w:r>
            <w:r>
              <w:rPr>
                <w:rFonts w:ascii="Times New Roman" w:hAnsi="Times New Roman" w:cs="Times New Roman"/>
                <w:b/>
                <w:bCs/>
                <w:color w:val="auto"/>
              </w:rPr>
              <w:t>。验收期间本项目的性质、规模、地点、生产工艺等均未发生重大改变。故本次验收结论如下：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bookmarkStart w:id="10" w:name="_Toc9522"/>
            <w:r>
              <w:rPr>
                <w:rFonts w:hint="default" w:ascii="Times New Roman" w:hAnsi="Times New Roman" w:eastAsia="宋体" w:cs="Times New Roman"/>
                <w:bCs/>
                <w:color w:val="auto"/>
                <w:sz w:val="24"/>
                <w:szCs w:val="24"/>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w:t>
            </w:r>
            <w:r>
              <w:rPr>
                <w:rFonts w:hint="default" w:ascii="Times New Roman" w:hAnsi="Times New Roman" w:eastAsia="宋体" w:cs="Times New Roman"/>
                <w:bCs/>
                <w:color w:val="auto"/>
                <w:sz w:val="24"/>
                <w:szCs w:val="24"/>
                <w:lang w:val="en-US" w:eastAsia="zh-CN"/>
              </w:rPr>
              <w:t>监测期间，</w:t>
            </w:r>
            <w:r>
              <w:rPr>
                <w:rFonts w:hint="eastAsia" w:ascii="Times New Roman" w:hAnsi="Times New Roman" w:eastAsia="宋体" w:cs="Times New Roman"/>
                <w:color w:val="auto"/>
                <w:sz w:val="24"/>
                <w:szCs w:val="24"/>
                <w:shd w:val="clear" w:color="auto" w:fill="auto"/>
                <w:lang w:val="en-US" w:eastAsia="zh-CN"/>
              </w:rPr>
              <w:t>本项目外排废水仅为生活污水，且生活污水排放量极小，故本次验收不对废水进行监测</w:t>
            </w:r>
            <w:r>
              <w:rPr>
                <w:rFonts w:hint="default" w:ascii="Times New Roman" w:hAnsi="Times New Roman" w:eastAsia="宋体" w:cs="Times New Roman"/>
                <w:b w:val="0"/>
                <w:bCs/>
                <w:color w:val="auto"/>
                <w:kern w:val="0"/>
                <w:sz w:val="24"/>
                <w:szCs w:val="24"/>
                <w:lang w:val="en-US" w:eastAsia="zh-CN" w:bidi="ar-SA"/>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shd w:val="clear" w:color="auto" w:fill="auto"/>
                <w:lang w:val="en-US" w:eastAsia="zh-CN"/>
              </w:rPr>
            </w:pPr>
            <w:r>
              <w:rPr>
                <w:rFonts w:hint="default" w:ascii="Times New Roman" w:hAnsi="Times New Roman" w:eastAsia="宋体" w:cs="Times New Roman"/>
                <w:bCs/>
                <w:color w:val="auto"/>
                <w:sz w:val="24"/>
                <w:szCs w:val="24"/>
                <w:shd w:val="clear" w:color="auto" w:fill="auto"/>
                <w:lang w:val="en-US" w:eastAsia="zh-CN"/>
              </w:rPr>
              <w:t>（2）废气</w:t>
            </w:r>
          </w:p>
          <w:p>
            <w:pPr>
              <w:pStyle w:val="25"/>
              <w:widowControl w:val="0"/>
              <w:numPr>
                <w:ilvl w:val="0"/>
                <w:numId w:val="0"/>
              </w:numPr>
              <w:spacing w:after="60"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Cs/>
                <w:color w:val="auto"/>
                <w:sz w:val="24"/>
                <w:szCs w:val="24"/>
                <w:shd w:val="clear" w:color="auto" w:fill="auto"/>
              </w:rPr>
              <w:t>环保竣工验收</w:t>
            </w:r>
            <w:r>
              <w:rPr>
                <w:rFonts w:hint="default" w:ascii="Times New Roman" w:hAnsi="Times New Roman" w:eastAsia="宋体" w:cs="Times New Roman"/>
                <w:bCs/>
                <w:color w:val="auto"/>
                <w:sz w:val="24"/>
                <w:szCs w:val="24"/>
                <w:shd w:val="clear" w:color="auto" w:fill="auto"/>
                <w:lang w:val="en-US" w:eastAsia="zh-CN"/>
              </w:rPr>
              <w:t>监测期间</w:t>
            </w:r>
            <w:r>
              <w:rPr>
                <w:rFonts w:hint="eastAsia" w:ascii="Times New Roman" w:hAnsi="Times New Roman" w:eastAsia="宋体" w:cs="Times New Roman"/>
                <w:bCs/>
                <w:color w:val="auto"/>
                <w:sz w:val="24"/>
                <w:szCs w:val="24"/>
                <w:shd w:val="clear" w:color="auto" w:fill="auto"/>
                <w:lang w:val="en-US" w:eastAsia="zh-CN"/>
              </w:rPr>
              <w:t>，</w:t>
            </w: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沥青废气沥青烟、苯并[a]芘排放满足《大气污染物综合排放标准》GB 16297-1996 表 2 新污染源大气污染物排放限值中二级标准限值；非甲烷总烃排放满足《工业企业挥发性有机物排放标准》DB 35/1782-2018 表 1 排气筒挥发性有机物排放限值中其他行业限值；臭气浓度排放满足《恶臭污染物排放标准》GB 14554-93 表 2 恶臭污染物排放标准值中排气筒高度 15m限值；导热油炉废气排放满足《锅炉大气污染物排放标准》GB 13271-2014 表 2 新建锅炉大气污染物排放浓度限值中燃气锅炉。</w:t>
            </w:r>
          </w:p>
          <w:p>
            <w:pPr>
              <w:pStyle w:val="25"/>
              <w:widowControl w:val="0"/>
              <w:numPr>
                <w:ilvl w:val="0"/>
                <w:numId w:val="0"/>
              </w:numPr>
              <w:spacing w:after="60"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无组织废气非甲烷总烃排放满足《工业企业挥发性有机物排放标准》DB 35/1782-2018 表 3 企业边界监控点浓度限值；颗粒物排放满足《大气污染物综合排放标准》GB 16297-1996 表 2 新污染源大气污染物排放限值中无组织排放监控浓度限值；臭气浓度排放满足《恶臭污染物排放标准》GB 14554-93 表 1 恶臭污染物厂界标准值中二级/新扩改建限值。</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color w:val="auto"/>
                <w:sz w:val="24"/>
                <w:szCs w:val="24"/>
                <w:shd w:val="clear" w:color="auto" w:fill="auto"/>
                <w:lang w:val="en-US" w:eastAsia="zh-CN"/>
              </w:rPr>
              <w:t>本项目厂界噪声</w:t>
            </w:r>
            <w:r>
              <w:rPr>
                <w:rFonts w:hint="eastAsia" w:ascii="Times New Roman" w:hAnsi="Times New Roman" w:eastAsia="宋体" w:cs="Times New Roman"/>
                <w:bCs/>
                <w:color w:val="auto"/>
                <w:sz w:val="24"/>
                <w:szCs w:val="24"/>
                <w:lang w:val="en-US" w:eastAsia="zh-CN"/>
              </w:rPr>
              <w:t>排放满足《工业企业厂界环境噪声排放标准》（GB12348-2008）中的3类标准，即：</w:t>
            </w:r>
            <w:r>
              <w:rPr>
                <w:rFonts w:hint="default" w:ascii="Times New Roman" w:hAnsi="Times New Roman" w:eastAsia="宋体" w:cs="Times New Roman"/>
                <w:bCs/>
                <w:color w:val="auto"/>
                <w:sz w:val="24"/>
                <w:szCs w:val="24"/>
                <w:lang w:val="en-US" w:eastAsia="zh-CN"/>
              </w:rPr>
              <w:t>昼间≤</w:t>
            </w:r>
            <w:r>
              <w:rPr>
                <w:rFonts w:hint="eastAsia" w:ascii="Times New Roman" w:hAnsi="Times New Roman" w:eastAsia="宋体" w:cs="Times New Roman"/>
                <w:bCs/>
                <w:color w:val="auto"/>
                <w:sz w:val="24"/>
                <w:szCs w:val="24"/>
                <w:lang w:val="en-US" w:eastAsia="zh-CN"/>
              </w:rPr>
              <w:t>65</w:t>
            </w:r>
            <w:r>
              <w:rPr>
                <w:rFonts w:hint="default" w:ascii="Times New Roman" w:hAnsi="Times New Roman" w:eastAsia="宋体" w:cs="Times New Roman"/>
                <w:bCs/>
                <w:color w:val="auto"/>
                <w:sz w:val="24"/>
                <w:szCs w:val="24"/>
                <w:lang w:val="en-US" w:eastAsia="zh-CN"/>
              </w:rPr>
              <w:t>dB（A）；夜间≤</w:t>
            </w:r>
            <w:r>
              <w:rPr>
                <w:rFonts w:hint="eastAsia" w:ascii="Times New Roman" w:hAnsi="Times New Roman" w:eastAsia="宋体" w:cs="Times New Roman"/>
                <w:bCs/>
                <w:color w:val="auto"/>
                <w:sz w:val="24"/>
                <w:szCs w:val="24"/>
                <w:lang w:val="en-US" w:eastAsia="zh-CN"/>
              </w:rPr>
              <w:t>55</w:t>
            </w:r>
            <w:r>
              <w:rPr>
                <w:rFonts w:hint="default" w:ascii="Times New Roman" w:hAnsi="Times New Roman" w:eastAsia="宋体" w:cs="Times New Roman"/>
                <w:bCs/>
                <w:color w:val="auto"/>
                <w:sz w:val="24"/>
                <w:szCs w:val="24"/>
                <w:lang w:val="en-US" w:eastAsia="zh-CN"/>
              </w:rPr>
              <w:t>dB（A）</w:t>
            </w:r>
            <w:r>
              <w:rPr>
                <w:rFonts w:hint="eastAsia" w:ascii="Times New Roman" w:hAnsi="Times New Roman" w:eastAsia="宋体" w:cs="Times New Roman"/>
                <w:bCs/>
                <w:color w:val="auto"/>
                <w:sz w:val="24"/>
                <w:szCs w:val="24"/>
                <w:lang w:val="en-US" w:eastAsia="zh-CN"/>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pStyle w:val="46"/>
              <w:pageBreakBefore w:val="0"/>
              <w:kinsoku/>
              <w:wordWrap/>
              <w:overflowPunct/>
              <w:topLinePunct w:val="0"/>
              <w:bidi w:val="0"/>
              <w:ind w:firstLine="48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环保竣工验收监测期间，</w:t>
            </w:r>
            <w:r>
              <w:rPr>
                <w:rFonts w:hint="default" w:ascii="Times New Roman" w:hAnsi="Times New Roman" w:eastAsia="宋体" w:cs="Times New Roman"/>
                <w:b w:val="0"/>
                <w:bCs/>
                <w:color w:val="auto"/>
                <w:sz w:val="24"/>
                <w:szCs w:val="24"/>
                <w:lang w:val="en-US" w:eastAsia="zh-CN"/>
              </w:rPr>
              <w:t>本项目生产过程中产生的固废主要有废包装材料（废纸箱、废包装袋等包装物）、边角料、焦油、废矿物油、废活性炭吸附饱和物、UV光氧废灯管、导热油等以及员工生活垃圾。</w:t>
            </w:r>
          </w:p>
          <w:p>
            <w:pPr>
              <w:pStyle w:val="46"/>
              <w:pageBreakBefore w:val="0"/>
              <w:kinsoku/>
              <w:wordWrap/>
              <w:overflowPunct/>
              <w:topLinePunct w:val="0"/>
              <w:bidi w:val="0"/>
              <w:ind w:firstLine="480"/>
              <w:jc w:val="left"/>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一般工业固废集中收集后出售给可回收利用单位，危险废物收集后厂区内暂存于危险废物暂存间内，定期委托有资质单位处置，生活垃圾集中收集，统一交由环卫部门清运处理。</w:t>
            </w:r>
          </w:p>
          <w:bookmarkEnd w:id="10"/>
          <w:p>
            <w:pPr>
              <w:widowControl w:val="0"/>
              <w:numPr>
                <w:ilvl w:val="0"/>
                <w:numId w:val="8"/>
              </w:numPr>
              <w:adjustRightInd/>
              <w:snapToGrid/>
              <w:spacing w:line="360" w:lineRule="auto"/>
              <w:ind w:left="0" w:leftChars="0" w:firstLine="480" w:firstLineChars="200"/>
              <w:jc w:val="both"/>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总量核算</w:t>
            </w:r>
          </w:p>
          <w:p>
            <w:pPr>
              <w:pStyle w:val="2"/>
              <w:widowControl w:val="0"/>
              <w:numPr>
                <w:ilvl w:val="0"/>
                <w:numId w:val="0"/>
              </w:numPr>
              <w:spacing w:line="360" w:lineRule="auto"/>
              <w:ind w:firstLine="480" w:firstLineChars="200"/>
              <w:jc w:val="both"/>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auto"/>
                <w:kern w:val="0"/>
                <w:sz w:val="24"/>
                <w:szCs w:val="24"/>
                <w:lang w:val="en-US" w:eastAsia="zh-CN" w:bidi="ar-SA"/>
              </w:rPr>
              <w:t>环保竣工验收监测</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期间，本项目二氧化硫总排放量为0.0113t/a，氮氧化物总排放量为0.2765t/a，非甲烷总烃总排放量为0.0121t/a。废气污染物排放总量满足环评批复要求二氧化硫0.152t/a，氮氧化物0.711t/a，非甲烷总烃0.1952t/a。</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要求：</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验收结论：</w:t>
            </w:r>
          </w:p>
          <w:p>
            <w:pPr>
              <w:pStyle w:val="37"/>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福建鑫华毅建材有限公司年产1000万平方米环保型弹性体沥青防水卷材项目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7"/>
              <w:spacing w:line="360" w:lineRule="auto"/>
              <w:jc w:val="right"/>
              <w:rPr>
                <w:rFonts w:ascii="Times New Roman" w:hAnsi="Times New Roman" w:cs="Times New Roman"/>
                <w:color w:val="0000FF"/>
                <w:sz w:val="21"/>
                <w:szCs w:val="21"/>
              </w:rPr>
            </w:pPr>
          </w:p>
        </w:tc>
      </w:tr>
    </w:tbl>
    <w:p>
      <w:pPr>
        <w:pStyle w:val="37"/>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6"/>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277"/>
        <w:gridCol w:w="124"/>
        <w:gridCol w:w="611"/>
        <w:gridCol w:w="240"/>
        <w:gridCol w:w="900"/>
        <w:gridCol w:w="113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建设项目工程竣工环境保护“三同时”验收登记表</w:t>
            </w:r>
          </w:p>
          <w:p>
            <w:pPr>
              <w:autoSpaceDN w:val="0"/>
              <w:spacing w:line="260" w:lineRule="exact"/>
              <w:jc w:val="left"/>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填表单位（盖章）：</w:t>
            </w:r>
            <w:r>
              <w:rPr>
                <w:rFonts w:hint="eastAsia" w:ascii="Times New Roman" w:hAnsi="Times New Roman" w:eastAsia="宋体" w:cs="Times New Roman"/>
                <w:color w:val="auto"/>
                <w:sz w:val="18"/>
                <w:szCs w:val="18"/>
                <w:lang w:val="en-US" w:eastAsia="zh-CN"/>
              </w:rPr>
              <w:t>福建鑫华毅建材有限公司</w:t>
            </w:r>
            <w:r>
              <w:rPr>
                <w:rFonts w:ascii="Times New Roman" w:hAnsi="Times New Roman" w:eastAsia="宋体" w:cs="Times New Roman"/>
                <w:color w:val="auto"/>
                <w:sz w:val="18"/>
                <w:szCs w:val="18"/>
              </w:rPr>
              <w:t xml:space="preserve">           填表人（签字）：                               项目经办人（签字）：</w:t>
            </w:r>
          </w:p>
        </w:tc>
      </w:tr>
      <w:tr>
        <w:tblPrEx>
          <w:shd w:val="solid" w:color="FFFFFF" w:themeColor="background1" w:fill="FFFFFF" w:themeFill="background1"/>
          <w:tblCellMar>
            <w:top w:w="0" w:type="dxa"/>
            <w:left w:w="108" w:type="dxa"/>
            <w:bottom w:w="0" w:type="dxa"/>
            <w:right w:w="108" w:type="dxa"/>
          </w:tblCellMar>
        </w:tblPrEx>
        <w:trPr>
          <w:trHeight w:val="231"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项目名称</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福建鑫华毅建材有限公司年产1000万平方米环保型弹性体沥青防水卷材项目</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djustRightInd w:val="0"/>
              <w:snapToGrid w:val="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福建省漳州市平和县文峰镇黄井村兴业路160号</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行业类别（分类管理名录）</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C3033防水建筑材料制造</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 xml:space="preserve">  新建√    改扩建   技术改造    </w:t>
            </w:r>
          </w:p>
        </w:tc>
      </w:tr>
      <w:tr>
        <w:tblPrEx>
          <w:shd w:val="solid" w:color="FFFFFF" w:themeColor="background1" w:fill="FFFFFF" w:themeFill="background1"/>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建设规模</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年产1000万平方米环保型弹性体沥青防水卷材</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年产1000万平方米环保型弹性体沥青防水卷材</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福建华力翔环境技术有限公司</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环评文件审批机关</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漳州市平和生态环境局</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报告表</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开工日期</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2021年4月</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2022年4月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20230306</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环保设施设计单位</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自建</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自建</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验收单位</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福建鑫华毅建材有限公司</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厦厦门华夏学苑检测有限公司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投资总概算（万元）</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5238</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w:t>
            </w:r>
          </w:p>
        </w:tc>
      </w:tr>
      <w:tr>
        <w:tblPrEx>
          <w:shd w:val="solid" w:color="FFFFFF" w:themeColor="background1" w:fill="FFFFFF" w:themeFill="background1"/>
          <w:tblCellMar>
            <w:top w:w="0" w:type="dxa"/>
            <w:left w:w="108" w:type="dxa"/>
            <w:bottom w:w="0" w:type="dxa"/>
            <w:right w:w="108" w:type="dxa"/>
          </w:tblCellMar>
        </w:tblPrEx>
        <w:trPr>
          <w:trHeight w:val="23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实际总投资（万元）</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5238</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废气治理（万元）</w:t>
            </w:r>
          </w:p>
        </w:tc>
        <w:tc>
          <w:tcPr>
            <w:tcW w:w="56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975"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噪声治理（万元）</w:t>
            </w:r>
          </w:p>
        </w:tc>
        <w:tc>
          <w:tcPr>
            <w:tcW w:w="90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4</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5</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新增废水处理设施能力</w:t>
            </w:r>
          </w:p>
        </w:tc>
        <w:tc>
          <w:tcPr>
            <w:tcW w:w="458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10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3840</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w:t>
            </w:r>
          </w:p>
        </w:tc>
        <w:tc>
          <w:tcPr>
            <w:tcW w:w="2838"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eastAsia="zh-CN"/>
              </w:rPr>
            </w:pPr>
            <w:r>
              <w:rPr>
                <w:rFonts w:hint="eastAsia" w:ascii="Times New Roman" w:hAnsi="Times New Roman" w:eastAsia="宋体" w:cs="Times New Roman"/>
                <w:color w:val="auto"/>
                <w:sz w:val="18"/>
                <w:szCs w:val="18"/>
                <w:lang w:val="en-US" w:eastAsia="zh-CN"/>
              </w:rPr>
              <w:t>福建鑫华毅建材有限公司</w:t>
            </w:r>
          </w:p>
        </w:tc>
        <w:tc>
          <w:tcPr>
            <w:tcW w:w="3856" w:type="dxa"/>
            <w:gridSpan w:val="5"/>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20230308</w:t>
            </w:r>
          </w:p>
        </w:tc>
      </w:tr>
      <w:tr>
        <w:tblPrEx>
          <w:shd w:val="solid" w:color="FFFFFF" w:themeColor="background1" w:fill="FFFFFF" w:themeFill="background1"/>
          <w:tblCellMar>
            <w:top w:w="0" w:type="dxa"/>
            <w:left w:w="108" w:type="dxa"/>
            <w:bottom w:w="0" w:type="dxa"/>
            <w:right w:w="108" w:type="dxa"/>
          </w:tblCellMar>
        </w:tblPrEx>
        <w:trPr>
          <w:trHeight w:val="463"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物排</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放达</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标与</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控制</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（工</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业建</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设项</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目详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原有排放量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本期工程允许排放浓度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本期工程产生量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（4）</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本期工程自身削减量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（5）</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本期工程“以新带老”削减量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全厂实际排放总量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区域平衡替代削减量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排放增</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（12）</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bidi="ar-SA"/>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bidi="ar-SA"/>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bidi="ar-SA"/>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bidi="ar-SA"/>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bidi="ar-SA"/>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0.0113</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0.152</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0.2765</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0.711</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4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3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0.0121</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0.1952</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bl>
    <w:p>
      <w:pPr>
        <w:pStyle w:val="37"/>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5"/>
        <w:ind w:firstLine="0"/>
        <w:jc w:val="both"/>
        <w:outlineLvl w:val="1"/>
        <w:rPr>
          <w:rFonts w:ascii="Times New Roman" w:hAnsi="Times New Roman" w:eastAsia="宋体" w:cs="Times New Roman"/>
          <w:b/>
          <w:bCs/>
          <w:color w:val="000000" w:themeColor="text1"/>
          <w:sz w:val="28"/>
          <w:szCs w:val="24"/>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附图1：项目地理位置图</w:t>
      </w:r>
    </w:p>
    <w:p>
      <w:pPr>
        <w:pStyle w:val="25"/>
        <w:ind w:firstLine="0"/>
        <w:jc w:val="both"/>
        <w:outlineLvl w:val="1"/>
        <w:rPr>
          <w:rFonts w:ascii="Times New Roman" w:hAnsi="Times New Roman" w:eastAsia="宋体" w:cs="Times New Roman"/>
          <w:b/>
          <w:bCs/>
          <w:color w:val="0000FF"/>
          <w:sz w:val="28"/>
          <w:szCs w:val="24"/>
        </w:rPr>
      </w:pPr>
      <w:r>
        <w:drawing>
          <wp:inline distT="0" distB="0" distL="114300" distR="114300">
            <wp:extent cx="4810125" cy="6867525"/>
            <wp:effectExtent l="0" t="0" r="9525" b="952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6"/>
                    <a:stretch>
                      <a:fillRect/>
                    </a:stretch>
                  </pic:blipFill>
                  <pic:spPr>
                    <a:xfrm>
                      <a:off x="0" y="0"/>
                      <a:ext cx="4810125" cy="6867525"/>
                    </a:xfrm>
                    <a:prstGeom prst="rect">
                      <a:avLst/>
                    </a:prstGeom>
                    <a:noFill/>
                    <a:ln>
                      <a:noFill/>
                    </a:ln>
                  </pic:spPr>
                </pic:pic>
              </a:graphicData>
            </a:graphic>
          </wp:inline>
        </w:drawing>
      </w:r>
    </w:p>
    <w:p>
      <w:pPr>
        <w:pStyle w:val="25"/>
        <w:ind w:firstLine="0"/>
        <w:jc w:val="center"/>
        <w:outlineLvl w:val="1"/>
        <w:rPr>
          <w:rFonts w:hint="eastAsia" w:ascii="Times New Roman" w:hAnsi="Times New Roman" w:eastAsia="宋体" w:cs="Times New Roman"/>
          <w:color w:val="0000FF"/>
          <w:sz w:val="28"/>
          <w:szCs w:val="24"/>
          <w:lang w:eastAsia="zh-CN"/>
        </w:rPr>
        <w:sectPr>
          <w:headerReference r:id="rId6" w:type="default"/>
          <w:footerReference r:id="rId7"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p>
      <w:pPr>
        <w:pStyle w:val="25"/>
        <w:ind w:firstLine="0"/>
        <w:jc w:val="both"/>
        <w:outlineLvl w:val="1"/>
        <w:rPr>
          <w:rFonts w:hint="default" w:ascii="Times New Roman" w:hAnsi="Times New Roman" w:eastAsia="宋体" w:cs="Times New Roman"/>
          <w:color w:val="000000" w:themeColor="text1"/>
          <w:sz w:val="28"/>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2：项目周边环境示意图</w:t>
      </w:r>
    </w:p>
    <w:p>
      <w:pPr>
        <w:pStyle w:val="25"/>
        <w:ind w:firstLine="0"/>
        <w:jc w:val="both"/>
        <w:outlineLvl w:val="1"/>
        <w:rPr>
          <w:rFonts w:hint="default" w:ascii="Times New Roman" w:hAnsi="Times New Roman" w:eastAsia="宋体" w:cs="Times New Roman"/>
          <w:color w:val="0000FF"/>
          <w:sz w:val="28"/>
          <w:szCs w:val="24"/>
          <w:lang w:val="en-US" w:eastAsia="zh-CN"/>
        </w:rPr>
      </w:pPr>
    </w:p>
    <w:p>
      <w:pPr>
        <w:pStyle w:val="25"/>
        <w:ind w:firstLine="0"/>
        <w:jc w:val="center"/>
        <w:outlineLvl w:val="1"/>
        <w:rPr>
          <w:rFonts w:hint="default" w:ascii="Times New Roman" w:hAnsi="Times New Roman" w:eastAsia="宋体" w:cs="Times New Roman"/>
          <w:color w:val="0000FF"/>
          <w:sz w:val="28"/>
          <w:szCs w:val="24"/>
          <w:lang w:val="en-US" w:eastAsia="zh-CN"/>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8307705" cy="4467860"/>
            <wp:effectExtent l="0" t="0" r="8890" b="17145"/>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17"/>
                    <a:stretch>
                      <a:fillRect/>
                    </a:stretch>
                  </pic:blipFill>
                  <pic:spPr>
                    <a:xfrm rot="16200000">
                      <a:off x="0" y="0"/>
                      <a:ext cx="8307705" cy="4467860"/>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b/>
          <w:bCs/>
          <w:color w:val="000000" w:themeColor="text1"/>
          <w:sz w:val="28"/>
          <w:szCs w:val="24"/>
          <w:lang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厂区平面布置图</w:t>
      </w:r>
    </w:p>
    <w:p>
      <w:pPr>
        <w:pStyle w:val="25"/>
        <w:ind w:firstLine="0"/>
        <w:jc w:val="center"/>
        <w:outlineLvl w:val="1"/>
        <w:rPr>
          <w:rFonts w:hint="eastAsia" w:ascii="Times New Roman" w:hAnsi="Times New Roman" w:eastAsia="宋体" w:cs="Times New Roman"/>
          <w:b/>
          <w:bCs/>
          <w:color w:val="0000FF"/>
          <w:sz w:val="28"/>
          <w:szCs w:val="24"/>
        </w:rPr>
      </w:pPr>
      <w:r>
        <w:drawing>
          <wp:inline distT="0" distB="0" distL="114300" distR="114300">
            <wp:extent cx="8001000" cy="4543425"/>
            <wp:effectExtent l="0" t="0" r="0" b="9525"/>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18"/>
                    <a:stretch>
                      <a:fillRect/>
                    </a:stretch>
                  </pic:blipFill>
                  <pic:spPr>
                    <a:xfrm>
                      <a:off x="0" y="0"/>
                      <a:ext cx="8001000" cy="4543425"/>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b/>
          <w:bCs/>
          <w:color w:val="0000FF"/>
          <w:sz w:val="28"/>
          <w:szCs w:val="24"/>
        </w:rPr>
      </w:pP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b/>
          <w:bCs/>
          <w:color w:val="0000FF"/>
          <w:sz w:val="28"/>
          <w:szCs w:val="24"/>
        </w:rPr>
      </w:pP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b/>
          <w:bCs/>
          <w:color w:val="0000FF"/>
          <w:sz w:val="28"/>
          <w:szCs w:val="24"/>
        </w:rPr>
      </w:pP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b/>
          <w:bCs/>
          <w:color w:val="0000FF"/>
          <w:sz w:val="28"/>
          <w:szCs w:val="24"/>
        </w:rPr>
      </w:pP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车间平面布置图</w:t>
      </w: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ascii="Times New Roman" w:hAnsi="Times New Roman" w:eastAsia="宋体" w:cs="Times New Roman"/>
          <w:b/>
          <w:bCs/>
          <w:color w:val="0000FF"/>
          <w:sz w:val="28"/>
          <w:szCs w:val="24"/>
        </w:rPr>
        <w:sectPr>
          <w:pgSz w:w="16838" w:h="11906" w:orient="landscape"/>
          <w:pgMar w:top="1417" w:right="1440" w:bottom="1440" w:left="1440"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7981950" cy="4524375"/>
            <wp:effectExtent l="0" t="0" r="0" b="9525"/>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9"/>
                    <a:stretch>
                      <a:fillRect/>
                    </a:stretch>
                  </pic:blipFill>
                  <pic:spPr>
                    <a:xfrm>
                      <a:off x="0" y="0"/>
                      <a:ext cx="7981950" cy="4524375"/>
                    </a:xfrm>
                    <a:prstGeom prst="rect">
                      <a:avLst/>
                    </a:prstGeom>
                    <a:noFill/>
                    <a:ln>
                      <a:noFill/>
                    </a:ln>
                  </pic:spPr>
                </pic:pic>
              </a:graphicData>
            </a:graphic>
          </wp:inline>
        </w:drawing>
      </w: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1</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环评批复</w:t>
      </w:r>
    </w:p>
    <w:p>
      <w:pPr>
        <w:jc w:val="both"/>
        <w:rPr>
          <w:rFonts w:hint="eastAsia" w:ascii="Times New Roman" w:hAnsi="Times New Roman" w:eastAsia="宋体" w:cs="Times New Roman"/>
          <w:b/>
          <w:bCs/>
          <w:color w:val="0000FF"/>
          <w:sz w:val="28"/>
          <w:szCs w:val="24"/>
          <w:lang w:val="en-US" w:eastAsia="zh-CN" w:bidi="ar-SA"/>
        </w:rPr>
      </w:pPr>
      <w:r>
        <w:rPr>
          <w:rFonts w:ascii="Times New Roman" w:hAnsi="Times New Roman" w:eastAsia="宋体" w:cs="Times New Roman"/>
          <w:b/>
          <w:bCs/>
          <w:color w:val="0000FF"/>
          <w:sz w:val="28"/>
          <w:szCs w:val="24"/>
          <w:lang w:val="en-US" w:eastAsia="zh-CN" w:bidi="ar-SA"/>
        </w:rPr>
        <w:drawing>
          <wp:inline distT="0" distB="0" distL="114935" distR="114935">
            <wp:extent cx="5687060" cy="7872095"/>
            <wp:effectExtent l="0" t="0" r="8890" b="14605"/>
            <wp:docPr id="87" name="图片 87" descr="鑫华毅+批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鑫华毅+批复 (1)"/>
                    <pic:cNvPicPr>
                      <a:picLocks noChangeAspect="1"/>
                    </pic:cNvPicPr>
                  </pic:nvPicPr>
                  <pic:blipFill>
                    <a:blip r:embed="rId20"/>
                    <a:stretch>
                      <a:fillRect/>
                    </a:stretch>
                  </pic:blipFill>
                  <pic:spPr>
                    <a:xfrm>
                      <a:off x="0" y="0"/>
                      <a:ext cx="5687060" cy="7872095"/>
                    </a:xfrm>
                    <a:prstGeom prst="rect">
                      <a:avLst/>
                    </a:prstGeom>
                  </pic:spPr>
                </pic:pic>
              </a:graphicData>
            </a:graphic>
          </wp:inline>
        </w:drawing>
      </w:r>
    </w:p>
    <w:p>
      <w:pPr>
        <w:tabs>
          <w:tab w:val="left" w:pos="1171"/>
        </w:tabs>
        <w:spacing w:before="0" w:line="375" w:lineRule="exact"/>
        <w:ind w:left="117" w:right="0" w:firstLine="0"/>
        <w:jc w:val="left"/>
        <w:rPr>
          <w:rFonts w:ascii="Times New Roman" w:hAnsi="Times New Roman" w:eastAsia="宋体" w:cs="Times New Roman"/>
          <w:b/>
          <w:bCs/>
          <w:color w:val="0000FF"/>
          <w:sz w:val="28"/>
          <w:szCs w:val="24"/>
          <w:lang w:val="en-US" w:eastAsia="zh-CN" w:bidi="ar-SA"/>
        </w:rPr>
      </w:pPr>
    </w:p>
    <w:p>
      <w:pPr>
        <w:tabs>
          <w:tab w:val="left" w:pos="1171"/>
        </w:tabs>
        <w:spacing w:before="0" w:line="375" w:lineRule="exact"/>
        <w:ind w:left="117" w:right="0" w:firstLine="0"/>
        <w:jc w:val="left"/>
        <w:rPr>
          <w:rFonts w:ascii="Times New Roman" w:hAnsi="Times New Roman" w:eastAsia="宋体" w:cs="Times New Roman"/>
          <w:b/>
          <w:bCs/>
          <w:color w:val="0000FF"/>
          <w:sz w:val="28"/>
          <w:szCs w:val="24"/>
          <w:lang w:val="en-US" w:eastAsia="zh-CN" w:bidi="ar-SA"/>
        </w:rPr>
      </w:pPr>
    </w:p>
    <w:p>
      <w:pPr>
        <w:tabs>
          <w:tab w:val="left" w:pos="1171"/>
        </w:tabs>
        <w:spacing w:before="0" w:line="375" w:lineRule="exact"/>
        <w:ind w:left="117" w:right="0" w:firstLine="0"/>
        <w:jc w:val="left"/>
        <w:rPr>
          <w:rFonts w:ascii="Times New Roman" w:hAnsi="Times New Roman" w:eastAsia="宋体" w:cs="Times New Roman"/>
          <w:b/>
          <w:bCs/>
          <w:color w:val="0000FF"/>
          <w:sz w:val="28"/>
          <w:szCs w:val="24"/>
          <w:lang w:val="en-US" w:eastAsia="zh-CN" w:bidi="ar-SA"/>
        </w:rPr>
      </w:pPr>
    </w:p>
    <w:p>
      <w:pPr>
        <w:tabs>
          <w:tab w:val="left" w:pos="1171"/>
        </w:tabs>
        <w:spacing w:before="0" w:line="375" w:lineRule="exact"/>
        <w:ind w:left="117" w:right="0" w:firstLine="0"/>
        <w:jc w:val="left"/>
        <w:rPr>
          <w:rFonts w:ascii="宋体" w:hAnsi="宋体" w:eastAsia="宋体" w:cs="宋体"/>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2</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租赁合同</w:t>
      </w:r>
    </w:p>
    <w:p>
      <w:pPr>
        <w:spacing w:before="4" w:line="240" w:lineRule="auto"/>
        <w:rPr>
          <w:rFonts w:ascii="宋体" w:hAnsi="宋体" w:eastAsia="宋体" w:cs="宋体"/>
          <w:b/>
          <w:bCs/>
          <w:color w:val="0000FF"/>
          <w:sz w:val="16"/>
          <w:szCs w:val="16"/>
        </w:rPr>
      </w:pPr>
    </w:p>
    <w:p>
      <w:pPr>
        <w:pStyle w:val="16"/>
        <w:snapToGrid w:val="0"/>
        <w:jc w:val="center"/>
        <w:rPr>
          <w:rFonts w:hint="eastAsia"/>
          <w:color w:val="000000"/>
          <w:lang w:eastAsia="zh-CN"/>
        </w:rPr>
        <w:sectPr>
          <w:footerReference r:id="rId8" w:type="default"/>
          <w:pgSz w:w="11906" w:h="16838"/>
          <w:pgMar w:top="1440" w:right="1800" w:bottom="1440" w:left="1800" w:header="567" w:footer="567" w:gutter="0"/>
          <w:pgNumType w:start="0"/>
          <w:cols w:space="720" w:num="1"/>
          <w:titlePg/>
          <w:docGrid w:type="lines" w:linePitch="312" w:charSpace="0"/>
        </w:sectPr>
      </w:pPr>
      <w:r>
        <w:rPr>
          <w:color w:val="000000"/>
        </w:rPr>
        <w:drawing>
          <wp:inline distT="0" distB="0" distL="114300" distR="114300">
            <wp:extent cx="5085715" cy="7816215"/>
            <wp:effectExtent l="0" t="0" r="635" b="13335"/>
            <wp:docPr id="88" name="图片 7" descr="微信图片_2020073118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微信图片_20200731180828"/>
                    <pic:cNvPicPr>
                      <a:picLocks noChangeAspect="1"/>
                    </pic:cNvPicPr>
                  </pic:nvPicPr>
                  <pic:blipFill>
                    <a:blip r:embed="rId21"/>
                    <a:stretch>
                      <a:fillRect/>
                    </a:stretch>
                  </pic:blipFill>
                  <pic:spPr>
                    <a:xfrm>
                      <a:off x="0" y="0"/>
                      <a:ext cx="5085715" cy="7816215"/>
                    </a:xfrm>
                    <a:prstGeom prst="rect">
                      <a:avLst/>
                    </a:prstGeom>
                    <a:noFill/>
                    <a:ln>
                      <a:noFill/>
                    </a:ln>
                  </pic:spPr>
                </pic:pic>
              </a:graphicData>
            </a:graphic>
          </wp:inline>
        </w:drawing>
      </w:r>
    </w:p>
    <w:p>
      <w:pPr>
        <w:pStyle w:val="16"/>
        <w:snapToGrid w:val="0"/>
        <w:jc w:val="center"/>
        <w:rPr>
          <w:rFonts w:hint="eastAsia" w:ascii="Times New Roman" w:hAnsi="Times New Roman"/>
          <w:color w:val="000000"/>
          <w:sz w:val="28"/>
          <w:szCs w:val="28"/>
          <w:lang w:val="en-US" w:eastAsia="zh-CN"/>
        </w:rPr>
        <w:sectPr>
          <w:pgSz w:w="11906" w:h="16838"/>
          <w:pgMar w:top="1440" w:right="1800" w:bottom="1440" w:left="1800" w:header="567" w:footer="567" w:gutter="0"/>
          <w:pgNumType w:start="0"/>
          <w:cols w:space="720" w:num="1"/>
          <w:titlePg/>
          <w:docGrid w:type="lines" w:linePitch="312" w:charSpace="0"/>
        </w:sectPr>
      </w:pPr>
      <w:r>
        <w:rPr>
          <w:color w:val="000000"/>
        </w:rPr>
        <w:drawing>
          <wp:inline distT="0" distB="0" distL="114300" distR="114300">
            <wp:extent cx="5369560" cy="7720965"/>
            <wp:effectExtent l="0" t="0" r="2540" b="13335"/>
            <wp:docPr id="89" name="图片 8" descr="微信图片_2020073118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descr="微信图片_20200731180823"/>
                    <pic:cNvPicPr>
                      <a:picLocks noChangeAspect="1"/>
                    </pic:cNvPicPr>
                  </pic:nvPicPr>
                  <pic:blipFill>
                    <a:blip r:embed="rId22"/>
                    <a:stretch>
                      <a:fillRect/>
                    </a:stretch>
                  </pic:blipFill>
                  <pic:spPr>
                    <a:xfrm>
                      <a:off x="0" y="0"/>
                      <a:ext cx="5369560" cy="7720965"/>
                    </a:xfrm>
                    <a:prstGeom prst="rect">
                      <a:avLst/>
                    </a:prstGeom>
                    <a:noFill/>
                    <a:ln>
                      <a:noFill/>
                    </a:ln>
                  </pic:spPr>
                </pic:pic>
              </a:graphicData>
            </a:graphic>
          </wp:inline>
        </w:drawing>
      </w:r>
    </w:p>
    <w:p>
      <w:pPr>
        <w:tabs>
          <w:tab w:val="left" w:pos="1171"/>
        </w:tabs>
        <w:spacing w:before="0" w:line="375" w:lineRule="exact"/>
        <w:ind w:left="117" w:right="0" w:firstLine="0"/>
        <w:jc w:val="left"/>
        <w:rPr>
          <w:rFonts w:hint="default"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3：总量购买凭证</w:t>
      </w:r>
    </w:p>
    <w:p>
      <w:pPr>
        <w:spacing w:before="12" w:line="240" w:lineRule="auto"/>
        <w:rPr>
          <w:rFonts w:ascii="宋体" w:hAnsi="宋体" w:eastAsia="宋体" w:cs="宋体"/>
          <w:b/>
          <w:bCs/>
          <w:color w:val="0000FF"/>
          <w:sz w:val="15"/>
          <w:szCs w:val="15"/>
        </w:rPr>
      </w:pPr>
      <w:r>
        <w:drawing>
          <wp:inline distT="0" distB="0" distL="114300" distR="114300">
            <wp:extent cx="5682615" cy="8023225"/>
            <wp:effectExtent l="0" t="0" r="13335" b="15875"/>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23"/>
                    <a:stretch>
                      <a:fillRect/>
                    </a:stretch>
                  </pic:blipFill>
                  <pic:spPr>
                    <a:xfrm>
                      <a:off x="0" y="0"/>
                      <a:ext cx="5682615" cy="8023225"/>
                    </a:xfrm>
                    <a:prstGeom prst="rect">
                      <a:avLst/>
                    </a:prstGeom>
                    <a:noFill/>
                    <a:ln>
                      <a:noFill/>
                    </a:ln>
                  </pic:spPr>
                </pic:pic>
              </a:graphicData>
            </a:graphic>
          </wp:inline>
        </w:drawing>
      </w:r>
    </w:p>
    <w:p>
      <w:pPr>
        <w:jc w:val="both"/>
        <w:rPr>
          <w:rFonts w:ascii="Times New Roman" w:hAnsi="Times New Roman" w:eastAsia="宋体" w:cs="Times New Roman"/>
          <w:b/>
          <w:bCs/>
          <w:color w:val="000000" w:themeColor="text1"/>
          <w:sz w:val="28"/>
          <w:szCs w:val="24"/>
          <w:lang w:val="en-US" w:eastAsia="zh-CN" w:bidi="ar-SA"/>
          <w14:textFill>
            <w14:solidFill>
              <w14:schemeClr w14:val="tx1"/>
            </w14:solidFill>
          </w14:textFill>
        </w:rPr>
      </w:pP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4：总量函</w:t>
      </w: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hint="eastAsia" w:eastAsiaTheme="minorEastAsia"/>
          <w:lang w:eastAsia="zh-CN"/>
        </w:rPr>
        <w:drawing>
          <wp:inline distT="0" distB="0" distL="114300" distR="114300">
            <wp:extent cx="7823835" cy="5131435"/>
            <wp:effectExtent l="0" t="0" r="12065" b="5715"/>
            <wp:docPr id="1" name="图片 1" descr="02c4cb5622953aaa661bbb0ef322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c4cb5622953aaa661bbb0ef3224d2"/>
                    <pic:cNvPicPr>
                      <a:picLocks noChangeAspect="1"/>
                    </pic:cNvPicPr>
                  </pic:nvPicPr>
                  <pic:blipFill>
                    <a:blip r:embed="rId24"/>
                    <a:srcRect l="1423" r="30536" b="831"/>
                    <a:stretch>
                      <a:fillRect/>
                    </a:stretch>
                  </pic:blipFill>
                  <pic:spPr>
                    <a:xfrm rot="16200000">
                      <a:off x="0" y="0"/>
                      <a:ext cx="7823835" cy="5131435"/>
                    </a:xfrm>
                    <a:prstGeom prst="rect">
                      <a:avLst/>
                    </a:prstGeom>
                  </pic:spPr>
                </pic:pic>
              </a:graphicData>
            </a:graphic>
          </wp:inline>
        </w:drawing>
      </w:r>
    </w:p>
    <w:p>
      <w:pPr>
        <w:jc w:val="both"/>
        <w:rPr>
          <w:rFonts w:hint="eastAsia" w:eastAsiaTheme="minorEastAsia"/>
          <w:lang w:eastAsia="zh-CN"/>
        </w:rPr>
      </w:pPr>
      <w:r>
        <w:rPr>
          <w:rFonts w:hint="eastAsia" w:eastAsiaTheme="minorEastAsia"/>
          <w:lang w:eastAsia="zh-CN"/>
        </w:rPr>
        <w:drawing>
          <wp:inline distT="0" distB="0" distL="114300" distR="114300">
            <wp:extent cx="4838700" cy="8700770"/>
            <wp:effectExtent l="0" t="0" r="0" b="5080"/>
            <wp:docPr id="2" name="图片 2" descr="e6fb32f190597a52c53a81bc0fa0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fb32f190597a52c53a81bc0fa0def"/>
                    <pic:cNvPicPr>
                      <a:picLocks noChangeAspect="1"/>
                    </pic:cNvPicPr>
                  </pic:nvPicPr>
                  <pic:blipFill>
                    <a:blip r:embed="rId25"/>
                    <a:srcRect l="-223" t="7375" r="494" b="11923"/>
                    <a:stretch>
                      <a:fillRect/>
                    </a:stretch>
                  </pic:blipFill>
                  <pic:spPr>
                    <a:xfrm>
                      <a:off x="0" y="0"/>
                      <a:ext cx="4838700" cy="8700770"/>
                    </a:xfrm>
                    <a:prstGeom prst="rect">
                      <a:avLst/>
                    </a:prstGeom>
                  </pic:spPr>
                </pic:pic>
              </a:graphicData>
            </a:graphic>
          </wp:inline>
        </w:drawing>
      </w:r>
      <w:r>
        <w:drawing>
          <wp:inline distT="0" distB="0" distL="114300" distR="114300">
            <wp:extent cx="5269865" cy="7496175"/>
            <wp:effectExtent l="0" t="0" r="698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269865" cy="7496175"/>
                    </a:xfrm>
                    <a:prstGeom prst="rect">
                      <a:avLst/>
                    </a:prstGeom>
                    <a:noFill/>
                    <a:ln>
                      <a:noFill/>
                    </a:ln>
                  </pic:spPr>
                </pic:pic>
              </a:graphicData>
            </a:graphic>
          </wp:inline>
        </w:drawing>
      </w:r>
      <w:r>
        <w:drawing>
          <wp:inline distT="0" distB="0" distL="114300" distR="114300">
            <wp:extent cx="5273040" cy="7470775"/>
            <wp:effectExtent l="0" t="0" r="381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273040" cy="7470775"/>
                    </a:xfrm>
                    <a:prstGeom prst="rect">
                      <a:avLst/>
                    </a:prstGeom>
                    <a:noFill/>
                    <a:ln>
                      <a:noFill/>
                    </a:ln>
                  </pic:spPr>
                </pic:pic>
              </a:graphicData>
            </a:graphic>
          </wp:inline>
        </w:drawing>
      </w:r>
    </w:p>
    <w:p>
      <w:pPr>
        <w:pStyle w:val="25"/>
        <w:ind w:left="0" w:leftChars="0" w:firstLine="0" w:firstLineChars="0"/>
        <w:rPr>
          <w:rFonts w:hint="default" w:ascii="Times New Roman" w:hAnsi="Times New Roman" w:eastAsia="宋体" w:cs="Times New Roman"/>
          <w:b/>
          <w:bCs/>
          <w:color w:val="0000FF"/>
          <w:sz w:val="28"/>
          <w:szCs w:val="24"/>
          <w:lang w:val="en-US" w:eastAsia="zh-CN" w:bidi="ar-SA"/>
        </w:rPr>
      </w:pPr>
    </w:p>
    <w:sectPr>
      <w:headerReference r:id="rId9" w:type="default"/>
      <w:footerReference r:id="rId10" w:type="default"/>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9"/>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1</w:t>
    </w:r>
    <w: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jc w:val="lef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C05ABD6C"/>
    <w:multiLevelType w:val="singleLevel"/>
    <w:tmpl w:val="C05ABD6C"/>
    <w:lvl w:ilvl="0" w:tentative="0">
      <w:start w:val="2"/>
      <w:numFmt w:val="decimal"/>
      <w:suff w:val="nothing"/>
      <w:lvlText w:val="（%1）"/>
      <w:lvlJc w:val="left"/>
    </w:lvl>
  </w:abstractNum>
  <w:abstractNum w:abstractNumId="2">
    <w:nsid w:val="ED138E22"/>
    <w:multiLevelType w:val="singleLevel"/>
    <w:tmpl w:val="ED138E22"/>
    <w:lvl w:ilvl="0" w:tentative="0">
      <w:start w:val="1"/>
      <w:numFmt w:val="decimal"/>
      <w:suff w:val="nothing"/>
      <w:lvlText w:val="%1、"/>
      <w:lvlJc w:val="left"/>
    </w:lvl>
  </w:abstractNum>
  <w:abstractNum w:abstractNumId="3">
    <w:nsid w:val="29221ECF"/>
    <w:multiLevelType w:val="singleLevel"/>
    <w:tmpl w:val="29221ECF"/>
    <w:lvl w:ilvl="0" w:tentative="0">
      <w:start w:val="4"/>
      <w:numFmt w:val="decimal"/>
      <w:suff w:val="nothing"/>
      <w:lvlText w:val="（%1）"/>
      <w:lvlJc w:val="left"/>
    </w:lvl>
  </w:abstractNum>
  <w:abstractNum w:abstractNumId="4">
    <w:nsid w:val="3AFA98C7"/>
    <w:multiLevelType w:val="singleLevel"/>
    <w:tmpl w:val="3AFA98C7"/>
    <w:lvl w:ilvl="0" w:tentative="0">
      <w:start w:val="7"/>
      <w:numFmt w:val="decimal"/>
      <w:suff w:val="nothing"/>
      <w:lvlText w:val="%1、"/>
      <w:lvlJc w:val="left"/>
    </w:lvl>
  </w:abstractNum>
  <w:abstractNum w:abstractNumId="5">
    <w:nsid w:val="68804528"/>
    <w:multiLevelType w:val="singleLevel"/>
    <w:tmpl w:val="68804528"/>
    <w:lvl w:ilvl="0" w:tentative="0">
      <w:start w:val="1"/>
      <w:numFmt w:val="decimal"/>
      <w:suff w:val="nothing"/>
      <w:lvlText w:val="%1、"/>
      <w:lvlJc w:val="left"/>
    </w:lvl>
  </w:abstractNum>
  <w:abstractNum w:abstractNumId="6">
    <w:nsid w:val="6918F9E1"/>
    <w:multiLevelType w:val="singleLevel"/>
    <w:tmpl w:val="6918F9E1"/>
    <w:lvl w:ilvl="0" w:tentative="0">
      <w:start w:val="1"/>
      <w:numFmt w:val="decimal"/>
      <w:suff w:val="nothing"/>
      <w:lvlText w:val="（%1）"/>
      <w:lvlJc w:val="left"/>
    </w:lvl>
  </w:abstractNum>
  <w:abstractNum w:abstractNumId="7">
    <w:nsid w:val="6BCCAD21"/>
    <w:multiLevelType w:val="singleLevel"/>
    <w:tmpl w:val="6BCCAD21"/>
    <w:lvl w:ilvl="0" w:tentative="0">
      <w:start w:val="1"/>
      <w:numFmt w:val="decimal"/>
      <w:suff w:val="nothing"/>
      <w:lvlText w:val="%1、"/>
      <w:lvlJc w:val="left"/>
    </w:lvl>
  </w:abstractNum>
  <w:num w:numId="1">
    <w:abstractNumId w:val="7"/>
  </w:num>
  <w:num w:numId="2">
    <w:abstractNumId w:val="5"/>
  </w:num>
  <w:num w:numId="3">
    <w:abstractNumId w:val="4"/>
  </w:num>
  <w:num w:numId="4">
    <w:abstractNumId w:val="0"/>
  </w:num>
  <w:num w:numId="5">
    <w:abstractNumId w:val="2"/>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iOTI4MTA4NWQ2YzBiMjIzMWFjZWQ3ZDYyNjM3MjAifQ=="/>
  </w:docVars>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2345"/>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6EB2"/>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70859"/>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251C63"/>
    <w:rsid w:val="01320A89"/>
    <w:rsid w:val="013D14D4"/>
    <w:rsid w:val="013F4762"/>
    <w:rsid w:val="014F62A2"/>
    <w:rsid w:val="01555D36"/>
    <w:rsid w:val="01564A0B"/>
    <w:rsid w:val="01571B3E"/>
    <w:rsid w:val="015B57CD"/>
    <w:rsid w:val="015C039B"/>
    <w:rsid w:val="015D0B69"/>
    <w:rsid w:val="0161232D"/>
    <w:rsid w:val="0162669E"/>
    <w:rsid w:val="016B7232"/>
    <w:rsid w:val="01731009"/>
    <w:rsid w:val="01755B07"/>
    <w:rsid w:val="01785925"/>
    <w:rsid w:val="017C1861"/>
    <w:rsid w:val="01814DD7"/>
    <w:rsid w:val="01855D40"/>
    <w:rsid w:val="01874589"/>
    <w:rsid w:val="018D5CCC"/>
    <w:rsid w:val="018F15B1"/>
    <w:rsid w:val="019330E1"/>
    <w:rsid w:val="019A26F4"/>
    <w:rsid w:val="01A76B9F"/>
    <w:rsid w:val="01AA6E84"/>
    <w:rsid w:val="01B3283C"/>
    <w:rsid w:val="01B55669"/>
    <w:rsid w:val="01BB651F"/>
    <w:rsid w:val="01C77ACE"/>
    <w:rsid w:val="01CB14EB"/>
    <w:rsid w:val="01CE06EA"/>
    <w:rsid w:val="01D504F3"/>
    <w:rsid w:val="01D54D98"/>
    <w:rsid w:val="01E02CC3"/>
    <w:rsid w:val="01E36F4E"/>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8B1BD6"/>
    <w:rsid w:val="029C681D"/>
    <w:rsid w:val="02B36B56"/>
    <w:rsid w:val="02BB49CE"/>
    <w:rsid w:val="02C9587A"/>
    <w:rsid w:val="02CE17E8"/>
    <w:rsid w:val="02DB343C"/>
    <w:rsid w:val="02DD20FE"/>
    <w:rsid w:val="02E318C8"/>
    <w:rsid w:val="02E75AF7"/>
    <w:rsid w:val="02E9438C"/>
    <w:rsid w:val="02E94D2D"/>
    <w:rsid w:val="02F726C6"/>
    <w:rsid w:val="030339CF"/>
    <w:rsid w:val="03035935"/>
    <w:rsid w:val="03062D2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1713F"/>
    <w:rsid w:val="03B22722"/>
    <w:rsid w:val="03CF5C14"/>
    <w:rsid w:val="03D07326"/>
    <w:rsid w:val="03DC235A"/>
    <w:rsid w:val="03DF073B"/>
    <w:rsid w:val="03E0331E"/>
    <w:rsid w:val="03E26B34"/>
    <w:rsid w:val="03E463D3"/>
    <w:rsid w:val="03EA4A92"/>
    <w:rsid w:val="03EF1C97"/>
    <w:rsid w:val="0409154E"/>
    <w:rsid w:val="040D15EA"/>
    <w:rsid w:val="041202D3"/>
    <w:rsid w:val="041B7AA1"/>
    <w:rsid w:val="042C6938"/>
    <w:rsid w:val="04313574"/>
    <w:rsid w:val="043F724A"/>
    <w:rsid w:val="0442423B"/>
    <w:rsid w:val="04434073"/>
    <w:rsid w:val="045D5E10"/>
    <w:rsid w:val="045E5B01"/>
    <w:rsid w:val="04702B56"/>
    <w:rsid w:val="04747836"/>
    <w:rsid w:val="0478104E"/>
    <w:rsid w:val="04883E48"/>
    <w:rsid w:val="04884804"/>
    <w:rsid w:val="0491352B"/>
    <w:rsid w:val="0496529C"/>
    <w:rsid w:val="049C7734"/>
    <w:rsid w:val="049F249A"/>
    <w:rsid w:val="04A86BEE"/>
    <w:rsid w:val="04A97CA0"/>
    <w:rsid w:val="04B35BE8"/>
    <w:rsid w:val="04BE0FEF"/>
    <w:rsid w:val="04C84A7D"/>
    <w:rsid w:val="04CE76E4"/>
    <w:rsid w:val="04D3141D"/>
    <w:rsid w:val="04E9332F"/>
    <w:rsid w:val="04F26F4E"/>
    <w:rsid w:val="05002400"/>
    <w:rsid w:val="05091489"/>
    <w:rsid w:val="050A32C4"/>
    <w:rsid w:val="051A341F"/>
    <w:rsid w:val="052147EF"/>
    <w:rsid w:val="052676B9"/>
    <w:rsid w:val="05362AF7"/>
    <w:rsid w:val="05432981"/>
    <w:rsid w:val="05513968"/>
    <w:rsid w:val="0560382E"/>
    <w:rsid w:val="056636DB"/>
    <w:rsid w:val="05681A75"/>
    <w:rsid w:val="056D0811"/>
    <w:rsid w:val="05752390"/>
    <w:rsid w:val="05871DC9"/>
    <w:rsid w:val="058C6389"/>
    <w:rsid w:val="05925DF6"/>
    <w:rsid w:val="05A35D37"/>
    <w:rsid w:val="05A40B04"/>
    <w:rsid w:val="05AB6CBE"/>
    <w:rsid w:val="05AC22B4"/>
    <w:rsid w:val="05B35541"/>
    <w:rsid w:val="05B97FF5"/>
    <w:rsid w:val="05BD097D"/>
    <w:rsid w:val="05C10E79"/>
    <w:rsid w:val="05C33333"/>
    <w:rsid w:val="05CB7C34"/>
    <w:rsid w:val="05D05B48"/>
    <w:rsid w:val="05D07F44"/>
    <w:rsid w:val="05D21474"/>
    <w:rsid w:val="05D45FEB"/>
    <w:rsid w:val="05DD7822"/>
    <w:rsid w:val="05E5128D"/>
    <w:rsid w:val="05F05F3C"/>
    <w:rsid w:val="05F33DE3"/>
    <w:rsid w:val="05F5438C"/>
    <w:rsid w:val="05FB46B0"/>
    <w:rsid w:val="05FD2716"/>
    <w:rsid w:val="06023097"/>
    <w:rsid w:val="0604537E"/>
    <w:rsid w:val="06101C8C"/>
    <w:rsid w:val="062B60C2"/>
    <w:rsid w:val="06326A2D"/>
    <w:rsid w:val="06396A33"/>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1338D"/>
    <w:rsid w:val="06C34A90"/>
    <w:rsid w:val="06D44F60"/>
    <w:rsid w:val="06E33B5C"/>
    <w:rsid w:val="06E86867"/>
    <w:rsid w:val="06E95FD1"/>
    <w:rsid w:val="06EF4912"/>
    <w:rsid w:val="06F339AF"/>
    <w:rsid w:val="06F92C5D"/>
    <w:rsid w:val="06FD211F"/>
    <w:rsid w:val="070047B4"/>
    <w:rsid w:val="070159FE"/>
    <w:rsid w:val="07052346"/>
    <w:rsid w:val="070839E5"/>
    <w:rsid w:val="070D4194"/>
    <w:rsid w:val="070F7A14"/>
    <w:rsid w:val="07106B48"/>
    <w:rsid w:val="071A4A25"/>
    <w:rsid w:val="071F425E"/>
    <w:rsid w:val="07335F45"/>
    <w:rsid w:val="07386A5E"/>
    <w:rsid w:val="073B41FD"/>
    <w:rsid w:val="074D22D5"/>
    <w:rsid w:val="074F04F1"/>
    <w:rsid w:val="07545637"/>
    <w:rsid w:val="075D175E"/>
    <w:rsid w:val="0760459B"/>
    <w:rsid w:val="07650044"/>
    <w:rsid w:val="07787161"/>
    <w:rsid w:val="077A7B8A"/>
    <w:rsid w:val="07A028AF"/>
    <w:rsid w:val="07A1446C"/>
    <w:rsid w:val="07A40B28"/>
    <w:rsid w:val="07A502F4"/>
    <w:rsid w:val="07AA4CD9"/>
    <w:rsid w:val="07BC43A4"/>
    <w:rsid w:val="07BC729D"/>
    <w:rsid w:val="07C90E80"/>
    <w:rsid w:val="07D21D7A"/>
    <w:rsid w:val="07D22F1A"/>
    <w:rsid w:val="07D608D5"/>
    <w:rsid w:val="07D87287"/>
    <w:rsid w:val="07DC5FAA"/>
    <w:rsid w:val="07E37B1C"/>
    <w:rsid w:val="07E509E1"/>
    <w:rsid w:val="07EE390E"/>
    <w:rsid w:val="07F0031C"/>
    <w:rsid w:val="08014D84"/>
    <w:rsid w:val="082D6213"/>
    <w:rsid w:val="082E414A"/>
    <w:rsid w:val="08342D07"/>
    <w:rsid w:val="0834513C"/>
    <w:rsid w:val="08483D46"/>
    <w:rsid w:val="08491145"/>
    <w:rsid w:val="08596130"/>
    <w:rsid w:val="085E7AE4"/>
    <w:rsid w:val="086134C4"/>
    <w:rsid w:val="08686183"/>
    <w:rsid w:val="086C4F68"/>
    <w:rsid w:val="08710E0F"/>
    <w:rsid w:val="087566B7"/>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5C7B4D"/>
    <w:rsid w:val="096E2CA3"/>
    <w:rsid w:val="097C41BE"/>
    <w:rsid w:val="098477C5"/>
    <w:rsid w:val="09882276"/>
    <w:rsid w:val="09886F8A"/>
    <w:rsid w:val="098B7D00"/>
    <w:rsid w:val="09927ABB"/>
    <w:rsid w:val="09962F02"/>
    <w:rsid w:val="09987EDA"/>
    <w:rsid w:val="09B25955"/>
    <w:rsid w:val="09B62172"/>
    <w:rsid w:val="09B66121"/>
    <w:rsid w:val="09BC676A"/>
    <w:rsid w:val="09BF31F9"/>
    <w:rsid w:val="09C7288A"/>
    <w:rsid w:val="09CC00F6"/>
    <w:rsid w:val="09CE3031"/>
    <w:rsid w:val="09D32AA4"/>
    <w:rsid w:val="09D427C0"/>
    <w:rsid w:val="09DC4DF0"/>
    <w:rsid w:val="09E22E5A"/>
    <w:rsid w:val="09EA3420"/>
    <w:rsid w:val="09EA7403"/>
    <w:rsid w:val="09F01221"/>
    <w:rsid w:val="09F064E7"/>
    <w:rsid w:val="09F64B8F"/>
    <w:rsid w:val="0A1421D6"/>
    <w:rsid w:val="0A183BDE"/>
    <w:rsid w:val="0A207B1F"/>
    <w:rsid w:val="0A2723E4"/>
    <w:rsid w:val="0A2A36C4"/>
    <w:rsid w:val="0A2E5D2E"/>
    <w:rsid w:val="0A555046"/>
    <w:rsid w:val="0A5C6E0F"/>
    <w:rsid w:val="0A7333A0"/>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CB0662"/>
    <w:rsid w:val="0AD140C6"/>
    <w:rsid w:val="0AD36DC9"/>
    <w:rsid w:val="0AE1709D"/>
    <w:rsid w:val="0AEF1CA4"/>
    <w:rsid w:val="0AF62D76"/>
    <w:rsid w:val="0AFC4F93"/>
    <w:rsid w:val="0AFC7A29"/>
    <w:rsid w:val="0B000355"/>
    <w:rsid w:val="0B032D8A"/>
    <w:rsid w:val="0B0A635E"/>
    <w:rsid w:val="0B103B47"/>
    <w:rsid w:val="0B19173D"/>
    <w:rsid w:val="0B1D50BA"/>
    <w:rsid w:val="0B2064B2"/>
    <w:rsid w:val="0B2D4768"/>
    <w:rsid w:val="0B3558A5"/>
    <w:rsid w:val="0B385C98"/>
    <w:rsid w:val="0B386398"/>
    <w:rsid w:val="0B3B3643"/>
    <w:rsid w:val="0B42435B"/>
    <w:rsid w:val="0B426D02"/>
    <w:rsid w:val="0B483DAF"/>
    <w:rsid w:val="0B4A77EA"/>
    <w:rsid w:val="0B4B547D"/>
    <w:rsid w:val="0B4F1AAF"/>
    <w:rsid w:val="0B505CD8"/>
    <w:rsid w:val="0B5B7DD1"/>
    <w:rsid w:val="0B5D4EE0"/>
    <w:rsid w:val="0B626F71"/>
    <w:rsid w:val="0B63435B"/>
    <w:rsid w:val="0B8A7168"/>
    <w:rsid w:val="0B8B10C0"/>
    <w:rsid w:val="0B99666A"/>
    <w:rsid w:val="0B997CAF"/>
    <w:rsid w:val="0B9E62C4"/>
    <w:rsid w:val="0BA13491"/>
    <w:rsid w:val="0BA51239"/>
    <w:rsid w:val="0BA645D0"/>
    <w:rsid w:val="0BBD1B43"/>
    <w:rsid w:val="0BC466F4"/>
    <w:rsid w:val="0BC631B1"/>
    <w:rsid w:val="0BC726AE"/>
    <w:rsid w:val="0BC83278"/>
    <w:rsid w:val="0BCC24DE"/>
    <w:rsid w:val="0BD27054"/>
    <w:rsid w:val="0BD45DB0"/>
    <w:rsid w:val="0BDC7020"/>
    <w:rsid w:val="0BE175FA"/>
    <w:rsid w:val="0BF65842"/>
    <w:rsid w:val="0C270BC3"/>
    <w:rsid w:val="0C2B34D5"/>
    <w:rsid w:val="0C346CC5"/>
    <w:rsid w:val="0C3D07BF"/>
    <w:rsid w:val="0C4613F7"/>
    <w:rsid w:val="0C5251EE"/>
    <w:rsid w:val="0C5974B7"/>
    <w:rsid w:val="0C5E192C"/>
    <w:rsid w:val="0C68751A"/>
    <w:rsid w:val="0C7505D5"/>
    <w:rsid w:val="0C7722F9"/>
    <w:rsid w:val="0C810D74"/>
    <w:rsid w:val="0C8223AA"/>
    <w:rsid w:val="0C825A90"/>
    <w:rsid w:val="0C87620F"/>
    <w:rsid w:val="0C8B1CB3"/>
    <w:rsid w:val="0C8C7FCB"/>
    <w:rsid w:val="0C8F7B18"/>
    <w:rsid w:val="0C9F555A"/>
    <w:rsid w:val="0CA347A7"/>
    <w:rsid w:val="0CB030D0"/>
    <w:rsid w:val="0CBD2E10"/>
    <w:rsid w:val="0CBD7D37"/>
    <w:rsid w:val="0CBE6AA1"/>
    <w:rsid w:val="0CCA4B07"/>
    <w:rsid w:val="0CCF5AA7"/>
    <w:rsid w:val="0CD20F22"/>
    <w:rsid w:val="0CD42BF0"/>
    <w:rsid w:val="0CD574E2"/>
    <w:rsid w:val="0CD635DC"/>
    <w:rsid w:val="0CE1113C"/>
    <w:rsid w:val="0CEF17A5"/>
    <w:rsid w:val="0D042796"/>
    <w:rsid w:val="0D1666C2"/>
    <w:rsid w:val="0D2F145E"/>
    <w:rsid w:val="0D3201BB"/>
    <w:rsid w:val="0D446F88"/>
    <w:rsid w:val="0D6C0F92"/>
    <w:rsid w:val="0D782A7C"/>
    <w:rsid w:val="0D862E26"/>
    <w:rsid w:val="0D871BC2"/>
    <w:rsid w:val="0D887163"/>
    <w:rsid w:val="0D8F2357"/>
    <w:rsid w:val="0D9A621B"/>
    <w:rsid w:val="0DA16BA8"/>
    <w:rsid w:val="0DA65670"/>
    <w:rsid w:val="0DA77083"/>
    <w:rsid w:val="0DB11C19"/>
    <w:rsid w:val="0DC652DC"/>
    <w:rsid w:val="0DCA2163"/>
    <w:rsid w:val="0DCC33D9"/>
    <w:rsid w:val="0DD07926"/>
    <w:rsid w:val="0DDB0847"/>
    <w:rsid w:val="0DDC7116"/>
    <w:rsid w:val="0DF3401C"/>
    <w:rsid w:val="0DF5249E"/>
    <w:rsid w:val="0DFF1CA5"/>
    <w:rsid w:val="0E1A6B31"/>
    <w:rsid w:val="0E2461F6"/>
    <w:rsid w:val="0E2A3D70"/>
    <w:rsid w:val="0E2D7D0A"/>
    <w:rsid w:val="0E3A01FA"/>
    <w:rsid w:val="0E3C19C8"/>
    <w:rsid w:val="0E4404B2"/>
    <w:rsid w:val="0E4410A5"/>
    <w:rsid w:val="0E4970D4"/>
    <w:rsid w:val="0E4B613E"/>
    <w:rsid w:val="0E4C3E08"/>
    <w:rsid w:val="0E527771"/>
    <w:rsid w:val="0E543543"/>
    <w:rsid w:val="0E553BAF"/>
    <w:rsid w:val="0E6377E1"/>
    <w:rsid w:val="0E761B6C"/>
    <w:rsid w:val="0E773ABB"/>
    <w:rsid w:val="0E7F3F63"/>
    <w:rsid w:val="0E8807BD"/>
    <w:rsid w:val="0E924011"/>
    <w:rsid w:val="0E9B4995"/>
    <w:rsid w:val="0E9D4EFB"/>
    <w:rsid w:val="0EAD5805"/>
    <w:rsid w:val="0EB45735"/>
    <w:rsid w:val="0EBF4221"/>
    <w:rsid w:val="0EC1568B"/>
    <w:rsid w:val="0EC20938"/>
    <w:rsid w:val="0EC97C62"/>
    <w:rsid w:val="0ED9617E"/>
    <w:rsid w:val="0EE11F36"/>
    <w:rsid w:val="0EE3789D"/>
    <w:rsid w:val="0EE42959"/>
    <w:rsid w:val="0EEA1BC7"/>
    <w:rsid w:val="0EFD2849"/>
    <w:rsid w:val="0F0668CA"/>
    <w:rsid w:val="0F0D7B3F"/>
    <w:rsid w:val="0F242EBB"/>
    <w:rsid w:val="0F2E7F18"/>
    <w:rsid w:val="0F31112A"/>
    <w:rsid w:val="0F3B4855"/>
    <w:rsid w:val="0F3E0D8F"/>
    <w:rsid w:val="0F4126ED"/>
    <w:rsid w:val="0F4328C8"/>
    <w:rsid w:val="0F500AB0"/>
    <w:rsid w:val="0F524416"/>
    <w:rsid w:val="0F5C78A9"/>
    <w:rsid w:val="0F5D3222"/>
    <w:rsid w:val="0F5D461F"/>
    <w:rsid w:val="0F5D59BD"/>
    <w:rsid w:val="0F6147A0"/>
    <w:rsid w:val="0F6436AB"/>
    <w:rsid w:val="0F735BF1"/>
    <w:rsid w:val="0F76004A"/>
    <w:rsid w:val="0F761DF7"/>
    <w:rsid w:val="0F7F46C4"/>
    <w:rsid w:val="0F815185"/>
    <w:rsid w:val="0F8D109F"/>
    <w:rsid w:val="0F8F2578"/>
    <w:rsid w:val="0F9176BC"/>
    <w:rsid w:val="0F945149"/>
    <w:rsid w:val="0FA062BA"/>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42F83"/>
    <w:rsid w:val="10BA6E1A"/>
    <w:rsid w:val="10BB0E4D"/>
    <w:rsid w:val="10C2430D"/>
    <w:rsid w:val="10C462FA"/>
    <w:rsid w:val="10C6414F"/>
    <w:rsid w:val="10C90ACF"/>
    <w:rsid w:val="10CA3BDC"/>
    <w:rsid w:val="10CC3260"/>
    <w:rsid w:val="10CF3E89"/>
    <w:rsid w:val="10D51C8E"/>
    <w:rsid w:val="10D805D5"/>
    <w:rsid w:val="10E84C83"/>
    <w:rsid w:val="10EF66EA"/>
    <w:rsid w:val="10F918EB"/>
    <w:rsid w:val="11061E31"/>
    <w:rsid w:val="111B28C2"/>
    <w:rsid w:val="112003A1"/>
    <w:rsid w:val="11293937"/>
    <w:rsid w:val="113822C9"/>
    <w:rsid w:val="11413EB7"/>
    <w:rsid w:val="1146686D"/>
    <w:rsid w:val="114F1313"/>
    <w:rsid w:val="11565CBD"/>
    <w:rsid w:val="11637FF6"/>
    <w:rsid w:val="11641C95"/>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D4468"/>
    <w:rsid w:val="11AE7D52"/>
    <w:rsid w:val="11B52839"/>
    <w:rsid w:val="11CA4CC1"/>
    <w:rsid w:val="11D67F5D"/>
    <w:rsid w:val="11D75F2A"/>
    <w:rsid w:val="11DD0499"/>
    <w:rsid w:val="11DD31D1"/>
    <w:rsid w:val="11E34ECA"/>
    <w:rsid w:val="11E42EA6"/>
    <w:rsid w:val="11F41772"/>
    <w:rsid w:val="12046B3C"/>
    <w:rsid w:val="1208336E"/>
    <w:rsid w:val="1220793A"/>
    <w:rsid w:val="12211262"/>
    <w:rsid w:val="122C3702"/>
    <w:rsid w:val="122E55DD"/>
    <w:rsid w:val="12333415"/>
    <w:rsid w:val="12334A21"/>
    <w:rsid w:val="123D3805"/>
    <w:rsid w:val="12412EA7"/>
    <w:rsid w:val="12447BF0"/>
    <w:rsid w:val="126D039E"/>
    <w:rsid w:val="127508B0"/>
    <w:rsid w:val="1285444F"/>
    <w:rsid w:val="12854E8E"/>
    <w:rsid w:val="12AF2AF5"/>
    <w:rsid w:val="12BB1854"/>
    <w:rsid w:val="12C32643"/>
    <w:rsid w:val="12C60065"/>
    <w:rsid w:val="12C752F2"/>
    <w:rsid w:val="12DA0E63"/>
    <w:rsid w:val="12DD0117"/>
    <w:rsid w:val="12DD4D68"/>
    <w:rsid w:val="12DE4FDF"/>
    <w:rsid w:val="12F04D11"/>
    <w:rsid w:val="12F176F2"/>
    <w:rsid w:val="12F56A98"/>
    <w:rsid w:val="12F862BA"/>
    <w:rsid w:val="130200A8"/>
    <w:rsid w:val="130A7E0F"/>
    <w:rsid w:val="130F4894"/>
    <w:rsid w:val="13141E2E"/>
    <w:rsid w:val="13171052"/>
    <w:rsid w:val="131B17A3"/>
    <w:rsid w:val="131E6CBD"/>
    <w:rsid w:val="13220DA4"/>
    <w:rsid w:val="132E25B7"/>
    <w:rsid w:val="13355676"/>
    <w:rsid w:val="133875FC"/>
    <w:rsid w:val="133935F6"/>
    <w:rsid w:val="13394607"/>
    <w:rsid w:val="133C1B34"/>
    <w:rsid w:val="133F7E3E"/>
    <w:rsid w:val="134A6FA1"/>
    <w:rsid w:val="135855BA"/>
    <w:rsid w:val="13636863"/>
    <w:rsid w:val="137148E6"/>
    <w:rsid w:val="13926C8F"/>
    <w:rsid w:val="139460E2"/>
    <w:rsid w:val="139C0911"/>
    <w:rsid w:val="139D148E"/>
    <w:rsid w:val="13A34909"/>
    <w:rsid w:val="13B26B58"/>
    <w:rsid w:val="13BF68B0"/>
    <w:rsid w:val="13C2059E"/>
    <w:rsid w:val="13C82342"/>
    <w:rsid w:val="13CB2A15"/>
    <w:rsid w:val="13CD22A1"/>
    <w:rsid w:val="13D171C9"/>
    <w:rsid w:val="13D34164"/>
    <w:rsid w:val="13D84274"/>
    <w:rsid w:val="13E928B9"/>
    <w:rsid w:val="13EA53CB"/>
    <w:rsid w:val="13F8578D"/>
    <w:rsid w:val="14023E93"/>
    <w:rsid w:val="140305DD"/>
    <w:rsid w:val="140D4CC3"/>
    <w:rsid w:val="141603FF"/>
    <w:rsid w:val="14196037"/>
    <w:rsid w:val="141A1890"/>
    <w:rsid w:val="141E7A5A"/>
    <w:rsid w:val="1428784E"/>
    <w:rsid w:val="142F4A58"/>
    <w:rsid w:val="14311C32"/>
    <w:rsid w:val="143343BC"/>
    <w:rsid w:val="143B3F94"/>
    <w:rsid w:val="143E155D"/>
    <w:rsid w:val="14434081"/>
    <w:rsid w:val="14524FEA"/>
    <w:rsid w:val="14537D60"/>
    <w:rsid w:val="145558C5"/>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46859"/>
    <w:rsid w:val="14E5108F"/>
    <w:rsid w:val="14E56D7F"/>
    <w:rsid w:val="14FC6299"/>
    <w:rsid w:val="15092CE2"/>
    <w:rsid w:val="15146B8D"/>
    <w:rsid w:val="151E3928"/>
    <w:rsid w:val="15270A82"/>
    <w:rsid w:val="153348AC"/>
    <w:rsid w:val="153649F6"/>
    <w:rsid w:val="15410E26"/>
    <w:rsid w:val="15431BC1"/>
    <w:rsid w:val="154926B6"/>
    <w:rsid w:val="155D7538"/>
    <w:rsid w:val="15602622"/>
    <w:rsid w:val="156F7D91"/>
    <w:rsid w:val="15882251"/>
    <w:rsid w:val="158C79C7"/>
    <w:rsid w:val="159E2895"/>
    <w:rsid w:val="159F0ADB"/>
    <w:rsid w:val="15A27F8D"/>
    <w:rsid w:val="15A41023"/>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11364A"/>
    <w:rsid w:val="16214B8C"/>
    <w:rsid w:val="162504D3"/>
    <w:rsid w:val="163A210E"/>
    <w:rsid w:val="163A71FB"/>
    <w:rsid w:val="163F3A39"/>
    <w:rsid w:val="164C3FF0"/>
    <w:rsid w:val="16522EBE"/>
    <w:rsid w:val="165E3EAB"/>
    <w:rsid w:val="165E551D"/>
    <w:rsid w:val="166D4026"/>
    <w:rsid w:val="16720795"/>
    <w:rsid w:val="16757DC4"/>
    <w:rsid w:val="167B13A6"/>
    <w:rsid w:val="167F56C3"/>
    <w:rsid w:val="16A72652"/>
    <w:rsid w:val="16A77DCA"/>
    <w:rsid w:val="16AF43BD"/>
    <w:rsid w:val="16B24BC7"/>
    <w:rsid w:val="16B34234"/>
    <w:rsid w:val="16D34240"/>
    <w:rsid w:val="16E16A86"/>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8B2C19"/>
    <w:rsid w:val="17914411"/>
    <w:rsid w:val="17A27073"/>
    <w:rsid w:val="17A35554"/>
    <w:rsid w:val="17A4371E"/>
    <w:rsid w:val="17A804B8"/>
    <w:rsid w:val="17B041CD"/>
    <w:rsid w:val="17B71F43"/>
    <w:rsid w:val="17BB1EE3"/>
    <w:rsid w:val="17BB244C"/>
    <w:rsid w:val="17C17CA8"/>
    <w:rsid w:val="17C95459"/>
    <w:rsid w:val="17DA0856"/>
    <w:rsid w:val="17E7529B"/>
    <w:rsid w:val="17EB538A"/>
    <w:rsid w:val="17F21008"/>
    <w:rsid w:val="17F61C55"/>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C17FC"/>
    <w:rsid w:val="186E6F89"/>
    <w:rsid w:val="187A0FAC"/>
    <w:rsid w:val="18923E81"/>
    <w:rsid w:val="189268DB"/>
    <w:rsid w:val="189370B5"/>
    <w:rsid w:val="18965EA0"/>
    <w:rsid w:val="189E21A5"/>
    <w:rsid w:val="18A075EC"/>
    <w:rsid w:val="18A36151"/>
    <w:rsid w:val="18C21A9E"/>
    <w:rsid w:val="18CC3E05"/>
    <w:rsid w:val="18CE0FAF"/>
    <w:rsid w:val="18ED2160"/>
    <w:rsid w:val="18EE3749"/>
    <w:rsid w:val="18F676BF"/>
    <w:rsid w:val="19150E17"/>
    <w:rsid w:val="19161247"/>
    <w:rsid w:val="19241126"/>
    <w:rsid w:val="19267E02"/>
    <w:rsid w:val="19332501"/>
    <w:rsid w:val="19444F26"/>
    <w:rsid w:val="194C39B8"/>
    <w:rsid w:val="19514EAD"/>
    <w:rsid w:val="19584FD4"/>
    <w:rsid w:val="195B1ABE"/>
    <w:rsid w:val="195C1080"/>
    <w:rsid w:val="195D28C8"/>
    <w:rsid w:val="19664670"/>
    <w:rsid w:val="19716B5F"/>
    <w:rsid w:val="197431A8"/>
    <w:rsid w:val="19747000"/>
    <w:rsid w:val="19761130"/>
    <w:rsid w:val="197B7DD0"/>
    <w:rsid w:val="198C6BA3"/>
    <w:rsid w:val="19904CDA"/>
    <w:rsid w:val="19944212"/>
    <w:rsid w:val="19996254"/>
    <w:rsid w:val="19A848CE"/>
    <w:rsid w:val="19AA00F1"/>
    <w:rsid w:val="19B625BD"/>
    <w:rsid w:val="19BF38D3"/>
    <w:rsid w:val="19BF43BA"/>
    <w:rsid w:val="19C84559"/>
    <w:rsid w:val="19DA3D6E"/>
    <w:rsid w:val="19DE543D"/>
    <w:rsid w:val="19E26A19"/>
    <w:rsid w:val="19ED508F"/>
    <w:rsid w:val="19F51DAE"/>
    <w:rsid w:val="19F809AC"/>
    <w:rsid w:val="19FB1216"/>
    <w:rsid w:val="1A05381A"/>
    <w:rsid w:val="1A061BAE"/>
    <w:rsid w:val="1A1A1755"/>
    <w:rsid w:val="1A3B7251"/>
    <w:rsid w:val="1A3D459F"/>
    <w:rsid w:val="1A3F0085"/>
    <w:rsid w:val="1A481648"/>
    <w:rsid w:val="1A493DA2"/>
    <w:rsid w:val="1A566B3C"/>
    <w:rsid w:val="1A691311"/>
    <w:rsid w:val="1A7515F6"/>
    <w:rsid w:val="1A7E6681"/>
    <w:rsid w:val="1A934F6D"/>
    <w:rsid w:val="1A9A2DD4"/>
    <w:rsid w:val="1AA5105E"/>
    <w:rsid w:val="1AB24202"/>
    <w:rsid w:val="1AB43B0E"/>
    <w:rsid w:val="1ABC52F8"/>
    <w:rsid w:val="1AD450BF"/>
    <w:rsid w:val="1AD67472"/>
    <w:rsid w:val="1AE16104"/>
    <w:rsid w:val="1AE6196C"/>
    <w:rsid w:val="1AEE3DBC"/>
    <w:rsid w:val="1AF172F9"/>
    <w:rsid w:val="1AF44089"/>
    <w:rsid w:val="1AF77E4C"/>
    <w:rsid w:val="1AFA5DD3"/>
    <w:rsid w:val="1B0D0CA7"/>
    <w:rsid w:val="1B31066B"/>
    <w:rsid w:val="1B35192F"/>
    <w:rsid w:val="1B425636"/>
    <w:rsid w:val="1B516820"/>
    <w:rsid w:val="1B5C685A"/>
    <w:rsid w:val="1B5F55F8"/>
    <w:rsid w:val="1B6400DD"/>
    <w:rsid w:val="1B6C3AA8"/>
    <w:rsid w:val="1B6C451D"/>
    <w:rsid w:val="1B6C67DE"/>
    <w:rsid w:val="1B8026BE"/>
    <w:rsid w:val="1B812BD5"/>
    <w:rsid w:val="1B8C246C"/>
    <w:rsid w:val="1B957A34"/>
    <w:rsid w:val="1B972C67"/>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1B065B"/>
    <w:rsid w:val="1C2B6512"/>
    <w:rsid w:val="1C35225B"/>
    <w:rsid w:val="1C384E1C"/>
    <w:rsid w:val="1C3A55A5"/>
    <w:rsid w:val="1C4A573D"/>
    <w:rsid w:val="1C5B5AF6"/>
    <w:rsid w:val="1C5B7611"/>
    <w:rsid w:val="1C672E0C"/>
    <w:rsid w:val="1C6B579A"/>
    <w:rsid w:val="1C6F7FE7"/>
    <w:rsid w:val="1C7B2153"/>
    <w:rsid w:val="1C8651B5"/>
    <w:rsid w:val="1C8F0E9E"/>
    <w:rsid w:val="1C9752B6"/>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14783F"/>
    <w:rsid w:val="1D230C56"/>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740D4"/>
    <w:rsid w:val="1E0844BA"/>
    <w:rsid w:val="1E0A2CBC"/>
    <w:rsid w:val="1E2101AF"/>
    <w:rsid w:val="1E243669"/>
    <w:rsid w:val="1E292E97"/>
    <w:rsid w:val="1E2B5F08"/>
    <w:rsid w:val="1E311151"/>
    <w:rsid w:val="1E392AA0"/>
    <w:rsid w:val="1E41460A"/>
    <w:rsid w:val="1E455165"/>
    <w:rsid w:val="1E664AE8"/>
    <w:rsid w:val="1E66787F"/>
    <w:rsid w:val="1E7C434A"/>
    <w:rsid w:val="1E840130"/>
    <w:rsid w:val="1E852CF4"/>
    <w:rsid w:val="1E933284"/>
    <w:rsid w:val="1E992AE1"/>
    <w:rsid w:val="1EAB5F88"/>
    <w:rsid w:val="1EBD70F2"/>
    <w:rsid w:val="1EBF527E"/>
    <w:rsid w:val="1ED30E1E"/>
    <w:rsid w:val="1EE0406D"/>
    <w:rsid w:val="1EF172A5"/>
    <w:rsid w:val="1EFE4E7D"/>
    <w:rsid w:val="1F087131"/>
    <w:rsid w:val="1F0F65FB"/>
    <w:rsid w:val="1F114A63"/>
    <w:rsid w:val="1F115D33"/>
    <w:rsid w:val="1F233D95"/>
    <w:rsid w:val="1F2F5F8E"/>
    <w:rsid w:val="1F42409C"/>
    <w:rsid w:val="1F4522CC"/>
    <w:rsid w:val="1F464351"/>
    <w:rsid w:val="1F4D177B"/>
    <w:rsid w:val="1F4F0F9A"/>
    <w:rsid w:val="1F611FED"/>
    <w:rsid w:val="1F630954"/>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A12AB"/>
    <w:rsid w:val="200C27B6"/>
    <w:rsid w:val="20120C1D"/>
    <w:rsid w:val="20141FA9"/>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8F215E"/>
    <w:rsid w:val="20B32243"/>
    <w:rsid w:val="20B34127"/>
    <w:rsid w:val="20B627FE"/>
    <w:rsid w:val="20B74057"/>
    <w:rsid w:val="20CB24ED"/>
    <w:rsid w:val="20CE1C4D"/>
    <w:rsid w:val="20D24E25"/>
    <w:rsid w:val="20DD3DB8"/>
    <w:rsid w:val="20E36E34"/>
    <w:rsid w:val="20F0628E"/>
    <w:rsid w:val="20F61CF5"/>
    <w:rsid w:val="20FB17E4"/>
    <w:rsid w:val="21053910"/>
    <w:rsid w:val="21150C66"/>
    <w:rsid w:val="211E31CB"/>
    <w:rsid w:val="21247C7E"/>
    <w:rsid w:val="21262AC3"/>
    <w:rsid w:val="212A20DE"/>
    <w:rsid w:val="213415BD"/>
    <w:rsid w:val="21342040"/>
    <w:rsid w:val="213C54CA"/>
    <w:rsid w:val="214D5B7C"/>
    <w:rsid w:val="214E4537"/>
    <w:rsid w:val="215D336C"/>
    <w:rsid w:val="21641421"/>
    <w:rsid w:val="217A2E0F"/>
    <w:rsid w:val="217D645B"/>
    <w:rsid w:val="21871088"/>
    <w:rsid w:val="218C54DC"/>
    <w:rsid w:val="218D3B2C"/>
    <w:rsid w:val="2190457D"/>
    <w:rsid w:val="2194300F"/>
    <w:rsid w:val="21A40A5F"/>
    <w:rsid w:val="21A870E7"/>
    <w:rsid w:val="21BB1E53"/>
    <w:rsid w:val="21C11051"/>
    <w:rsid w:val="21C21A22"/>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07B65"/>
    <w:rsid w:val="2257273D"/>
    <w:rsid w:val="225D3D01"/>
    <w:rsid w:val="226213D1"/>
    <w:rsid w:val="226F53DC"/>
    <w:rsid w:val="2272644B"/>
    <w:rsid w:val="22730643"/>
    <w:rsid w:val="2276739F"/>
    <w:rsid w:val="22833F45"/>
    <w:rsid w:val="228D1798"/>
    <w:rsid w:val="22934012"/>
    <w:rsid w:val="22945884"/>
    <w:rsid w:val="22AD0C2A"/>
    <w:rsid w:val="22B5350F"/>
    <w:rsid w:val="22B9659F"/>
    <w:rsid w:val="22BB322B"/>
    <w:rsid w:val="22BD7151"/>
    <w:rsid w:val="22C2607F"/>
    <w:rsid w:val="22C604E0"/>
    <w:rsid w:val="22C9213E"/>
    <w:rsid w:val="22E94AB1"/>
    <w:rsid w:val="22EE1F90"/>
    <w:rsid w:val="22F2208A"/>
    <w:rsid w:val="22F772F1"/>
    <w:rsid w:val="22FE2784"/>
    <w:rsid w:val="23002037"/>
    <w:rsid w:val="230B0940"/>
    <w:rsid w:val="230E24AC"/>
    <w:rsid w:val="23322038"/>
    <w:rsid w:val="233F5379"/>
    <w:rsid w:val="2347109D"/>
    <w:rsid w:val="23512E0C"/>
    <w:rsid w:val="235204E6"/>
    <w:rsid w:val="23542ADE"/>
    <w:rsid w:val="23616034"/>
    <w:rsid w:val="2364575A"/>
    <w:rsid w:val="23656985"/>
    <w:rsid w:val="2368536F"/>
    <w:rsid w:val="2373040B"/>
    <w:rsid w:val="2379726B"/>
    <w:rsid w:val="2381456E"/>
    <w:rsid w:val="23886124"/>
    <w:rsid w:val="239F3402"/>
    <w:rsid w:val="23A51E18"/>
    <w:rsid w:val="23AA0394"/>
    <w:rsid w:val="23BC64A6"/>
    <w:rsid w:val="23C17E7C"/>
    <w:rsid w:val="23C50F1D"/>
    <w:rsid w:val="23F024D5"/>
    <w:rsid w:val="23F35F5F"/>
    <w:rsid w:val="23FA4566"/>
    <w:rsid w:val="240418FD"/>
    <w:rsid w:val="240572D9"/>
    <w:rsid w:val="240D3AC6"/>
    <w:rsid w:val="24174945"/>
    <w:rsid w:val="241909B7"/>
    <w:rsid w:val="24191866"/>
    <w:rsid w:val="241C69F8"/>
    <w:rsid w:val="24232F7D"/>
    <w:rsid w:val="24267C58"/>
    <w:rsid w:val="242F09CF"/>
    <w:rsid w:val="2436643F"/>
    <w:rsid w:val="24413E93"/>
    <w:rsid w:val="24424A6E"/>
    <w:rsid w:val="24427790"/>
    <w:rsid w:val="24471153"/>
    <w:rsid w:val="244E03E6"/>
    <w:rsid w:val="24535587"/>
    <w:rsid w:val="24565B3A"/>
    <w:rsid w:val="24754533"/>
    <w:rsid w:val="247B3488"/>
    <w:rsid w:val="24893C84"/>
    <w:rsid w:val="249B0B85"/>
    <w:rsid w:val="249E6456"/>
    <w:rsid w:val="24A90873"/>
    <w:rsid w:val="24AB2B08"/>
    <w:rsid w:val="24B44889"/>
    <w:rsid w:val="24B81B41"/>
    <w:rsid w:val="24C45A46"/>
    <w:rsid w:val="24CA28B6"/>
    <w:rsid w:val="24D274C0"/>
    <w:rsid w:val="24D275D2"/>
    <w:rsid w:val="24D45A2D"/>
    <w:rsid w:val="24DC3896"/>
    <w:rsid w:val="24E32B45"/>
    <w:rsid w:val="24E444CC"/>
    <w:rsid w:val="24EA054D"/>
    <w:rsid w:val="24EE4DE2"/>
    <w:rsid w:val="24F072DB"/>
    <w:rsid w:val="24F42ED8"/>
    <w:rsid w:val="2500187D"/>
    <w:rsid w:val="25033CD2"/>
    <w:rsid w:val="251076B1"/>
    <w:rsid w:val="25213874"/>
    <w:rsid w:val="2527244E"/>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05051"/>
    <w:rsid w:val="25B90704"/>
    <w:rsid w:val="25BA1E1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7C7CB4"/>
    <w:rsid w:val="268A2E91"/>
    <w:rsid w:val="268C7C25"/>
    <w:rsid w:val="268E6E1C"/>
    <w:rsid w:val="269173C1"/>
    <w:rsid w:val="26967D4F"/>
    <w:rsid w:val="269A7114"/>
    <w:rsid w:val="26B3580F"/>
    <w:rsid w:val="26B4679E"/>
    <w:rsid w:val="26BC3415"/>
    <w:rsid w:val="26C24FB6"/>
    <w:rsid w:val="26C3077E"/>
    <w:rsid w:val="26C95489"/>
    <w:rsid w:val="26D24077"/>
    <w:rsid w:val="26D26C6A"/>
    <w:rsid w:val="26D94133"/>
    <w:rsid w:val="26E00AF2"/>
    <w:rsid w:val="26E312AF"/>
    <w:rsid w:val="26E35247"/>
    <w:rsid w:val="26E7154D"/>
    <w:rsid w:val="26EF1180"/>
    <w:rsid w:val="2713062B"/>
    <w:rsid w:val="271367EC"/>
    <w:rsid w:val="27256622"/>
    <w:rsid w:val="27262AE2"/>
    <w:rsid w:val="272B516E"/>
    <w:rsid w:val="27410EC2"/>
    <w:rsid w:val="274A69E0"/>
    <w:rsid w:val="27525872"/>
    <w:rsid w:val="276175F4"/>
    <w:rsid w:val="276D0529"/>
    <w:rsid w:val="27736336"/>
    <w:rsid w:val="2779749B"/>
    <w:rsid w:val="277F08A2"/>
    <w:rsid w:val="278109DC"/>
    <w:rsid w:val="27894C03"/>
    <w:rsid w:val="27933927"/>
    <w:rsid w:val="27992A4C"/>
    <w:rsid w:val="279938C3"/>
    <w:rsid w:val="279B3ADF"/>
    <w:rsid w:val="27A33E35"/>
    <w:rsid w:val="27A83A9A"/>
    <w:rsid w:val="27A94296"/>
    <w:rsid w:val="27B60BEB"/>
    <w:rsid w:val="27BD0064"/>
    <w:rsid w:val="27C34DE1"/>
    <w:rsid w:val="27C67E36"/>
    <w:rsid w:val="27D46DC6"/>
    <w:rsid w:val="27D73488"/>
    <w:rsid w:val="27D8374E"/>
    <w:rsid w:val="27DA0F13"/>
    <w:rsid w:val="27DD1DCA"/>
    <w:rsid w:val="27DF1C1D"/>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16505"/>
    <w:rsid w:val="2889440F"/>
    <w:rsid w:val="288F5571"/>
    <w:rsid w:val="28965033"/>
    <w:rsid w:val="28A052D3"/>
    <w:rsid w:val="28A06F4C"/>
    <w:rsid w:val="28AC6B03"/>
    <w:rsid w:val="28B02224"/>
    <w:rsid w:val="28B1615B"/>
    <w:rsid w:val="28B22BA5"/>
    <w:rsid w:val="28B278C0"/>
    <w:rsid w:val="28B766F6"/>
    <w:rsid w:val="28C146C3"/>
    <w:rsid w:val="28CA51CD"/>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5EA1"/>
    <w:rsid w:val="29E11C7D"/>
    <w:rsid w:val="29E90386"/>
    <w:rsid w:val="29F15C38"/>
    <w:rsid w:val="29F1767A"/>
    <w:rsid w:val="29FF65A7"/>
    <w:rsid w:val="2A0019E0"/>
    <w:rsid w:val="2A045FE7"/>
    <w:rsid w:val="2A072146"/>
    <w:rsid w:val="2A0F729D"/>
    <w:rsid w:val="2A172745"/>
    <w:rsid w:val="2A1D74F2"/>
    <w:rsid w:val="2A2D7895"/>
    <w:rsid w:val="2A3F0385"/>
    <w:rsid w:val="2A430216"/>
    <w:rsid w:val="2A444CBB"/>
    <w:rsid w:val="2A454605"/>
    <w:rsid w:val="2A475317"/>
    <w:rsid w:val="2A4B7186"/>
    <w:rsid w:val="2A5670C9"/>
    <w:rsid w:val="2A5E0C02"/>
    <w:rsid w:val="2A636FAD"/>
    <w:rsid w:val="2A642161"/>
    <w:rsid w:val="2A685432"/>
    <w:rsid w:val="2A726A27"/>
    <w:rsid w:val="2A7351C7"/>
    <w:rsid w:val="2A7C32F6"/>
    <w:rsid w:val="2A822840"/>
    <w:rsid w:val="2A9233FE"/>
    <w:rsid w:val="2A9602BA"/>
    <w:rsid w:val="2A985E6C"/>
    <w:rsid w:val="2AA70822"/>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73B1E"/>
    <w:rsid w:val="2B394314"/>
    <w:rsid w:val="2B3B1E2D"/>
    <w:rsid w:val="2B3E5205"/>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10B72"/>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D93B86"/>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661D22"/>
    <w:rsid w:val="2D725AAF"/>
    <w:rsid w:val="2D730FC1"/>
    <w:rsid w:val="2D8674BF"/>
    <w:rsid w:val="2D8874B6"/>
    <w:rsid w:val="2D8C76AE"/>
    <w:rsid w:val="2D956579"/>
    <w:rsid w:val="2D9771B8"/>
    <w:rsid w:val="2D983348"/>
    <w:rsid w:val="2DA34493"/>
    <w:rsid w:val="2DAC2659"/>
    <w:rsid w:val="2DC168A1"/>
    <w:rsid w:val="2DC81E94"/>
    <w:rsid w:val="2DD37126"/>
    <w:rsid w:val="2DE32195"/>
    <w:rsid w:val="2DE96A14"/>
    <w:rsid w:val="2DF27D78"/>
    <w:rsid w:val="2DF74FF8"/>
    <w:rsid w:val="2DFD129D"/>
    <w:rsid w:val="2DFF60D5"/>
    <w:rsid w:val="2E100D83"/>
    <w:rsid w:val="2E241E0A"/>
    <w:rsid w:val="2E283FBB"/>
    <w:rsid w:val="2E292267"/>
    <w:rsid w:val="2E2959A0"/>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A77DF5"/>
    <w:rsid w:val="2EAB55BB"/>
    <w:rsid w:val="2EB32E8D"/>
    <w:rsid w:val="2EC4145B"/>
    <w:rsid w:val="2ECA0EEF"/>
    <w:rsid w:val="2ECF238B"/>
    <w:rsid w:val="2ED02202"/>
    <w:rsid w:val="2ED346F4"/>
    <w:rsid w:val="2EEC5878"/>
    <w:rsid w:val="2EF51EE3"/>
    <w:rsid w:val="2EF77968"/>
    <w:rsid w:val="2EF83766"/>
    <w:rsid w:val="2EF85571"/>
    <w:rsid w:val="2F03447D"/>
    <w:rsid w:val="2F0C1716"/>
    <w:rsid w:val="2F1264FD"/>
    <w:rsid w:val="2F131BDA"/>
    <w:rsid w:val="2F1E2431"/>
    <w:rsid w:val="2F2626A7"/>
    <w:rsid w:val="2F277782"/>
    <w:rsid w:val="2F2F78FF"/>
    <w:rsid w:val="2F33425A"/>
    <w:rsid w:val="2F40795E"/>
    <w:rsid w:val="2F436A32"/>
    <w:rsid w:val="2F585349"/>
    <w:rsid w:val="2F600A4D"/>
    <w:rsid w:val="2F6C578F"/>
    <w:rsid w:val="2F7B24D1"/>
    <w:rsid w:val="2F83447A"/>
    <w:rsid w:val="2F8B0E09"/>
    <w:rsid w:val="2F9711E1"/>
    <w:rsid w:val="2FA01C92"/>
    <w:rsid w:val="2FA94010"/>
    <w:rsid w:val="2FAA2A46"/>
    <w:rsid w:val="2FAD43AF"/>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54F2F"/>
    <w:rsid w:val="303E4ED8"/>
    <w:rsid w:val="303F05C3"/>
    <w:rsid w:val="30403AEC"/>
    <w:rsid w:val="3049392A"/>
    <w:rsid w:val="305D7B83"/>
    <w:rsid w:val="305F182D"/>
    <w:rsid w:val="306A75D7"/>
    <w:rsid w:val="307B141B"/>
    <w:rsid w:val="30812E4D"/>
    <w:rsid w:val="3082744B"/>
    <w:rsid w:val="308275EA"/>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376626"/>
    <w:rsid w:val="31485711"/>
    <w:rsid w:val="314B0750"/>
    <w:rsid w:val="315B7E50"/>
    <w:rsid w:val="315C7E3B"/>
    <w:rsid w:val="316C0946"/>
    <w:rsid w:val="316F5291"/>
    <w:rsid w:val="318077DA"/>
    <w:rsid w:val="31943A79"/>
    <w:rsid w:val="31952860"/>
    <w:rsid w:val="31A32480"/>
    <w:rsid w:val="31B91BCA"/>
    <w:rsid w:val="31BD7603"/>
    <w:rsid w:val="31C156AF"/>
    <w:rsid w:val="31C765B0"/>
    <w:rsid w:val="31D04EA3"/>
    <w:rsid w:val="31D33632"/>
    <w:rsid w:val="31D60C88"/>
    <w:rsid w:val="31D856DB"/>
    <w:rsid w:val="31DF3400"/>
    <w:rsid w:val="31E248BF"/>
    <w:rsid w:val="31E50463"/>
    <w:rsid w:val="31ED419C"/>
    <w:rsid w:val="32147265"/>
    <w:rsid w:val="3226177E"/>
    <w:rsid w:val="322744A0"/>
    <w:rsid w:val="322A5811"/>
    <w:rsid w:val="3230537A"/>
    <w:rsid w:val="32473D90"/>
    <w:rsid w:val="32474245"/>
    <w:rsid w:val="324E2E71"/>
    <w:rsid w:val="3253096B"/>
    <w:rsid w:val="32552601"/>
    <w:rsid w:val="32575271"/>
    <w:rsid w:val="3272345D"/>
    <w:rsid w:val="32765E32"/>
    <w:rsid w:val="3284604D"/>
    <w:rsid w:val="32914DC9"/>
    <w:rsid w:val="3293788C"/>
    <w:rsid w:val="32957364"/>
    <w:rsid w:val="329E7F73"/>
    <w:rsid w:val="32B02EB7"/>
    <w:rsid w:val="32B86B24"/>
    <w:rsid w:val="32CB6F7E"/>
    <w:rsid w:val="32D91C6F"/>
    <w:rsid w:val="32D97036"/>
    <w:rsid w:val="32DF21C2"/>
    <w:rsid w:val="32E11FA2"/>
    <w:rsid w:val="32E213F3"/>
    <w:rsid w:val="32ED2891"/>
    <w:rsid w:val="32EE25C6"/>
    <w:rsid w:val="330208DF"/>
    <w:rsid w:val="33022C64"/>
    <w:rsid w:val="33032076"/>
    <w:rsid w:val="33035CB7"/>
    <w:rsid w:val="330E0160"/>
    <w:rsid w:val="3312251F"/>
    <w:rsid w:val="33237F61"/>
    <w:rsid w:val="332467E5"/>
    <w:rsid w:val="33262E95"/>
    <w:rsid w:val="33337F0A"/>
    <w:rsid w:val="333E2CA0"/>
    <w:rsid w:val="33432875"/>
    <w:rsid w:val="335759EC"/>
    <w:rsid w:val="335C0183"/>
    <w:rsid w:val="335E3242"/>
    <w:rsid w:val="337D0F97"/>
    <w:rsid w:val="338E40D2"/>
    <w:rsid w:val="339D3C39"/>
    <w:rsid w:val="33A540C1"/>
    <w:rsid w:val="33A871A4"/>
    <w:rsid w:val="33A9665D"/>
    <w:rsid w:val="33AE08E1"/>
    <w:rsid w:val="33B43691"/>
    <w:rsid w:val="33BA2267"/>
    <w:rsid w:val="33BD0809"/>
    <w:rsid w:val="33C641FE"/>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1174B"/>
    <w:rsid w:val="34A81304"/>
    <w:rsid w:val="34AF26D6"/>
    <w:rsid w:val="34B33D14"/>
    <w:rsid w:val="34B50F41"/>
    <w:rsid w:val="34BC2A3C"/>
    <w:rsid w:val="34BC7739"/>
    <w:rsid w:val="34BD2138"/>
    <w:rsid w:val="34C84854"/>
    <w:rsid w:val="34D128EE"/>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D6B2E"/>
    <w:rsid w:val="355E286B"/>
    <w:rsid w:val="356C5C5F"/>
    <w:rsid w:val="35757D45"/>
    <w:rsid w:val="357A31FD"/>
    <w:rsid w:val="357D54E6"/>
    <w:rsid w:val="359D22F6"/>
    <w:rsid w:val="35A67C6D"/>
    <w:rsid w:val="35A97360"/>
    <w:rsid w:val="35AA6445"/>
    <w:rsid w:val="35AC5A16"/>
    <w:rsid w:val="35AE6707"/>
    <w:rsid w:val="35B1695D"/>
    <w:rsid w:val="35C027FD"/>
    <w:rsid w:val="35C15C9F"/>
    <w:rsid w:val="35CB5AA1"/>
    <w:rsid w:val="35E244E1"/>
    <w:rsid w:val="35F82C92"/>
    <w:rsid w:val="360B0560"/>
    <w:rsid w:val="360E3D92"/>
    <w:rsid w:val="360F1C77"/>
    <w:rsid w:val="36121410"/>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A4666E"/>
    <w:rsid w:val="36B074E7"/>
    <w:rsid w:val="36B201F6"/>
    <w:rsid w:val="36B318D7"/>
    <w:rsid w:val="36B4718B"/>
    <w:rsid w:val="36B63093"/>
    <w:rsid w:val="36C26230"/>
    <w:rsid w:val="36CB22A7"/>
    <w:rsid w:val="36DE1E96"/>
    <w:rsid w:val="36F375F8"/>
    <w:rsid w:val="36F66E70"/>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80611BF"/>
    <w:rsid w:val="382039C9"/>
    <w:rsid w:val="382429AE"/>
    <w:rsid w:val="382C677C"/>
    <w:rsid w:val="382F4C63"/>
    <w:rsid w:val="3838196A"/>
    <w:rsid w:val="383C2B89"/>
    <w:rsid w:val="383F60A4"/>
    <w:rsid w:val="38601FC4"/>
    <w:rsid w:val="386661FF"/>
    <w:rsid w:val="386E6695"/>
    <w:rsid w:val="387E162E"/>
    <w:rsid w:val="388C6CF2"/>
    <w:rsid w:val="388D35F0"/>
    <w:rsid w:val="38914F5D"/>
    <w:rsid w:val="389511AE"/>
    <w:rsid w:val="389A1BDF"/>
    <w:rsid w:val="38A54C47"/>
    <w:rsid w:val="38B13472"/>
    <w:rsid w:val="38B93642"/>
    <w:rsid w:val="38DD1588"/>
    <w:rsid w:val="38E12884"/>
    <w:rsid w:val="38EE7C94"/>
    <w:rsid w:val="38FD5F09"/>
    <w:rsid w:val="390C2B73"/>
    <w:rsid w:val="390C2E2D"/>
    <w:rsid w:val="391A645A"/>
    <w:rsid w:val="391B55AF"/>
    <w:rsid w:val="392F783B"/>
    <w:rsid w:val="39405E21"/>
    <w:rsid w:val="394F6727"/>
    <w:rsid w:val="39521E9F"/>
    <w:rsid w:val="3954537C"/>
    <w:rsid w:val="395F2BBE"/>
    <w:rsid w:val="396D6AE8"/>
    <w:rsid w:val="39725A4A"/>
    <w:rsid w:val="3980064E"/>
    <w:rsid w:val="399601BD"/>
    <w:rsid w:val="399A58EA"/>
    <w:rsid w:val="399B2127"/>
    <w:rsid w:val="399F08F3"/>
    <w:rsid w:val="399F1332"/>
    <w:rsid w:val="399F5FDA"/>
    <w:rsid w:val="39A15E7F"/>
    <w:rsid w:val="39A16D33"/>
    <w:rsid w:val="39A502C0"/>
    <w:rsid w:val="39BF238F"/>
    <w:rsid w:val="39C73DB3"/>
    <w:rsid w:val="39DA346B"/>
    <w:rsid w:val="39E46FAD"/>
    <w:rsid w:val="39E91662"/>
    <w:rsid w:val="39F5297E"/>
    <w:rsid w:val="3A0258FE"/>
    <w:rsid w:val="3A39581E"/>
    <w:rsid w:val="3A3C6CFA"/>
    <w:rsid w:val="3A3C78D6"/>
    <w:rsid w:val="3A3E3E9F"/>
    <w:rsid w:val="3A40244E"/>
    <w:rsid w:val="3A413469"/>
    <w:rsid w:val="3A480A6E"/>
    <w:rsid w:val="3A4D0C68"/>
    <w:rsid w:val="3A4F2943"/>
    <w:rsid w:val="3A6463E4"/>
    <w:rsid w:val="3A6B176D"/>
    <w:rsid w:val="3A6B710D"/>
    <w:rsid w:val="3A700D10"/>
    <w:rsid w:val="3A714443"/>
    <w:rsid w:val="3A7D0D21"/>
    <w:rsid w:val="3A84298B"/>
    <w:rsid w:val="3A937158"/>
    <w:rsid w:val="3A997D1F"/>
    <w:rsid w:val="3AA26A5D"/>
    <w:rsid w:val="3AA844FF"/>
    <w:rsid w:val="3AAA4B7B"/>
    <w:rsid w:val="3AB1112B"/>
    <w:rsid w:val="3AC52C0A"/>
    <w:rsid w:val="3AC7743B"/>
    <w:rsid w:val="3ACE70B0"/>
    <w:rsid w:val="3AD164BB"/>
    <w:rsid w:val="3AD5074D"/>
    <w:rsid w:val="3AD67FB2"/>
    <w:rsid w:val="3AD7738D"/>
    <w:rsid w:val="3ADC39B3"/>
    <w:rsid w:val="3AE768F9"/>
    <w:rsid w:val="3AF634E6"/>
    <w:rsid w:val="3AF963F9"/>
    <w:rsid w:val="3AFC0789"/>
    <w:rsid w:val="3B0475E9"/>
    <w:rsid w:val="3B0A6176"/>
    <w:rsid w:val="3B10004F"/>
    <w:rsid w:val="3B100557"/>
    <w:rsid w:val="3B1D0F96"/>
    <w:rsid w:val="3B1F0A32"/>
    <w:rsid w:val="3B21328C"/>
    <w:rsid w:val="3B235BCB"/>
    <w:rsid w:val="3B3724FE"/>
    <w:rsid w:val="3B3F3F46"/>
    <w:rsid w:val="3B471B5C"/>
    <w:rsid w:val="3B4874EB"/>
    <w:rsid w:val="3B4E0843"/>
    <w:rsid w:val="3B5211E7"/>
    <w:rsid w:val="3B6B6801"/>
    <w:rsid w:val="3B84771D"/>
    <w:rsid w:val="3B8819BE"/>
    <w:rsid w:val="3B897E24"/>
    <w:rsid w:val="3BB513C6"/>
    <w:rsid w:val="3BBB470B"/>
    <w:rsid w:val="3BCF04EA"/>
    <w:rsid w:val="3BE10919"/>
    <w:rsid w:val="3BE66D84"/>
    <w:rsid w:val="3BEE2461"/>
    <w:rsid w:val="3BF55114"/>
    <w:rsid w:val="3BF8627E"/>
    <w:rsid w:val="3C0274FD"/>
    <w:rsid w:val="3C0F4376"/>
    <w:rsid w:val="3C0F6F56"/>
    <w:rsid w:val="3C14548B"/>
    <w:rsid w:val="3C1D1172"/>
    <w:rsid w:val="3C230DE9"/>
    <w:rsid w:val="3C2F70BE"/>
    <w:rsid w:val="3C3073EF"/>
    <w:rsid w:val="3C320FE1"/>
    <w:rsid w:val="3C325493"/>
    <w:rsid w:val="3C3616AF"/>
    <w:rsid w:val="3C385BD6"/>
    <w:rsid w:val="3C3B6C18"/>
    <w:rsid w:val="3C3C69F3"/>
    <w:rsid w:val="3C4E0450"/>
    <w:rsid w:val="3C545870"/>
    <w:rsid w:val="3C7B3B44"/>
    <w:rsid w:val="3C7E77FF"/>
    <w:rsid w:val="3C94492D"/>
    <w:rsid w:val="3CA45331"/>
    <w:rsid w:val="3CA57CFE"/>
    <w:rsid w:val="3CA64660"/>
    <w:rsid w:val="3CAA23D0"/>
    <w:rsid w:val="3CAE4CF8"/>
    <w:rsid w:val="3CAE7AEC"/>
    <w:rsid w:val="3CCC781D"/>
    <w:rsid w:val="3CCE7C2A"/>
    <w:rsid w:val="3CD20411"/>
    <w:rsid w:val="3CDF2588"/>
    <w:rsid w:val="3CE17A2B"/>
    <w:rsid w:val="3CE77340"/>
    <w:rsid w:val="3CE90379"/>
    <w:rsid w:val="3CFF37D8"/>
    <w:rsid w:val="3D195B95"/>
    <w:rsid w:val="3D21160E"/>
    <w:rsid w:val="3D2329FD"/>
    <w:rsid w:val="3D29684E"/>
    <w:rsid w:val="3D2B3F35"/>
    <w:rsid w:val="3D2D2003"/>
    <w:rsid w:val="3D39578E"/>
    <w:rsid w:val="3D4C09F9"/>
    <w:rsid w:val="3D4D27F5"/>
    <w:rsid w:val="3D5234CB"/>
    <w:rsid w:val="3D52619D"/>
    <w:rsid w:val="3D534EBF"/>
    <w:rsid w:val="3D5D4D44"/>
    <w:rsid w:val="3D614D99"/>
    <w:rsid w:val="3D6E5D8B"/>
    <w:rsid w:val="3D76742B"/>
    <w:rsid w:val="3D8948B8"/>
    <w:rsid w:val="3D8E3230"/>
    <w:rsid w:val="3D9C4C5C"/>
    <w:rsid w:val="3DA205AA"/>
    <w:rsid w:val="3DA701B4"/>
    <w:rsid w:val="3DA83998"/>
    <w:rsid w:val="3DA861DB"/>
    <w:rsid w:val="3DB16D2A"/>
    <w:rsid w:val="3DB80722"/>
    <w:rsid w:val="3DBD65F0"/>
    <w:rsid w:val="3DC7203E"/>
    <w:rsid w:val="3DD43D14"/>
    <w:rsid w:val="3DDA4533"/>
    <w:rsid w:val="3DE1146E"/>
    <w:rsid w:val="3DE12F32"/>
    <w:rsid w:val="3DEA3F0C"/>
    <w:rsid w:val="3DEB35D1"/>
    <w:rsid w:val="3DF65F0E"/>
    <w:rsid w:val="3DFB25C5"/>
    <w:rsid w:val="3DFF226A"/>
    <w:rsid w:val="3E025CF4"/>
    <w:rsid w:val="3E09759C"/>
    <w:rsid w:val="3E0E4BB3"/>
    <w:rsid w:val="3E144F0D"/>
    <w:rsid w:val="3E174D97"/>
    <w:rsid w:val="3E1A10E9"/>
    <w:rsid w:val="3E1A2100"/>
    <w:rsid w:val="3E1B7092"/>
    <w:rsid w:val="3E1F2909"/>
    <w:rsid w:val="3E1F40C4"/>
    <w:rsid w:val="3E20348B"/>
    <w:rsid w:val="3E217503"/>
    <w:rsid w:val="3E376CF4"/>
    <w:rsid w:val="3E3877ED"/>
    <w:rsid w:val="3E392CD6"/>
    <w:rsid w:val="3E3D5661"/>
    <w:rsid w:val="3E43042F"/>
    <w:rsid w:val="3E5A71D5"/>
    <w:rsid w:val="3E7304ED"/>
    <w:rsid w:val="3E73624E"/>
    <w:rsid w:val="3E7A069B"/>
    <w:rsid w:val="3E895FE7"/>
    <w:rsid w:val="3E960E27"/>
    <w:rsid w:val="3E971BFA"/>
    <w:rsid w:val="3E985F61"/>
    <w:rsid w:val="3EAD3EF7"/>
    <w:rsid w:val="3EAD5631"/>
    <w:rsid w:val="3ED20B16"/>
    <w:rsid w:val="3EDA153E"/>
    <w:rsid w:val="3EE55913"/>
    <w:rsid w:val="3F002AB5"/>
    <w:rsid w:val="3F007F87"/>
    <w:rsid w:val="3F0538C0"/>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A"/>
    <w:rsid w:val="3F67457E"/>
    <w:rsid w:val="3F7A2BAD"/>
    <w:rsid w:val="3F8C6BED"/>
    <w:rsid w:val="3F96539B"/>
    <w:rsid w:val="3F9A38BF"/>
    <w:rsid w:val="3F9C5D3D"/>
    <w:rsid w:val="3FA615BB"/>
    <w:rsid w:val="3FAE6978"/>
    <w:rsid w:val="3FB65F72"/>
    <w:rsid w:val="3FB9297E"/>
    <w:rsid w:val="3FC43B3E"/>
    <w:rsid w:val="3FC921C5"/>
    <w:rsid w:val="3FCF0135"/>
    <w:rsid w:val="3FD86EB0"/>
    <w:rsid w:val="3FE56688"/>
    <w:rsid w:val="3FEE25A6"/>
    <w:rsid w:val="3FEF0646"/>
    <w:rsid w:val="3FEF543D"/>
    <w:rsid w:val="3FFA7C3D"/>
    <w:rsid w:val="3FFC2040"/>
    <w:rsid w:val="3FFF7674"/>
    <w:rsid w:val="401A339B"/>
    <w:rsid w:val="401B034E"/>
    <w:rsid w:val="40213B31"/>
    <w:rsid w:val="402F643A"/>
    <w:rsid w:val="40323DF2"/>
    <w:rsid w:val="4043244B"/>
    <w:rsid w:val="404400A2"/>
    <w:rsid w:val="404B0AFD"/>
    <w:rsid w:val="405A761E"/>
    <w:rsid w:val="405B3E44"/>
    <w:rsid w:val="405C4FD6"/>
    <w:rsid w:val="40633724"/>
    <w:rsid w:val="4073511D"/>
    <w:rsid w:val="407511A9"/>
    <w:rsid w:val="40751584"/>
    <w:rsid w:val="408740B2"/>
    <w:rsid w:val="408B409E"/>
    <w:rsid w:val="408E54D0"/>
    <w:rsid w:val="40B77ACC"/>
    <w:rsid w:val="40BD2482"/>
    <w:rsid w:val="40CE01B2"/>
    <w:rsid w:val="40D44447"/>
    <w:rsid w:val="40DB2823"/>
    <w:rsid w:val="40E3448C"/>
    <w:rsid w:val="40EE4695"/>
    <w:rsid w:val="40EE583F"/>
    <w:rsid w:val="40EF2E8F"/>
    <w:rsid w:val="40F27C5E"/>
    <w:rsid w:val="40F42748"/>
    <w:rsid w:val="40FA76BD"/>
    <w:rsid w:val="40FD344B"/>
    <w:rsid w:val="40FE26D2"/>
    <w:rsid w:val="410228FE"/>
    <w:rsid w:val="41044BF4"/>
    <w:rsid w:val="410B01A8"/>
    <w:rsid w:val="41252762"/>
    <w:rsid w:val="412E0DDF"/>
    <w:rsid w:val="412F731A"/>
    <w:rsid w:val="41353F90"/>
    <w:rsid w:val="41490CF5"/>
    <w:rsid w:val="414B5671"/>
    <w:rsid w:val="41503639"/>
    <w:rsid w:val="41514F68"/>
    <w:rsid w:val="415D50BB"/>
    <w:rsid w:val="41670752"/>
    <w:rsid w:val="416A0599"/>
    <w:rsid w:val="41712625"/>
    <w:rsid w:val="41741AA2"/>
    <w:rsid w:val="417C32DA"/>
    <w:rsid w:val="418C16CB"/>
    <w:rsid w:val="41A5473E"/>
    <w:rsid w:val="41A6399F"/>
    <w:rsid w:val="41B938EB"/>
    <w:rsid w:val="41BD4A1A"/>
    <w:rsid w:val="41C55588"/>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4E1A22"/>
    <w:rsid w:val="425D5BCF"/>
    <w:rsid w:val="42793113"/>
    <w:rsid w:val="42896F92"/>
    <w:rsid w:val="428A4FE0"/>
    <w:rsid w:val="428E2E24"/>
    <w:rsid w:val="429017FC"/>
    <w:rsid w:val="42914EC6"/>
    <w:rsid w:val="4297701F"/>
    <w:rsid w:val="42977427"/>
    <w:rsid w:val="429951AC"/>
    <w:rsid w:val="429C554F"/>
    <w:rsid w:val="42A26D50"/>
    <w:rsid w:val="42A73EBF"/>
    <w:rsid w:val="42AD52B2"/>
    <w:rsid w:val="42B00F6D"/>
    <w:rsid w:val="42B07FE6"/>
    <w:rsid w:val="42B10DBC"/>
    <w:rsid w:val="42B66625"/>
    <w:rsid w:val="42BA1E7D"/>
    <w:rsid w:val="42BC6219"/>
    <w:rsid w:val="42C121F4"/>
    <w:rsid w:val="42C512CA"/>
    <w:rsid w:val="42C7289D"/>
    <w:rsid w:val="42C85A7F"/>
    <w:rsid w:val="42CE47E6"/>
    <w:rsid w:val="42D54D2A"/>
    <w:rsid w:val="42D86242"/>
    <w:rsid w:val="42E80214"/>
    <w:rsid w:val="42EF5BE0"/>
    <w:rsid w:val="42F851DA"/>
    <w:rsid w:val="42FE4918"/>
    <w:rsid w:val="43010842"/>
    <w:rsid w:val="430355D1"/>
    <w:rsid w:val="430565C8"/>
    <w:rsid w:val="430931EF"/>
    <w:rsid w:val="43094FC5"/>
    <w:rsid w:val="430C285C"/>
    <w:rsid w:val="4313669C"/>
    <w:rsid w:val="431A01C5"/>
    <w:rsid w:val="431B4E6A"/>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12102"/>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482FF1"/>
    <w:rsid w:val="44514687"/>
    <w:rsid w:val="445459C2"/>
    <w:rsid w:val="44617D0A"/>
    <w:rsid w:val="44682D18"/>
    <w:rsid w:val="44691024"/>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5FAE"/>
    <w:rsid w:val="44FB6168"/>
    <w:rsid w:val="44FC3194"/>
    <w:rsid w:val="44FD00BD"/>
    <w:rsid w:val="44FF34A7"/>
    <w:rsid w:val="45031836"/>
    <w:rsid w:val="4504637B"/>
    <w:rsid w:val="45167FEB"/>
    <w:rsid w:val="452306AA"/>
    <w:rsid w:val="45266F78"/>
    <w:rsid w:val="453C4611"/>
    <w:rsid w:val="4542601F"/>
    <w:rsid w:val="45471252"/>
    <w:rsid w:val="455B0F07"/>
    <w:rsid w:val="455B70CF"/>
    <w:rsid w:val="455F21AD"/>
    <w:rsid w:val="456125FB"/>
    <w:rsid w:val="45646D5D"/>
    <w:rsid w:val="456B16C4"/>
    <w:rsid w:val="456E27EF"/>
    <w:rsid w:val="45723D75"/>
    <w:rsid w:val="458F729B"/>
    <w:rsid w:val="45905EAD"/>
    <w:rsid w:val="459E70EB"/>
    <w:rsid w:val="45B304D2"/>
    <w:rsid w:val="45C2259A"/>
    <w:rsid w:val="45C972E7"/>
    <w:rsid w:val="45D66454"/>
    <w:rsid w:val="45F146F2"/>
    <w:rsid w:val="45F710E6"/>
    <w:rsid w:val="45FB5F89"/>
    <w:rsid w:val="45FF1EFE"/>
    <w:rsid w:val="460C4432"/>
    <w:rsid w:val="461058D9"/>
    <w:rsid w:val="46165015"/>
    <w:rsid w:val="461B0A25"/>
    <w:rsid w:val="46280A29"/>
    <w:rsid w:val="462A1664"/>
    <w:rsid w:val="463B4251"/>
    <w:rsid w:val="465027ED"/>
    <w:rsid w:val="46582079"/>
    <w:rsid w:val="465F4343"/>
    <w:rsid w:val="46663080"/>
    <w:rsid w:val="466A41DE"/>
    <w:rsid w:val="468539A4"/>
    <w:rsid w:val="468A0B4E"/>
    <w:rsid w:val="46C66179"/>
    <w:rsid w:val="46CB17EB"/>
    <w:rsid w:val="46DE668F"/>
    <w:rsid w:val="46E551CD"/>
    <w:rsid w:val="46EE4683"/>
    <w:rsid w:val="47014483"/>
    <w:rsid w:val="4703333D"/>
    <w:rsid w:val="471A4405"/>
    <w:rsid w:val="471E4B3E"/>
    <w:rsid w:val="471E6417"/>
    <w:rsid w:val="472F4367"/>
    <w:rsid w:val="473A5E83"/>
    <w:rsid w:val="473B2404"/>
    <w:rsid w:val="473E2B97"/>
    <w:rsid w:val="473F3688"/>
    <w:rsid w:val="47522D9A"/>
    <w:rsid w:val="47546291"/>
    <w:rsid w:val="475915CF"/>
    <w:rsid w:val="475B68AF"/>
    <w:rsid w:val="47763C9E"/>
    <w:rsid w:val="4778738B"/>
    <w:rsid w:val="477A3E46"/>
    <w:rsid w:val="47857C94"/>
    <w:rsid w:val="47865720"/>
    <w:rsid w:val="478A29F0"/>
    <w:rsid w:val="478A3249"/>
    <w:rsid w:val="478A7058"/>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8002C62"/>
    <w:rsid w:val="480515E9"/>
    <w:rsid w:val="48065890"/>
    <w:rsid w:val="48127D91"/>
    <w:rsid w:val="48162E9B"/>
    <w:rsid w:val="481E0218"/>
    <w:rsid w:val="48273063"/>
    <w:rsid w:val="482759BB"/>
    <w:rsid w:val="482A5811"/>
    <w:rsid w:val="484031A0"/>
    <w:rsid w:val="48460E01"/>
    <w:rsid w:val="48474441"/>
    <w:rsid w:val="484A3A4D"/>
    <w:rsid w:val="485A4946"/>
    <w:rsid w:val="486C5A57"/>
    <w:rsid w:val="487F196B"/>
    <w:rsid w:val="487F438D"/>
    <w:rsid w:val="48843707"/>
    <w:rsid w:val="48865559"/>
    <w:rsid w:val="488B7278"/>
    <w:rsid w:val="488F7885"/>
    <w:rsid w:val="48921589"/>
    <w:rsid w:val="48943290"/>
    <w:rsid w:val="48B1483E"/>
    <w:rsid w:val="48C3184C"/>
    <w:rsid w:val="48E8561D"/>
    <w:rsid w:val="48EC6679"/>
    <w:rsid w:val="48F0103C"/>
    <w:rsid w:val="48F0714D"/>
    <w:rsid w:val="48F3402C"/>
    <w:rsid w:val="48F62D03"/>
    <w:rsid w:val="48F77F22"/>
    <w:rsid w:val="49006A4D"/>
    <w:rsid w:val="49272634"/>
    <w:rsid w:val="492A6E95"/>
    <w:rsid w:val="492E435B"/>
    <w:rsid w:val="4939144E"/>
    <w:rsid w:val="493A24D0"/>
    <w:rsid w:val="493C6687"/>
    <w:rsid w:val="493D20BB"/>
    <w:rsid w:val="493E58F3"/>
    <w:rsid w:val="4959124E"/>
    <w:rsid w:val="495C67D2"/>
    <w:rsid w:val="495D071E"/>
    <w:rsid w:val="496164D0"/>
    <w:rsid w:val="49664EA6"/>
    <w:rsid w:val="496B669D"/>
    <w:rsid w:val="496E712A"/>
    <w:rsid w:val="49722A47"/>
    <w:rsid w:val="4973140F"/>
    <w:rsid w:val="497C4BE1"/>
    <w:rsid w:val="4980732D"/>
    <w:rsid w:val="49A31824"/>
    <w:rsid w:val="49AD1724"/>
    <w:rsid w:val="49AD7C3B"/>
    <w:rsid w:val="49B15E32"/>
    <w:rsid w:val="49B35477"/>
    <w:rsid w:val="49B66EC5"/>
    <w:rsid w:val="49B73BA5"/>
    <w:rsid w:val="49B7682F"/>
    <w:rsid w:val="49BE306A"/>
    <w:rsid w:val="49BE56DF"/>
    <w:rsid w:val="49C071A1"/>
    <w:rsid w:val="49C161D8"/>
    <w:rsid w:val="49C24A88"/>
    <w:rsid w:val="49CC3F16"/>
    <w:rsid w:val="49D81F13"/>
    <w:rsid w:val="49E31136"/>
    <w:rsid w:val="49ED057A"/>
    <w:rsid w:val="49EF1D86"/>
    <w:rsid w:val="49F60A52"/>
    <w:rsid w:val="49FD0A6D"/>
    <w:rsid w:val="4A057339"/>
    <w:rsid w:val="4A0C2D29"/>
    <w:rsid w:val="4A15629C"/>
    <w:rsid w:val="4A203CA4"/>
    <w:rsid w:val="4A335BDC"/>
    <w:rsid w:val="4A344670"/>
    <w:rsid w:val="4A360F96"/>
    <w:rsid w:val="4A3A2422"/>
    <w:rsid w:val="4A3B40B2"/>
    <w:rsid w:val="4A4A0D21"/>
    <w:rsid w:val="4A4C696C"/>
    <w:rsid w:val="4A4E6A63"/>
    <w:rsid w:val="4A520E1F"/>
    <w:rsid w:val="4A551320"/>
    <w:rsid w:val="4A573C9B"/>
    <w:rsid w:val="4A591C97"/>
    <w:rsid w:val="4A5B1925"/>
    <w:rsid w:val="4A9B73F3"/>
    <w:rsid w:val="4AAA45CD"/>
    <w:rsid w:val="4AAC1814"/>
    <w:rsid w:val="4AB50E42"/>
    <w:rsid w:val="4AB82002"/>
    <w:rsid w:val="4AB82B50"/>
    <w:rsid w:val="4ABB4926"/>
    <w:rsid w:val="4ABB6F17"/>
    <w:rsid w:val="4ABE1639"/>
    <w:rsid w:val="4AC24D5B"/>
    <w:rsid w:val="4ADC4024"/>
    <w:rsid w:val="4AE17C2C"/>
    <w:rsid w:val="4AEA24F0"/>
    <w:rsid w:val="4AEF656B"/>
    <w:rsid w:val="4AF5404E"/>
    <w:rsid w:val="4AF55886"/>
    <w:rsid w:val="4AF83131"/>
    <w:rsid w:val="4B036EDC"/>
    <w:rsid w:val="4B063561"/>
    <w:rsid w:val="4B150032"/>
    <w:rsid w:val="4B1D14E7"/>
    <w:rsid w:val="4B1D73DF"/>
    <w:rsid w:val="4B3A4FA6"/>
    <w:rsid w:val="4B3E3AC9"/>
    <w:rsid w:val="4B6937DD"/>
    <w:rsid w:val="4B712CB3"/>
    <w:rsid w:val="4B715C38"/>
    <w:rsid w:val="4B766050"/>
    <w:rsid w:val="4B870600"/>
    <w:rsid w:val="4B88227D"/>
    <w:rsid w:val="4B897805"/>
    <w:rsid w:val="4B8E0170"/>
    <w:rsid w:val="4B8E63E6"/>
    <w:rsid w:val="4B964E4F"/>
    <w:rsid w:val="4BC22732"/>
    <w:rsid w:val="4BC27D75"/>
    <w:rsid w:val="4BC65B99"/>
    <w:rsid w:val="4BCC6CA8"/>
    <w:rsid w:val="4BCD230D"/>
    <w:rsid w:val="4BCD53D9"/>
    <w:rsid w:val="4BCF38CB"/>
    <w:rsid w:val="4BD44271"/>
    <w:rsid w:val="4BE85889"/>
    <w:rsid w:val="4BEF4C5D"/>
    <w:rsid w:val="4BF0140A"/>
    <w:rsid w:val="4BF47196"/>
    <w:rsid w:val="4BFB520C"/>
    <w:rsid w:val="4BFC046E"/>
    <w:rsid w:val="4BFC6236"/>
    <w:rsid w:val="4BFE10D1"/>
    <w:rsid w:val="4C073CF8"/>
    <w:rsid w:val="4C0D64AA"/>
    <w:rsid w:val="4C102782"/>
    <w:rsid w:val="4C132013"/>
    <w:rsid w:val="4C24124B"/>
    <w:rsid w:val="4C322BE9"/>
    <w:rsid w:val="4C4277B4"/>
    <w:rsid w:val="4C4541E5"/>
    <w:rsid w:val="4C473545"/>
    <w:rsid w:val="4C476DF9"/>
    <w:rsid w:val="4C511CEE"/>
    <w:rsid w:val="4C5316E4"/>
    <w:rsid w:val="4C554428"/>
    <w:rsid w:val="4C5C3EA5"/>
    <w:rsid w:val="4C61437A"/>
    <w:rsid w:val="4C631272"/>
    <w:rsid w:val="4C822FF7"/>
    <w:rsid w:val="4C8556B7"/>
    <w:rsid w:val="4C89483F"/>
    <w:rsid w:val="4C8A5A53"/>
    <w:rsid w:val="4C997D3D"/>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363F23"/>
    <w:rsid w:val="4D4542AC"/>
    <w:rsid w:val="4D4F3E2D"/>
    <w:rsid w:val="4D5077DD"/>
    <w:rsid w:val="4D55429F"/>
    <w:rsid w:val="4D706C30"/>
    <w:rsid w:val="4DA15110"/>
    <w:rsid w:val="4DB56ED5"/>
    <w:rsid w:val="4DB73A62"/>
    <w:rsid w:val="4DB97D79"/>
    <w:rsid w:val="4DCB006D"/>
    <w:rsid w:val="4DD30E27"/>
    <w:rsid w:val="4DD90962"/>
    <w:rsid w:val="4DEE57AE"/>
    <w:rsid w:val="4E02546D"/>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2737D"/>
    <w:rsid w:val="4EA548AD"/>
    <w:rsid w:val="4EC30B2B"/>
    <w:rsid w:val="4EC30BAA"/>
    <w:rsid w:val="4ECF07FD"/>
    <w:rsid w:val="4ED406B0"/>
    <w:rsid w:val="4EDB7799"/>
    <w:rsid w:val="4EE80F4D"/>
    <w:rsid w:val="4EED71B1"/>
    <w:rsid w:val="4EF11B96"/>
    <w:rsid w:val="4EF5428A"/>
    <w:rsid w:val="4EF75441"/>
    <w:rsid w:val="4EF85F9A"/>
    <w:rsid w:val="4F067E7F"/>
    <w:rsid w:val="4F0F0E50"/>
    <w:rsid w:val="4F18079A"/>
    <w:rsid w:val="4F1B620F"/>
    <w:rsid w:val="4F206722"/>
    <w:rsid w:val="4F2717D1"/>
    <w:rsid w:val="4F2D66FB"/>
    <w:rsid w:val="4F341D8D"/>
    <w:rsid w:val="4F355697"/>
    <w:rsid w:val="4F460A77"/>
    <w:rsid w:val="4F4D1CD3"/>
    <w:rsid w:val="4F557736"/>
    <w:rsid w:val="4F5C12A0"/>
    <w:rsid w:val="4F616F31"/>
    <w:rsid w:val="4F7760C5"/>
    <w:rsid w:val="4F815C1D"/>
    <w:rsid w:val="4F857B40"/>
    <w:rsid w:val="4F8C20B6"/>
    <w:rsid w:val="4F8C3339"/>
    <w:rsid w:val="4F8D7933"/>
    <w:rsid w:val="4F8F24EB"/>
    <w:rsid w:val="4F923128"/>
    <w:rsid w:val="4F996C7E"/>
    <w:rsid w:val="4F9D7F82"/>
    <w:rsid w:val="4F9E10B3"/>
    <w:rsid w:val="4FA85516"/>
    <w:rsid w:val="4FAA4E3A"/>
    <w:rsid w:val="4FB72501"/>
    <w:rsid w:val="4FDB2A14"/>
    <w:rsid w:val="4FE5216E"/>
    <w:rsid w:val="4FEA544A"/>
    <w:rsid w:val="4FEE43C5"/>
    <w:rsid w:val="4FEF7F19"/>
    <w:rsid w:val="4FF50AA2"/>
    <w:rsid w:val="4FF55E04"/>
    <w:rsid w:val="4FFA1F79"/>
    <w:rsid w:val="4FFE6D44"/>
    <w:rsid w:val="5012408F"/>
    <w:rsid w:val="501C3419"/>
    <w:rsid w:val="501C6CBB"/>
    <w:rsid w:val="501D4063"/>
    <w:rsid w:val="502A5FF4"/>
    <w:rsid w:val="502F4C40"/>
    <w:rsid w:val="50303864"/>
    <w:rsid w:val="50334961"/>
    <w:rsid w:val="50404D00"/>
    <w:rsid w:val="504A2ECF"/>
    <w:rsid w:val="50503A64"/>
    <w:rsid w:val="505A032B"/>
    <w:rsid w:val="505B09D2"/>
    <w:rsid w:val="50611C44"/>
    <w:rsid w:val="50641F16"/>
    <w:rsid w:val="506D39BB"/>
    <w:rsid w:val="506F328F"/>
    <w:rsid w:val="506F3338"/>
    <w:rsid w:val="50877E67"/>
    <w:rsid w:val="5094213E"/>
    <w:rsid w:val="509C1B97"/>
    <w:rsid w:val="509E1BF6"/>
    <w:rsid w:val="50A37BD0"/>
    <w:rsid w:val="50A40B8B"/>
    <w:rsid w:val="50A66EF3"/>
    <w:rsid w:val="50AB2E49"/>
    <w:rsid w:val="50AC26DF"/>
    <w:rsid w:val="50AE19B8"/>
    <w:rsid w:val="50B00860"/>
    <w:rsid w:val="50BB1A75"/>
    <w:rsid w:val="50C02457"/>
    <w:rsid w:val="50C22147"/>
    <w:rsid w:val="50DA5D1D"/>
    <w:rsid w:val="50DF3746"/>
    <w:rsid w:val="50E00775"/>
    <w:rsid w:val="50F9524E"/>
    <w:rsid w:val="51065AE3"/>
    <w:rsid w:val="51073487"/>
    <w:rsid w:val="51275918"/>
    <w:rsid w:val="512C2F2E"/>
    <w:rsid w:val="5130697A"/>
    <w:rsid w:val="51407712"/>
    <w:rsid w:val="51606D80"/>
    <w:rsid w:val="51815543"/>
    <w:rsid w:val="518D502C"/>
    <w:rsid w:val="519333FF"/>
    <w:rsid w:val="51984E54"/>
    <w:rsid w:val="51A146B6"/>
    <w:rsid w:val="51AE3CED"/>
    <w:rsid w:val="51B97C10"/>
    <w:rsid w:val="51BB5FF1"/>
    <w:rsid w:val="51C26272"/>
    <w:rsid w:val="51C606FB"/>
    <w:rsid w:val="51D854A9"/>
    <w:rsid w:val="51E30B6A"/>
    <w:rsid w:val="51EF1984"/>
    <w:rsid w:val="51F43BE2"/>
    <w:rsid w:val="51F747E0"/>
    <w:rsid w:val="520914C1"/>
    <w:rsid w:val="52103C34"/>
    <w:rsid w:val="52114A1C"/>
    <w:rsid w:val="52147C8F"/>
    <w:rsid w:val="52151D21"/>
    <w:rsid w:val="521A1356"/>
    <w:rsid w:val="52252690"/>
    <w:rsid w:val="52252BF9"/>
    <w:rsid w:val="52307421"/>
    <w:rsid w:val="52337F1C"/>
    <w:rsid w:val="5236531B"/>
    <w:rsid w:val="52441093"/>
    <w:rsid w:val="5249689C"/>
    <w:rsid w:val="524A3FB4"/>
    <w:rsid w:val="52525E85"/>
    <w:rsid w:val="525562DE"/>
    <w:rsid w:val="52567E52"/>
    <w:rsid w:val="526A51AF"/>
    <w:rsid w:val="52802154"/>
    <w:rsid w:val="528B4CAA"/>
    <w:rsid w:val="528C13A2"/>
    <w:rsid w:val="528E1B19"/>
    <w:rsid w:val="52BF6099"/>
    <w:rsid w:val="52C55BC0"/>
    <w:rsid w:val="52CD0B04"/>
    <w:rsid w:val="52D935FA"/>
    <w:rsid w:val="52DA789D"/>
    <w:rsid w:val="52E84EAB"/>
    <w:rsid w:val="52F13016"/>
    <w:rsid w:val="52FA4A88"/>
    <w:rsid w:val="530326EF"/>
    <w:rsid w:val="531955E1"/>
    <w:rsid w:val="53210278"/>
    <w:rsid w:val="532173A6"/>
    <w:rsid w:val="53311999"/>
    <w:rsid w:val="533C45DC"/>
    <w:rsid w:val="534534A3"/>
    <w:rsid w:val="53460BCE"/>
    <w:rsid w:val="534C36C4"/>
    <w:rsid w:val="535B5FF9"/>
    <w:rsid w:val="53663AD9"/>
    <w:rsid w:val="536D21D8"/>
    <w:rsid w:val="53796342"/>
    <w:rsid w:val="53820BB2"/>
    <w:rsid w:val="538418DC"/>
    <w:rsid w:val="538B36FB"/>
    <w:rsid w:val="538D79B9"/>
    <w:rsid w:val="5398169E"/>
    <w:rsid w:val="539911C5"/>
    <w:rsid w:val="53AA73C8"/>
    <w:rsid w:val="53B06E15"/>
    <w:rsid w:val="53C029D2"/>
    <w:rsid w:val="53C241C4"/>
    <w:rsid w:val="53C429B7"/>
    <w:rsid w:val="53D43002"/>
    <w:rsid w:val="53D904AE"/>
    <w:rsid w:val="53E81D64"/>
    <w:rsid w:val="53EB712E"/>
    <w:rsid w:val="53F5628E"/>
    <w:rsid w:val="53F94527"/>
    <w:rsid w:val="54003C95"/>
    <w:rsid w:val="540A4448"/>
    <w:rsid w:val="54183F4F"/>
    <w:rsid w:val="541C53CD"/>
    <w:rsid w:val="54241077"/>
    <w:rsid w:val="54251052"/>
    <w:rsid w:val="542E1E30"/>
    <w:rsid w:val="542E520F"/>
    <w:rsid w:val="54303B2F"/>
    <w:rsid w:val="54391E2A"/>
    <w:rsid w:val="543F370E"/>
    <w:rsid w:val="54505D70"/>
    <w:rsid w:val="5454111A"/>
    <w:rsid w:val="545C1B55"/>
    <w:rsid w:val="54631A1F"/>
    <w:rsid w:val="54660E4D"/>
    <w:rsid w:val="546B0211"/>
    <w:rsid w:val="547055A0"/>
    <w:rsid w:val="54787ECC"/>
    <w:rsid w:val="54812C87"/>
    <w:rsid w:val="548361DF"/>
    <w:rsid w:val="54957EB4"/>
    <w:rsid w:val="54AA7585"/>
    <w:rsid w:val="54AC3060"/>
    <w:rsid w:val="54AF794C"/>
    <w:rsid w:val="54B67786"/>
    <w:rsid w:val="54BB6BD3"/>
    <w:rsid w:val="54C63A10"/>
    <w:rsid w:val="54C8390C"/>
    <w:rsid w:val="54DA5C4C"/>
    <w:rsid w:val="54DB7858"/>
    <w:rsid w:val="54DD39A3"/>
    <w:rsid w:val="54E50145"/>
    <w:rsid w:val="54F70681"/>
    <w:rsid w:val="54FB522F"/>
    <w:rsid w:val="54FD1986"/>
    <w:rsid w:val="55006CF5"/>
    <w:rsid w:val="550D5140"/>
    <w:rsid w:val="55132040"/>
    <w:rsid w:val="551A6E9C"/>
    <w:rsid w:val="55211C4B"/>
    <w:rsid w:val="55265024"/>
    <w:rsid w:val="55293427"/>
    <w:rsid w:val="552C79A0"/>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4733C"/>
    <w:rsid w:val="55B52048"/>
    <w:rsid w:val="55BD174C"/>
    <w:rsid w:val="55C81BB8"/>
    <w:rsid w:val="55CE6A55"/>
    <w:rsid w:val="55D122F6"/>
    <w:rsid w:val="55DF5269"/>
    <w:rsid w:val="55E216F8"/>
    <w:rsid w:val="55E25788"/>
    <w:rsid w:val="55E417AE"/>
    <w:rsid w:val="55EF6F20"/>
    <w:rsid w:val="55FC087E"/>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43965"/>
    <w:rsid w:val="567808EC"/>
    <w:rsid w:val="56864983"/>
    <w:rsid w:val="568E7350"/>
    <w:rsid w:val="56984E38"/>
    <w:rsid w:val="569B4737"/>
    <w:rsid w:val="56A47248"/>
    <w:rsid w:val="56B96F71"/>
    <w:rsid w:val="56C44362"/>
    <w:rsid w:val="56CA4BBB"/>
    <w:rsid w:val="56D83364"/>
    <w:rsid w:val="56DD6AC9"/>
    <w:rsid w:val="56DF277A"/>
    <w:rsid w:val="56E03E16"/>
    <w:rsid w:val="56ED3EE4"/>
    <w:rsid w:val="56F00B76"/>
    <w:rsid w:val="56F55395"/>
    <w:rsid w:val="56F745A8"/>
    <w:rsid w:val="56FF6F78"/>
    <w:rsid w:val="571635A1"/>
    <w:rsid w:val="57352F0E"/>
    <w:rsid w:val="57354B82"/>
    <w:rsid w:val="573B48F4"/>
    <w:rsid w:val="57415D44"/>
    <w:rsid w:val="57422253"/>
    <w:rsid w:val="5746251C"/>
    <w:rsid w:val="57492FF5"/>
    <w:rsid w:val="574A5AA3"/>
    <w:rsid w:val="575C1A86"/>
    <w:rsid w:val="57767700"/>
    <w:rsid w:val="57825F9E"/>
    <w:rsid w:val="579A6EF3"/>
    <w:rsid w:val="579B330C"/>
    <w:rsid w:val="57A178D5"/>
    <w:rsid w:val="57A37560"/>
    <w:rsid w:val="57A83858"/>
    <w:rsid w:val="57A94D61"/>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5316E8"/>
    <w:rsid w:val="58623FD0"/>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72BBD"/>
    <w:rsid w:val="595B07E0"/>
    <w:rsid w:val="596719AD"/>
    <w:rsid w:val="59692FF0"/>
    <w:rsid w:val="597645D2"/>
    <w:rsid w:val="597E00FB"/>
    <w:rsid w:val="597E453F"/>
    <w:rsid w:val="597E49BB"/>
    <w:rsid w:val="598A0D18"/>
    <w:rsid w:val="59932EFC"/>
    <w:rsid w:val="59967306"/>
    <w:rsid w:val="599D37A3"/>
    <w:rsid w:val="59B10E52"/>
    <w:rsid w:val="59B76C32"/>
    <w:rsid w:val="59C67DEE"/>
    <w:rsid w:val="59C9568A"/>
    <w:rsid w:val="59D00AB8"/>
    <w:rsid w:val="59E74322"/>
    <w:rsid w:val="5A002FA3"/>
    <w:rsid w:val="5A007669"/>
    <w:rsid w:val="5A007E30"/>
    <w:rsid w:val="5A0343C9"/>
    <w:rsid w:val="5A0471D8"/>
    <w:rsid w:val="5A08125A"/>
    <w:rsid w:val="5A0E7F63"/>
    <w:rsid w:val="5A160D56"/>
    <w:rsid w:val="5A2179FB"/>
    <w:rsid w:val="5A243921"/>
    <w:rsid w:val="5A2776EF"/>
    <w:rsid w:val="5A45521F"/>
    <w:rsid w:val="5A4752B6"/>
    <w:rsid w:val="5A4F5EDF"/>
    <w:rsid w:val="5A5051A4"/>
    <w:rsid w:val="5A621F97"/>
    <w:rsid w:val="5A6A69B7"/>
    <w:rsid w:val="5A6B504C"/>
    <w:rsid w:val="5A885001"/>
    <w:rsid w:val="5A8960C5"/>
    <w:rsid w:val="5A99743F"/>
    <w:rsid w:val="5A9E1877"/>
    <w:rsid w:val="5AA87A7C"/>
    <w:rsid w:val="5AA91D17"/>
    <w:rsid w:val="5AAC3162"/>
    <w:rsid w:val="5AB216C4"/>
    <w:rsid w:val="5ABC1E55"/>
    <w:rsid w:val="5AC661A1"/>
    <w:rsid w:val="5ADD4D11"/>
    <w:rsid w:val="5AE26CDD"/>
    <w:rsid w:val="5AE42730"/>
    <w:rsid w:val="5AE75385"/>
    <w:rsid w:val="5AEA0953"/>
    <w:rsid w:val="5AEC23B4"/>
    <w:rsid w:val="5B052047"/>
    <w:rsid w:val="5B0D3DD0"/>
    <w:rsid w:val="5B0F7EB6"/>
    <w:rsid w:val="5B266F16"/>
    <w:rsid w:val="5B2E301B"/>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E34B31"/>
    <w:rsid w:val="5BF2787E"/>
    <w:rsid w:val="5BFA335F"/>
    <w:rsid w:val="5C143599"/>
    <w:rsid w:val="5C322A65"/>
    <w:rsid w:val="5C46536D"/>
    <w:rsid w:val="5C500B2B"/>
    <w:rsid w:val="5C526F7B"/>
    <w:rsid w:val="5C595364"/>
    <w:rsid w:val="5C6959CB"/>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B5471F"/>
    <w:rsid w:val="5CC434C5"/>
    <w:rsid w:val="5CD3177D"/>
    <w:rsid w:val="5CD40035"/>
    <w:rsid w:val="5CDC0140"/>
    <w:rsid w:val="5CDF2B73"/>
    <w:rsid w:val="5CE9458D"/>
    <w:rsid w:val="5CF138A4"/>
    <w:rsid w:val="5CF20760"/>
    <w:rsid w:val="5D0449CF"/>
    <w:rsid w:val="5D0E21AC"/>
    <w:rsid w:val="5D1C3E29"/>
    <w:rsid w:val="5D3468C4"/>
    <w:rsid w:val="5D3B635D"/>
    <w:rsid w:val="5D434714"/>
    <w:rsid w:val="5D457A5D"/>
    <w:rsid w:val="5D4E3012"/>
    <w:rsid w:val="5D4E3C68"/>
    <w:rsid w:val="5D5F23EC"/>
    <w:rsid w:val="5D797731"/>
    <w:rsid w:val="5D7E7E9A"/>
    <w:rsid w:val="5D9C2761"/>
    <w:rsid w:val="5DA70253"/>
    <w:rsid w:val="5DA82CCD"/>
    <w:rsid w:val="5DB55C27"/>
    <w:rsid w:val="5DCB09A1"/>
    <w:rsid w:val="5DCB5CF0"/>
    <w:rsid w:val="5DDC29E4"/>
    <w:rsid w:val="5DF239A3"/>
    <w:rsid w:val="5DF3456E"/>
    <w:rsid w:val="5E0E1390"/>
    <w:rsid w:val="5E12327B"/>
    <w:rsid w:val="5E213EF8"/>
    <w:rsid w:val="5E2C29D6"/>
    <w:rsid w:val="5E2F5CFC"/>
    <w:rsid w:val="5E3036B9"/>
    <w:rsid w:val="5E32252F"/>
    <w:rsid w:val="5E42228C"/>
    <w:rsid w:val="5E464496"/>
    <w:rsid w:val="5E4D0988"/>
    <w:rsid w:val="5E61698D"/>
    <w:rsid w:val="5E6A32E8"/>
    <w:rsid w:val="5E7E60A9"/>
    <w:rsid w:val="5E901A68"/>
    <w:rsid w:val="5EB17513"/>
    <w:rsid w:val="5EB860D2"/>
    <w:rsid w:val="5EBC2E54"/>
    <w:rsid w:val="5EDA2CAC"/>
    <w:rsid w:val="5EDB00E0"/>
    <w:rsid w:val="5EDE5287"/>
    <w:rsid w:val="5EDE6F04"/>
    <w:rsid w:val="5EE61F49"/>
    <w:rsid w:val="5F1950E1"/>
    <w:rsid w:val="5F1E54FC"/>
    <w:rsid w:val="5F1E7070"/>
    <w:rsid w:val="5F315AA9"/>
    <w:rsid w:val="5F3634EE"/>
    <w:rsid w:val="5F3F74F9"/>
    <w:rsid w:val="5F441D8B"/>
    <w:rsid w:val="5F445B2E"/>
    <w:rsid w:val="5F5A7308"/>
    <w:rsid w:val="5F5F359D"/>
    <w:rsid w:val="5F6E41B1"/>
    <w:rsid w:val="5F714634"/>
    <w:rsid w:val="5F714A57"/>
    <w:rsid w:val="5F715D02"/>
    <w:rsid w:val="5F785CFF"/>
    <w:rsid w:val="5F7B5532"/>
    <w:rsid w:val="5F8C05DD"/>
    <w:rsid w:val="5F9136E2"/>
    <w:rsid w:val="5F945C6E"/>
    <w:rsid w:val="5F9609A6"/>
    <w:rsid w:val="5F976056"/>
    <w:rsid w:val="5F9A541A"/>
    <w:rsid w:val="5FA03C55"/>
    <w:rsid w:val="5FA96BB5"/>
    <w:rsid w:val="5FC26490"/>
    <w:rsid w:val="5FCB0FAC"/>
    <w:rsid w:val="5FCC0F20"/>
    <w:rsid w:val="5FD7050C"/>
    <w:rsid w:val="5FE3287C"/>
    <w:rsid w:val="5FE502FA"/>
    <w:rsid w:val="5FEF66DA"/>
    <w:rsid w:val="5FF727EF"/>
    <w:rsid w:val="600A2620"/>
    <w:rsid w:val="600D7226"/>
    <w:rsid w:val="6010367B"/>
    <w:rsid w:val="60177C95"/>
    <w:rsid w:val="601C03AD"/>
    <w:rsid w:val="60226395"/>
    <w:rsid w:val="60282BEF"/>
    <w:rsid w:val="602B20E7"/>
    <w:rsid w:val="602F7A19"/>
    <w:rsid w:val="603911C4"/>
    <w:rsid w:val="603C224B"/>
    <w:rsid w:val="60444B10"/>
    <w:rsid w:val="604C03D2"/>
    <w:rsid w:val="60612816"/>
    <w:rsid w:val="60615277"/>
    <w:rsid w:val="60695999"/>
    <w:rsid w:val="607346D5"/>
    <w:rsid w:val="607B7ACE"/>
    <w:rsid w:val="608D470F"/>
    <w:rsid w:val="608F1164"/>
    <w:rsid w:val="60A023E2"/>
    <w:rsid w:val="60AC0BDD"/>
    <w:rsid w:val="60C86DFB"/>
    <w:rsid w:val="60D46DAF"/>
    <w:rsid w:val="60D52922"/>
    <w:rsid w:val="60D61108"/>
    <w:rsid w:val="60F87B91"/>
    <w:rsid w:val="6100676D"/>
    <w:rsid w:val="61032C9D"/>
    <w:rsid w:val="610757A6"/>
    <w:rsid w:val="61096DE8"/>
    <w:rsid w:val="610A1465"/>
    <w:rsid w:val="6110560E"/>
    <w:rsid w:val="61122616"/>
    <w:rsid w:val="61124738"/>
    <w:rsid w:val="61143FE6"/>
    <w:rsid w:val="61161239"/>
    <w:rsid w:val="61224AC8"/>
    <w:rsid w:val="612416C4"/>
    <w:rsid w:val="612F062B"/>
    <w:rsid w:val="61316948"/>
    <w:rsid w:val="61355264"/>
    <w:rsid w:val="61366397"/>
    <w:rsid w:val="613D1908"/>
    <w:rsid w:val="613E6B14"/>
    <w:rsid w:val="61466D6C"/>
    <w:rsid w:val="61474679"/>
    <w:rsid w:val="61561989"/>
    <w:rsid w:val="61651B50"/>
    <w:rsid w:val="616B34F1"/>
    <w:rsid w:val="61762A25"/>
    <w:rsid w:val="61967EE9"/>
    <w:rsid w:val="619F0AE4"/>
    <w:rsid w:val="61A8544A"/>
    <w:rsid w:val="61B34920"/>
    <w:rsid w:val="61B8363E"/>
    <w:rsid w:val="61BD0199"/>
    <w:rsid w:val="61D35210"/>
    <w:rsid w:val="61D404A6"/>
    <w:rsid w:val="61D62588"/>
    <w:rsid w:val="61E10F96"/>
    <w:rsid w:val="61E20CAB"/>
    <w:rsid w:val="61E26A39"/>
    <w:rsid w:val="61EA1899"/>
    <w:rsid w:val="61EE361C"/>
    <w:rsid w:val="61F2346C"/>
    <w:rsid w:val="61F3564A"/>
    <w:rsid w:val="61F950AE"/>
    <w:rsid w:val="620455FF"/>
    <w:rsid w:val="62051E5E"/>
    <w:rsid w:val="620751EB"/>
    <w:rsid w:val="62096860"/>
    <w:rsid w:val="620D5CAE"/>
    <w:rsid w:val="620F5FBB"/>
    <w:rsid w:val="621141EC"/>
    <w:rsid w:val="621B439A"/>
    <w:rsid w:val="622542A4"/>
    <w:rsid w:val="622F4676"/>
    <w:rsid w:val="62357B4C"/>
    <w:rsid w:val="623C3E79"/>
    <w:rsid w:val="623F79D3"/>
    <w:rsid w:val="624B1DCB"/>
    <w:rsid w:val="624D3860"/>
    <w:rsid w:val="62642BCA"/>
    <w:rsid w:val="627110E9"/>
    <w:rsid w:val="627830C8"/>
    <w:rsid w:val="627E4AA6"/>
    <w:rsid w:val="628C2580"/>
    <w:rsid w:val="6299479C"/>
    <w:rsid w:val="629D3C8C"/>
    <w:rsid w:val="62AE5634"/>
    <w:rsid w:val="62B775E1"/>
    <w:rsid w:val="62B8695E"/>
    <w:rsid w:val="62C054DC"/>
    <w:rsid w:val="62C20E6C"/>
    <w:rsid w:val="62CD43DC"/>
    <w:rsid w:val="62D50569"/>
    <w:rsid w:val="62D877BF"/>
    <w:rsid w:val="62DD303E"/>
    <w:rsid w:val="62E03F56"/>
    <w:rsid w:val="62EB1915"/>
    <w:rsid w:val="62EC4F39"/>
    <w:rsid w:val="62F05B79"/>
    <w:rsid w:val="62F43C66"/>
    <w:rsid w:val="62F54D21"/>
    <w:rsid w:val="62F83111"/>
    <w:rsid w:val="62FD1B4E"/>
    <w:rsid w:val="630925DA"/>
    <w:rsid w:val="630E2BEE"/>
    <w:rsid w:val="63145F63"/>
    <w:rsid w:val="63153B67"/>
    <w:rsid w:val="63191F45"/>
    <w:rsid w:val="631A114F"/>
    <w:rsid w:val="631F4897"/>
    <w:rsid w:val="6327117C"/>
    <w:rsid w:val="63272EBA"/>
    <w:rsid w:val="633270F6"/>
    <w:rsid w:val="63340F00"/>
    <w:rsid w:val="633849E8"/>
    <w:rsid w:val="633F742D"/>
    <w:rsid w:val="63446387"/>
    <w:rsid w:val="63541E44"/>
    <w:rsid w:val="6359534E"/>
    <w:rsid w:val="636C63D7"/>
    <w:rsid w:val="6372336A"/>
    <w:rsid w:val="637A1FAF"/>
    <w:rsid w:val="638350A5"/>
    <w:rsid w:val="63854194"/>
    <w:rsid w:val="639123D5"/>
    <w:rsid w:val="63936CEA"/>
    <w:rsid w:val="63945C4D"/>
    <w:rsid w:val="6394724E"/>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EE0517"/>
    <w:rsid w:val="63F55F2B"/>
    <w:rsid w:val="63FB2A16"/>
    <w:rsid w:val="64085A7D"/>
    <w:rsid w:val="640E09AC"/>
    <w:rsid w:val="641423F7"/>
    <w:rsid w:val="6414705B"/>
    <w:rsid w:val="6418742C"/>
    <w:rsid w:val="64241675"/>
    <w:rsid w:val="642E0DC1"/>
    <w:rsid w:val="642F3009"/>
    <w:rsid w:val="64383811"/>
    <w:rsid w:val="643A375C"/>
    <w:rsid w:val="643B1DDB"/>
    <w:rsid w:val="6445282D"/>
    <w:rsid w:val="64527EE2"/>
    <w:rsid w:val="6463704A"/>
    <w:rsid w:val="64680B35"/>
    <w:rsid w:val="646C72A7"/>
    <w:rsid w:val="646D4927"/>
    <w:rsid w:val="64746411"/>
    <w:rsid w:val="64773568"/>
    <w:rsid w:val="64784319"/>
    <w:rsid w:val="647F5072"/>
    <w:rsid w:val="648A53C3"/>
    <w:rsid w:val="649609B3"/>
    <w:rsid w:val="649C3ACA"/>
    <w:rsid w:val="64AC465A"/>
    <w:rsid w:val="64AD6C47"/>
    <w:rsid w:val="64AF3495"/>
    <w:rsid w:val="64B1582E"/>
    <w:rsid w:val="64BC471C"/>
    <w:rsid w:val="64C007C5"/>
    <w:rsid w:val="64C25AE1"/>
    <w:rsid w:val="64CC53E2"/>
    <w:rsid w:val="64D8522D"/>
    <w:rsid w:val="64E25229"/>
    <w:rsid w:val="64E42046"/>
    <w:rsid w:val="64F459EF"/>
    <w:rsid w:val="64FC6A39"/>
    <w:rsid w:val="64FF5554"/>
    <w:rsid w:val="64FF5B33"/>
    <w:rsid w:val="650C735C"/>
    <w:rsid w:val="651A528F"/>
    <w:rsid w:val="652210F7"/>
    <w:rsid w:val="65252373"/>
    <w:rsid w:val="652D20EA"/>
    <w:rsid w:val="65310787"/>
    <w:rsid w:val="65320BD1"/>
    <w:rsid w:val="654A0485"/>
    <w:rsid w:val="655679F7"/>
    <w:rsid w:val="65582360"/>
    <w:rsid w:val="655C0221"/>
    <w:rsid w:val="655E1860"/>
    <w:rsid w:val="656A3DE1"/>
    <w:rsid w:val="656B28FD"/>
    <w:rsid w:val="657958FF"/>
    <w:rsid w:val="657A4E84"/>
    <w:rsid w:val="657F02BE"/>
    <w:rsid w:val="6584001B"/>
    <w:rsid w:val="658558D2"/>
    <w:rsid w:val="658B2995"/>
    <w:rsid w:val="65911C80"/>
    <w:rsid w:val="65981B19"/>
    <w:rsid w:val="65A264C4"/>
    <w:rsid w:val="65AC7F98"/>
    <w:rsid w:val="65AF43C4"/>
    <w:rsid w:val="65AF7515"/>
    <w:rsid w:val="65B01F8D"/>
    <w:rsid w:val="65D63A96"/>
    <w:rsid w:val="65F46A63"/>
    <w:rsid w:val="65FF233E"/>
    <w:rsid w:val="660367A1"/>
    <w:rsid w:val="6607745E"/>
    <w:rsid w:val="66093FCB"/>
    <w:rsid w:val="660C1008"/>
    <w:rsid w:val="66106E4C"/>
    <w:rsid w:val="66130AAB"/>
    <w:rsid w:val="66247877"/>
    <w:rsid w:val="663F3D5C"/>
    <w:rsid w:val="66442B47"/>
    <w:rsid w:val="6645606B"/>
    <w:rsid w:val="664A5DB0"/>
    <w:rsid w:val="664F5592"/>
    <w:rsid w:val="666138BE"/>
    <w:rsid w:val="666B61C1"/>
    <w:rsid w:val="66704DB8"/>
    <w:rsid w:val="667430BA"/>
    <w:rsid w:val="667D6E94"/>
    <w:rsid w:val="667E2026"/>
    <w:rsid w:val="667E376F"/>
    <w:rsid w:val="66814262"/>
    <w:rsid w:val="6687181F"/>
    <w:rsid w:val="668F4233"/>
    <w:rsid w:val="6692162D"/>
    <w:rsid w:val="66956B8B"/>
    <w:rsid w:val="66991703"/>
    <w:rsid w:val="669D565A"/>
    <w:rsid w:val="669D5DF0"/>
    <w:rsid w:val="669F08D1"/>
    <w:rsid w:val="66A04B27"/>
    <w:rsid w:val="66AB0232"/>
    <w:rsid w:val="66AC42E9"/>
    <w:rsid w:val="66B20A89"/>
    <w:rsid w:val="66B327B0"/>
    <w:rsid w:val="66B57968"/>
    <w:rsid w:val="66B92610"/>
    <w:rsid w:val="66C65DA4"/>
    <w:rsid w:val="66CB27C0"/>
    <w:rsid w:val="66CD7497"/>
    <w:rsid w:val="66D525AE"/>
    <w:rsid w:val="66DB4A1E"/>
    <w:rsid w:val="66E67C21"/>
    <w:rsid w:val="66EA41B3"/>
    <w:rsid w:val="66F939B6"/>
    <w:rsid w:val="67027284"/>
    <w:rsid w:val="6721041B"/>
    <w:rsid w:val="673575E5"/>
    <w:rsid w:val="674027E5"/>
    <w:rsid w:val="67475E38"/>
    <w:rsid w:val="67537032"/>
    <w:rsid w:val="67656864"/>
    <w:rsid w:val="6766467F"/>
    <w:rsid w:val="676B362B"/>
    <w:rsid w:val="676D60D7"/>
    <w:rsid w:val="67775F53"/>
    <w:rsid w:val="67805079"/>
    <w:rsid w:val="67816B8F"/>
    <w:rsid w:val="67873F03"/>
    <w:rsid w:val="679773D7"/>
    <w:rsid w:val="679E131D"/>
    <w:rsid w:val="67A2624C"/>
    <w:rsid w:val="67AE39D7"/>
    <w:rsid w:val="67B2779B"/>
    <w:rsid w:val="67B42723"/>
    <w:rsid w:val="67C26BE9"/>
    <w:rsid w:val="67C935E9"/>
    <w:rsid w:val="67CD5390"/>
    <w:rsid w:val="67CF66A0"/>
    <w:rsid w:val="67D55811"/>
    <w:rsid w:val="67D73840"/>
    <w:rsid w:val="67F41BB8"/>
    <w:rsid w:val="67F60BB7"/>
    <w:rsid w:val="67FB60A5"/>
    <w:rsid w:val="67FC1404"/>
    <w:rsid w:val="68022384"/>
    <w:rsid w:val="6806232A"/>
    <w:rsid w:val="680901EC"/>
    <w:rsid w:val="680B049B"/>
    <w:rsid w:val="681329CD"/>
    <w:rsid w:val="681E50F5"/>
    <w:rsid w:val="682870E2"/>
    <w:rsid w:val="682B1DC8"/>
    <w:rsid w:val="68514045"/>
    <w:rsid w:val="68541A0A"/>
    <w:rsid w:val="686E2CBE"/>
    <w:rsid w:val="68800F4C"/>
    <w:rsid w:val="68995A67"/>
    <w:rsid w:val="689E408E"/>
    <w:rsid w:val="68AD6BF3"/>
    <w:rsid w:val="68B77FEA"/>
    <w:rsid w:val="68BE2805"/>
    <w:rsid w:val="68CC65D0"/>
    <w:rsid w:val="68D121D5"/>
    <w:rsid w:val="68D45F2D"/>
    <w:rsid w:val="68D8103F"/>
    <w:rsid w:val="68EE6D9D"/>
    <w:rsid w:val="68FB681C"/>
    <w:rsid w:val="69005F31"/>
    <w:rsid w:val="69010FD4"/>
    <w:rsid w:val="690A53FA"/>
    <w:rsid w:val="690E0534"/>
    <w:rsid w:val="691B3FD3"/>
    <w:rsid w:val="69214F2D"/>
    <w:rsid w:val="69294D34"/>
    <w:rsid w:val="692E58B7"/>
    <w:rsid w:val="6934460D"/>
    <w:rsid w:val="693508DD"/>
    <w:rsid w:val="694A5299"/>
    <w:rsid w:val="694E280C"/>
    <w:rsid w:val="69554EBE"/>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E63DBE"/>
    <w:rsid w:val="69EA2A1E"/>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36259"/>
    <w:rsid w:val="6ACA5FB0"/>
    <w:rsid w:val="6ACF4C27"/>
    <w:rsid w:val="6ADE18EE"/>
    <w:rsid w:val="6ADF3594"/>
    <w:rsid w:val="6AE73F4D"/>
    <w:rsid w:val="6AF17318"/>
    <w:rsid w:val="6AFA3924"/>
    <w:rsid w:val="6B0B1D32"/>
    <w:rsid w:val="6B0F0139"/>
    <w:rsid w:val="6B0F0659"/>
    <w:rsid w:val="6B2142CE"/>
    <w:rsid w:val="6B2315D2"/>
    <w:rsid w:val="6B25182E"/>
    <w:rsid w:val="6B276A3E"/>
    <w:rsid w:val="6B30021B"/>
    <w:rsid w:val="6B3233DF"/>
    <w:rsid w:val="6B3B0707"/>
    <w:rsid w:val="6B471513"/>
    <w:rsid w:val="6B56083E"/>
    <w:rsid w:val="6B5D2250"/>
    <w:rsid w:val="6B5F2E07"/>
    <w:rsid w:val="6B6317EA"/>
    <w:rsid w:val="6B6B376C"/>
    <w:rsid w:val="6B7C613A"/>
    <w:rsid w:val="6B7F0990"/>
    <w:rsid w:val="6B850C29"/>
    <w:rsid w:val="6B954CEF"/>
    <w:rsid w:val="6B9A16B0"/>
    <w:rsid w:val="6BA840D6"/>
    <w:rsid w:val="6BAC1043"/>
    <w:rsid w:val="6BAD2A66"/>
    <w:rsid w:val="6BB87FC4"/>
    <w:rsid w:val="6BBE61C0"/>
    <w:rsid w:val="6BD46B4D"/>
    <w:rsid w:val="6BDE22A7"/>
    <w:rsid w:val="6BE73798"/>
    <w:rsid w:val="6BEC2FCA"/>
    <w:rsid w:val="6BF419EF"/>
    <w:rsid w:val="6BFF2E92"/>
    <w:rsid w:val="6C182FA3"/>
    <w:rsid w:val="6C1A082E"/>
    <w:rsid w:val="6C3707E3"/>
    <w:rsid w:val="6C4E4249"/>
    <w:rsid w:val="6C5D623A"/>
    <w:rsid w:val="6C68223F"/>
    <w:rsid w:val="6C693AEA"/>
    <w:rsid w:val="6C6958BA"/>
    <w:rsid w:val="6C69732B"/>
    <w:rsid w:val="6C6A2B82"/>
    <w:rsid w:val="6C6E6BE1"/>
    <w:rsid w:val="6C6F3102"/>
    <w:rsid w:val="6C784971"/>
    <w:rsid w:val="6C860712"/>
    <w:rsid w:val="6C860B71"/>
    <w:rsid w:val="6C863AD3"/>
    <w:rsid w:val="6C8E2897"/>
    <w:rsid w:val="6C8F0FB6"/>
    <w:rsid w:val="6C975335"/>
    <w:rsid w:val="6C995B9F"/>
    <w:rsid w:val="6C9C715F"/>
    <w:rsid w:val="6CB03800"/>
    <w:rsid w:val="6CB36312"/>
    <w:rsid w:val="6CB543F8"/>
    <w:rsid w:val="6CD3191A"/>
    <w:rsid w:val="6CE83B52"/>
    <w:rsid w:val="6CF71267"/>
    <w:rsid w:val="6CFD7470"/>
    <w:rsid w:val="6D193B0B"/>
    <w:rsid w:val="6D1E7058"/>
    <w:rsid w:val="6D2162B4"/>
    <w:rsid w:val="6D216DEF"/>
    <w:rsid w:val="6D222178"/>
    <w:rsid w:val="6D2C13DF"/>
    <w:rsid w:val="6D2F5008"/>
    <w:rsid w:val="6D351109"/>
    <w:rsid w:val="6D372F2F"/>
    <w:rsid w:val="6D39408A"/>
    <w:rsid w:val="6D535020"/>
    <w:rsid w:val="6D5A4F02"/>
    <w:rsid w:val="6D644C93"/>
    <w:rsid w:val="6D66428B"/>
    <w:rsid w:val="6D6A5CC8"/>
    <w:rsid w:val="6D6B3F91"/>
    <w:rsid w:val="6D747CDF"/>
    <w:rsid w:val="6D7538E1"/>
    <w:rsid w:val="6D7707C3"/>
    <w:rsid w:val="6D86428B"/>
    <w:rsid w:val="6D8901BC"/>
    <w:rsid w:val="6D9346AE"/>
    <w:rsid w:val="6DB05BE3"/>
    <w:rsid w:val="6DB16CB7"/>
    <w:rsid w:val="6DB22D18"/>
    <w:rsid w:val="6DB96B12"/>
    <w:rsid w:val="6DC30A82"/>
    <w:rsid w:val="6DC918BA"/>
    <w:rsid w:val="6DCE7E6C"/>
    <w:rsid w:val="6DD16FED"/>
    <w:rsid w:val="6DE04488"/>
    <w:rsid w:val="6DEE7E36"/>
    <w:rsid w:val="6DF13000"/>
    <w:rsid w:val="6DF90DFC"/>
    <w:rsid w:val="6E132BBF"/>
    <w:rsid w:val="6E154224"/>
    <w:rsid w:val="6E156AB9"/>
    <w:rsid w:val="6E255579"/>
    <w:rsid w:val="6E2A1D7A"/>
    <w:rsid w:val="6E2D17B9"/>
    <w:rsid w:val="6E347D9E"/>
    <w:rsid w:val="6E39640B"/>
    <w:rsid w:val="6E457FD7"/>
    <w:rsid w:val="6E4E1431"/>
    <w:rsid w:val="6E5140E8"/>
    <w:rsid w:val="6E523ECC"/>
    <w:rsid w:val="6E6A4D62"/>
    <w:rsid w:val="6E733917"/>
    <w:rsid w:val="6E777980"/>
    <w:rsid w:val="6E8C433E"/>
    <w:rsid w:val="6E915325"/>
    <w:rsid w:val="6E950807"/>
    <w:rsid w:val="6E9C45CA"/>
    <w:rsid w:val="6EAE5828"/>
    <w:rsid w:val="6EBF54EA"/>
    <w:rsid w:val="6ECB09B7"/>
    <w:rsid w:val="6ECC5B21"/>
    <w:rsid w:val="6ED0560A"/>
    <w:rsid w:val="6EE42C42"/>
    <w:rsid w:val="6EE62D04"/>
    <w:rsid w:val="6EEC353D"/>
    <w:rsid w:val="6EEF1C1D"/>
    <w:rsid w:val="6EF05FA7"/>
    <w:rsid w:val="6EF43A7A"/>
    <w:rsid w:val="6F097E86"/>
    <w:rsid w:val="6F151595"/>
    <w:rsid w:val="6F2C025F"/>
    <w:rsid w:val="6F2C25D4"/>
    <w:rsid w:val="6F2D598D"/>
    <w:rsid w:val="6F4308A1"/>
    <w:rsid w:val="6F46405D"/>
    <w:rsid w:val="6F476D16"/>
    <w:rsid w:val="6F5603AA"/>
    <w:rsid w:val="6F563B40"/>
    <w:rsid w:val="6F582142"/>
    <w:rsid w:val="6F6311C3"/>
    <w:rsid w:val="6F6F143A"/>
    <w:rsid w:val="6F7B4F57"/>
    <w:rsid w:val="6F8173A5"/>
    <w:rsid w:val="6F8731F0"/>
    <w:rsid w:val="6F98023F"/>
    <w:rsid w:val="6FA40CFB"/>
    <w:rsid w:val="6FAF5EAE"/>
    <w:rsid w:val="6FBC0E57"/>
    <w:rsid w:val="6FC57B35"/>
    <w:rsid w:val="6FCB5618"/>
    <w:rsid w:val="6FE26034"/>
    <w:rsid w:val="6FF551F5"/>
    <w:rsid w:val="6FF567F7"/>
    <w:rsid w:val="6FF901E4"/>
    <w:rsid w:val="6FFA68F6"/>
    <w:rsid w:val="7004100D"/>
    <w:rsid w:val="701820FB"/>
    <w:rsid w:val="70221C74"/>
    <w:rsid w:val="70224DE3"/>
    <w:rsid w:val="703503A4"/>
    <w:rsid w:val="7036351C"/>
    <w:rsid w:val="703D6CEF"/>
    <w:rsid w:val="70412B93"/>
    <w:rsid w:val="70553D44"/>
    <w:rsid w:val="705D42D1"/>
    <w:rsid w:val="7062375F"/>
    <w:rsid w:val="70706378"/>
    <w:rsid w:val="7075364D"/>
    <w:rsid w:val="70771B88"/>
    <w:rsid w:val="708B2925"/>
    <w:rsid w:val="708D6597"/>
    <w:rsid w:val="70B16ED7"/>
    <w:rsid w:val="70B972FB"/>
    <w:rsid w:val="70BE359C"/>
    <w:rsid w:val="70C06B12"/>
    <w:rsid w:val="70C55B89"/>
    <w:rsid w:val="70C95948"/>
    <w:rsid w:val="70CE5088"/>
    <w:rsid w:val="70D900D5"/>
    <w:rsid w:val="70E96DC7"/>
    <w:rsid w:val="70EC759C"/>
    <w:rsid w:val="70EF6FAE"/>
    <w:rsid w:val="71066EA0"/>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A234AE"/>
    <w:rsid w:val="71BA2D03"/>
    <w:rsid w:val="71BE0807"/>
    <w:rsid w:val="71D13370"/>
    <w:rsid w:val="71D14DF2"/>
    <w:rsid w:val="71DD2475"/>
    <w:rsid w:val="71DD54E0"/>
    <w:rsid w:val="71E25D9B"/>
    <w:rsid w:val="71EA1849"/>
    <w:rsid w:val="71EF67A8"/>
    <w:rsid w:val="71F4319C"/>
    <w:rsid w:val="71FB2E51"/>
    <w:rsid w:val="71FC4024"/>
    <w:rsid w:val="72097561"/>
    <w:rsid w:val="72167FDA"/>
    <w:rsid w:val="721B506B"/>
    <w:rsid w:val="72331F17"/>
    <w:rsid w:val="724033F7"/>
    <w:rsid w:val="72416679"/>
    <w:rsid w:val="72433065"/>
    <w:rsid w:val="72457278"/>
    <w:rsid w:val="72563E57"/>
    <w:rsid w:val="726E0B11"/>
    <w:rsid w:val="727D4585"/>
    <w:rsid w:val="728175C3"/>
    <w:rsid w:val="728729C7"/>
    <w:rsid w:val="728B192C"/>
    <w:rsid w:val="728E5109"/>
    <w:rsid w:val="72A16F64"/>
    <w:rsid w:val="72A2415E"/>
    <w:rsid w:val="72A32C3B"/>
    <w:rsid w:val="72AC288B"/>
    <w:rsid w:val="72B266AC"/>
    <w:rsid w:val="72BE6CD8"/>
    <w:rsid w:val="72C03295"/>
    <w:rsid w:val="72C346BD"/>
    <w:rsid w:val="72CE404E"/>
    <w:rsid w:val="72DB70A1"/>
    <w:rsid w:val="72E47A77"/>
    <w:rsid w:val="72EB27F1"/>
    <w:rsid w:val="72EB7CFE"/>
    <w:rsid w:val="72ED4786"/>
    <w:rsid w:val="72F5500F"/>
    <w:rsid w:val="72FA404C"/>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DD4830"/>
    <w:rsid w:val="73E27B00"/>
    <w:rsid w:val="73E65029"/>
    <w:rsid w:val="73EF3643"/>
    <w:rsid w:val="73EF42A9"/>
    <w:rsid w:val="73F017DA"/>
    <w:rsid w:val="73F07D9A"/>
    <w:rsid w:val="73F12351"/>
    <w:rsid w:val="73F41526"/>
    <w:rsid w:val="740613CF"/>
    <w:rsid w:val="74090D59"/>
    <w:rsid w:val="74180BBF"/>
    <w:rsid w:val="74266B95"/>
    <w:rsid w:val="742E35AD"/>
    <w:rsid w:val="742E73BF"/>
    <w:rsid w:val="743D2A5D"/>
    <w:rsid w:val="74451C3B"/>
    <w:rsid w:val="74566DBA"/>
    <w:rsid w:val="745A0BA9"/>
    <w:rsid w:val="745D2796"/>
    <w:rsid w:val="7460605D"/>
    <w:rsid w:val="74645E2C"/>
    <w:rsid w:val="746C5BB4"/>
    <w:rsid w:val="747A5C59"/>
    <w:rsid w:val="747B1953"/>
    <w:rsid w:val="74814F15"/>
    <w:rsid w:val="748D4D0B"/>
    <w:rsid w:val="748F2873"/>
    <w:rsid w:val="749C2484"/>
    <w:rsid w:val="74A27DD2"/>
    <w:rsid w:val="74AA513B"/>
    <w:rsid w:val="74B47A08"/>
    <w:rsid w:val="74C07362"/>
    <w:rsid w:val="74C74B98"/>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00A0"/>
    <w:rsid w:val="7580783F"/>
    <w:rsid w:val="758D23F8"/>
    <w:rsid w:val="759146BB"/>
    <w:rsid w:val="759B05B0"/>
    <w:rsid w:val="75A20554"/>
    <w:rsid w:val="75B30DD6"/>
    <w:rsid w:val="75C25231"/>
    <w:rsid w:val="75C876B4"/>
    <w:rsid w:val="75DF4381"/>
    <w:rsid w:val="75E142B9"/>
    <w:rsid w:val="75E5151B"/>
    <w:rsid w:val="75EC37AE"/>
    <w:rsid w:val="75F11993"/>
    <w:rsid w:val="75F16CCA"/>
    <w:rsid w:val="75FE747D"/>
    <w:rsid w:val="76054A17"/>
    <w:rsid w:val="76185AAD"/>
    <w:rsid w:val="76211AF6"/>
    <w:rsid w:val="76275FAE"/>
    <w:rsid w:val="762E39BD"/>
    <w:rsid w:val="762F6E99"/>
    <w:rsid w:val="763537F6"/>
    <w:rsid w:val="763B3B81"/>
    <w:rsid w:val="76417696"/>
    <w:rsid w:val="76453603"/>
    <w:rsid w:val="764F3097"/>
    <w:rsid w:val="76686B17"/>
    <w:rsid w:val="766D79C1"/>
    <w:rsid w:val="766F7C81"/>
    <w:rsid w:val="76760936"/>
    <w:rsid w:val="767F314F"/>
    <w:rsid w:val="7683750C"/>
    <w:rsid w:val="769120F5"/>
    <w:rsid w:val="7692307B"/>
    <w:rsid w:val="76940D5A"/>
    <w:rsid w:val="7695521B"/>
    <w:rsid w:val="769F638C"/>
    <w:rsid w:val="76BB697E"/>
    <w:rsid w:val="76C35B93"/>
    <w:rsid w:val="76D11E42"/>
    <w:rsid w:val="76D31F1A"/>
    <w:rsid w:val="76D5246B"/>
    <w:rsid w:val="76D613FE"/>
    <w:rsid w:val="76D61C06"/>
    <w:rsid w:val="76D8308D"/>
    <w:rsid w:val="77123450"/>
    <w:rsid w:val="771E342D"/>
    <w:rsid w:val="77241334"/>
    <w:rsid w:val="772E3EC9"/>
    <w:rsid w:val="778B74B3"/>
    <w:rsid w:val="779C66D3"/>
    <w:rsid w:val="77A52D33"/>
    <w:rsid w:val="77B86D8D"/>
    <w:rsid w:val="77B95085"/>
    <w:rsid w:val="77C01277"/>
    <w:rsid w:val="77C82507"/>
    <w:rsid w:val="77C94A5C"/>
    <w:rsid w:val="77CE0154"/>
    <w:rsid w:val="77D51602"/>
    <w:rsid w:val="77ED2A98"/>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26306"/>
    <w:rsid w:val="7886011F"/>
    <w:rsid w:val="788620D6"/>
    <w:rsid w:val="788E4C33"/>
    <w:rsid w:val="789A14D5"/>
    <w:rsid w:val="78A23C35"/>
    <w:rsid w:val="78AE55B9"/>
    <w:rsid w:val="78B1241F"/>
    <w:rsid w:val="78B52932"/>
    <w:rsid w:val="78B5402C"/>
    <w:rsid w:val="78C33580"/>
    <w:rsid w:val="78C44908"/>
    <w:rsid w:val="78CA3104"/>
    <w:rsid w:val="78CD5726"/>
    <w:rsid w:val="78DD724E"/>
    <w:rsid w:val="78E144CE"/>
    <w:rsid w:val="78E46F81"/>
    <w:rsid w:val="78E64FEF"/>
    <w:rsid w:val="78E97DB2"/>
    <w:rsid w:val="78FB0EF8"/>
    <w:rsid w:val="78FD349A"/>
    <w:rsid w:val="78FE7A25"/>
    <w:rsid w:val="790300B9"/>
    <w:rsid w:val="792C6D0B"/>
    <w:rsid w:val="793731E3"/>
    <w:rsid w:val="79392389"/>
    <w:rsid w:val="793B39FE"/>
    <w:rsid w:val="793F4619"/>
    <w:rsid w:val="79476D94"/>
    <w:rsid w:val="795200ED"/>
    <w:rsid w:val="79533E74"/>
    <w:rsid w:val="79537BB7"/>
    <w:rsid w:val="79590D62"/>
    <w:rsid w:val="79651C45"/>
    <w:rsid w:val="796C1BE9"/>
    <w:rsid w:val="7972462B"/>
    <w:rsid w:val="79742E29"/>
    <w:rsid w:val="797C1FFB"/>
    <w:rsid w:val="79853AF3"/>
    <w:rsid w:val="798F727F"/>
    <w:rsid w:val="79933267"/>
    <w:rsid w:val="7998292C"/>
    <w:rsid w:val="79BC5130"/>
    <w:rsid w:val="79C439E3"/>
    <w:rsid w:val="79F075B1"/>
    <w:rsid w:val="79F24581"/>
    <w:rsid w:val="79F448A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8301C"/>
    <w:rsid w:val="7A8D418E"/>
    <w:rsid w:val="7A8E0619"/>
    <w:rsid w:val="7A9D6F98"/>
    <w:rsid w:val="7AC4228B"/>
    <w:rsid w:val="7AC552F2"/>
    <w:rsid w:val="7AD53C91"/>
    <w:rsid w:val="7AD91D8E"/>
    <w:rsid w:val="7ADB5C40"/>
    <w:rsid w:val="7ADD7099"/>
    <w:rsid w:val="7AE53FA2"/>
    <w:rsid w:val="7AE91E92"/>
    <w:rsid w:val="7AF37660"/>
    <w:rsid w:val="7AF406B1"/>
    <w:rsid w:val="7B0D54DA"/>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41F7B"/>
    <w:rsid w:val="7BBF1BA5"/>
    <w:rsid w:val="7BDC2D7A"/>
    <w:rsid w:val="7BEA6E48"/>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8348B"/>
    <w:rsid w:val="7CA92D22"/>
    <w:rsid w:val="7CAB1228"/>
    <w:rsid w:val="7CB13DE8"/>
    <w:rsid w:val="7CB53CE5"/>
    <w:rsid w:val="7CB8747E"/>
    <w:rsid w:val="7CC66EA5"/>
    <w:rsid w:val="7CD3492C"/>
    <w:rsid w:val="7CD91ED4"/>
    <w:rsid w:val="7CDA083F"/>
    <w:rsid w:val="7CDA4FD7"/>
    <w:rsid w:val="7CDE6632"/>
    <w:rsid w:val="7CE31486"/>
    <w:rsid w:val="7CE355AB"/>
    <w:rsid w:val="7CE95E3F"/>
    <w:rsid w:val="7CED4739"/>
    <w:rsid w:val="7CF81AC1"/>
    <w:rsid w:val="7CFE5817"/>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201F6"/>
    <w:rsid w:val="7D873270"/>
    <w:rsid w:val="7D8E409D"/>
    <w:rsid w:val="7D9E5BDD"/>
    <w:rsid w:val="7DC151FE"/>
    <w:rsid w:val="7DD05B20"/>
    <w:rsid w:val="7DDA0FC1"/>
    <w:rsid w:val="7DDC6964"/>
    <w:rsid w:val="7DE065A7"/>
    <w:rsid w:val="7DEB5334"/>
    <w:rsid w:val="7DF305CB"/>
    <w:rsid w:val="7DF52D47"/>
    <w:rsid w:val="7DFA7B58"/>
    <w:rsid w:val="7E054DC3"/>
    <w:rsid w:val="7E0A7D52"/>
    <w:rsid w:val="7E0E2884"/>
    <w:rsid w:val="7E1813FE"/>
    <w:rsid w:val="7E250A47"/>
    <w:rsid w:val="7E276BB4"/>
    <w:rsid w:val="7E2B01D4"/>
    <w:rsid w:val="7E2E5534"/>
    <w:rsid w:val="7E2E67D3"/>
    <w:rsid w:val="7E3139AB"/>
    <w:rsid w:val="7E33168C"/>
    <w:rsid w:val="7E3B6737"/>
    <w:rsid w:val="7E631219"/>
    <w:rsid w:val="7E64128C"/>
    <w:rsid w:val="7E671940"/>
    <w:rsid w:val="7E6B47E6"/>
    <w:rsid w:val="7E6B536E"/>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EF90044"/>
    <w:rsid w:val="7F0B68A2"/>
    <w:rsid w:val="7F115E56"/>
    <w:rsid w:val="7F2039B5"/>
    <w:rsid w:val="7F24500C"/>
    <w:rsid w:val="7F26493B"/>
    <w:rsid w:val="7F2A6727"/>
    <w:rsid w:val="7F2F1B61"/>
    <w:rsid w:val="7F4419AA"/>
    <w:rsid w:val="7F45214C"/>
    <w:rsid w:val="7F4E793F"/>
    <w:rsid w:val="7F5579B0"/>
    <w:rsid w:val="7F58405D"/>
    <w:rsid w:val="7F617E8B"/>
    <w:rsid w:val="7F6A7EA9"/>
    <w:rsid w:val="7F6D53FE"/>
    <w:rsid w:val="7F7807C4"/>
    <w:rsid w:val="7F837A9D"/>
    <w:rsid w:val="7F947FF8"/>
    <w:rsid w:val="7F977394"/>
    <w:rsid w:val="7F9D1D7D"/>
    <w:rsid w:val="7F9E1A24"/>
    <w:rsid w:val="7F9E328B"/>
    <w:rsid w:val="7FA450A9"/>
    <w:rsid w:val="7FA87001"/>
    <w:rsid w:val="7FB25208"/>
    <w:rsid w:val="7FB3330A"/>
    <w:rsid w:val="7FBE350D"/>
    <w:rsid w:val="7FCB08BB"/>
    <w:rsid w:val="7FCC0E95"/>
    <w:rsid w:val="7FCC5758"/>
    <w:rsid w:val="7FD17A99"/>
    <w:rsid w:val="7FDA4E4D"/>
    <w:rsid w:val="7FEE3C4E"/>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outlineLvl w:val="0"/>
    </w:pPr>
    <w:rPr>
      <w:b/>
      <w:bCs/>
      <w:kern w:val="44"/>
      <w:szCs w:val="44"/>
    </w:rPr>
  </w:style>
  <w:style w:type="paragraph" w:styleId="3">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4">
    <w:name w:val="heading 3"/>
    <w:basedOn w:val="1"/>
    <w:next w:val="1"/>
    <w:qFormat/>
    <w:uiPriority w:val="0"/>
    <w:pPr>
      <w:keepNext/>
      <w:outlineLvl w:val="2"/>
    </w:pPr>
    <w:rPr>
      <w:sz w:val="44"/>
      <w:shd w:val="pct10" w:color="auto" w:fill="FFFFFF"/>
    </w:rPr>
  </w:style>
  <w:style w:type="paragraph" w:styleId="5">
    <w:name w:val="heading 4"/>
    <w:basedOn w:val="1"/>
    <w:next w:val="1"/>
    <w:qFormat/>
    <w:uiPriority w:val="1"/>
    <w:pPr>
      <w:spacing w:before="26"/>
      <w:ind w:left="237"/>
      <w:outlineLvl w:val="4"/>
    </w:pPr>
    <w:rPr>
      <w:rFonts w:ascii="Times New Roman" w:hAnsi="Times New Roman" w:eastAsia="Times New Roman"/>
      <w:b/>
      <w:bCs/>
      <w:sz w:val="24"/>
      <w:szCs w:val="24"/>
    </w:rPr>
  </w:style>
  <w:style w:type="paragraph" w:styleId="6">
    <w:name w:val="heading 6"/>
    <w:basedOn w:val="1"/>
    <w:next w:val="1"/>
    <w:qFormat/>
    <w:uiPriority w:val="1"/>
    <w:pPr>
      <w:spacing w:before="26"/>
      <w:ind w:left="115"/>
      <w:outlineLvl w:val="6"/>
    </w:pPr>
    <w:rPr>
      <w:rFonts w:ascii="宋体" w:hAnsi="宋体" w:eastAsia="宋体"/>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semiHidden/>
    <w:qFormat/>
    <w:uiPriority w:val="0"/>
    <w:pPr>
      <w:ind w:left="420" w:leftChars="200"/>
    </w:pPr>
  </w:style>
  <w:style w:type="paragraph" w:styleId="8">
    <w:name w:val="Note Heading"/>
    <w:basedOn w:val="1"/>
    <w:next w:val="1"/>
    <w:qFormat/>
    <w:uiPriority w:val="0"/>
    <w:pPr>
      <w:jc w:val="center"/>
    </w:pPr>
  </w:style>
  <w:style w:type="paragraph" w:styleId="9">
    <w:name w:val="Normal Indent"/>
    <w:basedOn w:val="1"/>
    <w:qFormat/>
    <w:uiPriority w:val="0"/>
    <w:pPr>
      <w:widowControl w:val="0"/>
      <w:spacing w:beforeLines="50" w:line="360" w:lineRule="auto"/>
      <w:ind w:firstLine="560" w:firstLineChars="200"/>
      <w:jc w:val="both"/>
    </w:pPr>
    <w:rPr>
      <w:kern w:val="2"/>
      <w:sz w:val="28"/>
    </w:rPr>
  </w:style>
  <w:style w:type="paragraph" w:styleId="10">
    <w:name w:val="caption"/>
    <w:basedOn w:val="1"/>
    <w:next w:val="1"/>
    <w:qFormat/>
    <w:uiPriority w:val="0"/>
    <w:pPr>
      <w:jc w:val="center"/>
    </w:pPr>
    <w:rPr>
      <w:rFonts w:ascii="Arial" w:hAnsi="Arial" w:cs="Arial"/>
      <w:sz w:val="24"/>
    </w:rPr>
  </w:style>
  <w:style w:type="paragraph" w:styleId="11">
    <w:name w:val="Document Map"/>
    <w:basedOn w:val="1"/>
    <w:link w:val="68"/>
    <w:qFormat/>
    <w:uiPriority w:val="0"/>
    <w:rPr>
      <w:rFonts w:ascii="宋体" w:eastAsia="宋体"/>
      <w:sz w:val="18"/>
      <w:szCs w:val="18"/>
    </w:rPr>
  </w:style>
  <w:style w:type="paragraph" w:styleId="12">
    <w:name w:val="annotation text"/>
    <w:basedOn w:val="1"/>
    <w:qFormat/>
    <w:uiPriority w:val="0"/>
  </w:style>
  <w:style w:type="paragraph" w:styleId="13">
    <w:name w:val="Body Text"/>
    <w:basedOn w:val="1"/>
    <w:next w:val="8"/>
    <w:qFormat/>
    <w:uiPriority w:val="0"/>
    <w:rPr>
      <w:rFonts w:eastAsia="楷体_GB2312"/>
      <w:spacing w:val="-8"/>
      <w:sz w:val="24"/>
    </w:rPr>
  </w:style>
  <w:style w:type="paragraph" w:styleId="14">
    <w:name w:val="Body Text Indent"/>
    <w:basedOn w:val="1"/>
    <w:qFormat/>
    <w:uiPriority w:val="0"/>
    <w:pPr>
      <w:jc w:val="center"/>
    </w:pPr>
    <w:rPr>
      <w:rFonts w:eastAsia="楷体_GB2312"/>
      <w:sz w:val="24"/>
    </w:rPr>
  </w:style>
  <w:style w:type="paragraph" w:styleId="15">
    <w:name w:val="Block Text"/>
    <w:basedOn w:val="1"/>
    <w:qFormat/>
    <w:uiPriority w:val="0"/>
    <w:pPr>
      <w:spacing w:line="440" w:lineRule="exact"/>
      <w:ind w:left="113" w:right="113" w:firstLine="567"/>
    </w:pPr>
    <w:rPr>
      <w:rFonts w:ascii="仿宋_GB2312" w:eastAsia="仿宋_GB2312"/>
      <w:sz w:val="28"/>
      <w:szCs w:val="20"/>
    </w:rPr>
  </w:style>
  <w:style w:type="paragraph" w:styleId="16">
    <w:name w:val="Plain Text"/>
    <w:basedOn w:val="1"/>
    <w:unhideWhenUsed/>
    <w:qFormat/>
    <w:uiPriority w:val="99"/>
    <w:rPr>
      <w:rFonts w:ascii="宋体" w:hAnsi="Courier New"/>
      <w:sz w:val="20"/>
      <w:szCs w:val="21"/>
    </w:rPr>
  </w:style>
  <w:style w:type="paragraph" w:styleId="17">
    <w:name w:val="Body Text Indent 2"/>
    <w:basedOn w:val="1"/>
    <w:qFormat/>
    <w:uiPriority w:val="99"/>
    <w:pPr>
      <w:spacing w:after="120" w:line="480" w:lineRule="auto"/>
      <w:ind w:left="420" w:leftChars="200"/>
    </w:pPr>
  </w:style>
  <w:style w:type="paragraph" w:styleId="18">
    <w:name w:val="Balloon Text"/>
    <w:basedOn w:val="1"/>
    <w:link w:val="66"/>
    <w:qFormat/>
    <w:uiPriority w:val="0"/>
    <w:rPr>
      <w:sz w:val="18"/>
      <w:szCs w:val="18"/>
    </w:rPr>
  </w:style>
  <w:style w:type="paragraph" w:styleId="19">
    <w:name w:val="footer"/>
    <w:basedOn w:val="1"/>
    <w:link w:val="67"/>
    <w:qFormat/>
    <w:uiPriority w:val="99"/>
    <w:pPr>
      <w:tabs>
        <w:tab w:val="center" w:pos="4153"/>
        <w:tab w:val="right" w:pos="8306"/>
      </w:tabs>
    </w:pPr>
    <w:rPr>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1">
    <w:name w:val="toc 1"/>
    <w:basedOn w:val="1"/>
    <w:next w:val="1"/>
    <w:qFormat/>
    <w:uiPriority w:val="0"/>
  </w:style>
  <w:style w:type="paragraph" w:styleId="22">
    <w:name w:val="List"/>
    <w:basedOn w:val="1"/>
    <w:qFormat/>
    <w:uiPriority w:val="0"/>
    <w:pPr>
      <w:ind w:left="200" w:hanging="200" w:hangingChars="200"/>
    </w:pPr>
  </w:style>
  <w:style w:type="paragraph" w:styleId="23">
    <w:name w:val="Normal (Web)"/>
    <w:basedOn w:val="1"/>
    <w:qFormat/>
    <w:uiPriority w:val="0"/>
    <w:pPr>
      <w:spacing w:before="100" w:beforeAutospacing="1" w:after="100" w:afterAutospacing="1"/>
    </w:pPr>
    <w:rPr>
      <w:rFonts w:ascii="宋体" w:hAnsi="宋体" w:cs="宋体"/>
      <w:sz w:val="24"/>
    </w:rPr>
  </w:style>
  <w:style w:type="paragraph" w:styleId="24">
    <w:name w:val="Body Text First Indent"/>
    <w:basedOn w:val="13"/>
    <w:qFormat/>
    <w:uiPriority w:val="0"/>
    <w:pPr>
      <w:ind w:firstLine="420" w:firstLineChars="100"/>
    </w:pPr>
    <w:rPr>
      <w:sz w:val="18"/>
    </w:rPr>
  </w:style>
  <w:style w:type="paragraph" w:styleId="25">
    <w:name w:val="Body Text First Indent 2"/>
    <w:basedOn w:val="1"/>
    <w:qFormat/>
    <w:uiPriority w:val="0"/>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FollowedHyperlink"/>
    <w:basedOn w:val="28"/>
    <w:qFormat/>
    <w:uiPriority w:val="0"/>
    <w:rPr>
      <w:color w:val="000000"/>
      <w:u w:val="none"/>
    </w:rPr>
  </w:style>
  <w:style w:type="character" w:styleId="31">
    <w:name w:val="Emphasis"/>
    <w:basedOn w:val="28"/>
    <w:qFormat/>
    <w:uiPriority w:val="0"/>
  </w:style>
  <w:style w:type="character" w:styleId="32">
    <w:name w:val="Hyperlink"/>
    <w:basedOn w:val="28"/>
    <w:qFormat/>
    <w:uiPriority w:val="0"/>
    <w:rPr>
      <w:color w:val="000000"/>
      <w:u w:val="none"/>
    </w:rPr>
  </w:style>
  <w:style w:type="character" w:styleId="33">
    <w:name w:val="annotation reference"/>
    <w:semiHidden/>
    <w:qFormat/>
    <w:uiPriority w:val="0"/>
    <w:rPr>
      <w:sz w:val="21"/>
      <w:szCs w:val="21"/>
    </w:rPr>
  </w:style>
  <w:style w:type="paragraph" w:customStyle="1" w:styleId="34">
    <w:name w:val="样式 首行缩进:  2 字符1"/>
    <w:basedOn w:val="1"/>
    <w:qFormat/>
    <w:uiPriority w:val="0"/>
    <w:pPr>
      <w:spacing w:line="360" w:lineRule="auto"/>
      <w:ind w:firstLine="480" w:firstLineChars="200"/>
    </w:pPr>
    <w:rPr>
      <w:rFonts w:cs="宋体"/>
      <w:szCs w:val="20"/>
    </w:rPr>
  </w:style>
  <w:style w:type="paragraph" w:customStyle="1" w:styleId="35">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6">
    <w:name w:val="Char Char Char Char Char2 Char Char Char Char"/>
    <w:basedOn w:val="1"/>
    <w:qFormat/>
    <w:uiPriority w:val="0"/>
    <w:pPr>
      <w:spacing w:line="360" w:lineRule="auto"/>
      <w:ind w:firstLine="200" w:firstLineChars="200"/>
    </w:pPr>
  </w:style>
  <w:style w:type="paragraph" w:customStyle="1" w:styleId="3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8">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9">
    <w:name w:val="谢—正文"/>
    <w:basedOn w:val="1"/>
    <w:qFormat/>
    <w:uiPriority w:val="0"/>
    <w:pPr>
      <w:spacing w:line="500" w:lineRule="exact"/>
      <w:ind w:firstLine="200" w:firstLineChars="200"/>
    </w:pPr>
    <w:rPr>
      <w:rFonts w:eastAsia="楷体_GB2312"/>
      <w:sz w:val="28"/>
    </w:rPr>
  </w:style>
  <w:style w:type="paragraph" w:customStyle="1" w:styleId="40">
    <w:name w:val="p0"/>
    <w:basedOn w:val="1"/>
    <w:qFormat/>
    <w:uiPriority w:val="0"/>
    <w:pPr>
      <w:spacing w:line="365" w:lineRule="atLeast"/>
      <w:ind w:left="1"/>
      <w:textAlignment w:val="bottom"/>
    </w:pPr>
    <w:rPr>
      <w:sz w:val="20"/>
      <w:szCs w:val="20"/>
    </w:rPr>
  </w:style>
  <w:style w:type="paragraph" w:customStyle="1" w:styleId="41">
    <w:name w:val="表格1"/>
    <w:basedOn w:val="16"/>
    <w:next w:val="1"/>
    <w:qFormat/>
    <w:uiPriority w:val="0"/>
  </w:style>
  <w:style w:type="paragraph" w:customStyle="1" w:styleId="42">
    <w:name w:val="0正文"/>
    <w:basedOn w:val="1"/>
    <w:semiHidden/>
    <w:qFormat/>
    <w:uiPriority w:val="99"/>
    <w:pPr>
      <w:spacing w:line="360" w:lineRule="auto"/>
      <w:ind w:firstLine="720" w:firstLineChars="200"/>
    </w:pPr>
    <w:rPr>
      <w:sz w:val="24"/>
      <w:szCs w:val="24"/>
    </w:rPr>
  </w:style>
  <w:style w:type="paragraph" w:customStyle="1" w:styleId="43">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4">
    <w:name w:val="样式4"/>
    <w:basedOn w:val="13"/>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5">
    <w:name w:val="样式1"/>
    <w:basedOn w:val="9"/>
    <w:qFormat/>
    <w:uiPriority w:val="0"/>
    <w:pPr>
      <w:jc w:val="center"/>
    </w:pPr>
    <w:rPr>
      <w:sz w:val="21"/>
      <w:szCs w:val="21"/>
    </w:rPr>
  </w:style>
  <w:style w:type="paragraph" w:customStyle="1" w:styleId="46">
    <w:name w:val="图图正文"/>
    <w:basedOn w:val="1"/>
    <w:qFormat/>
    <w:uiPriority w:val="0"/>
    <w:pPr>
      <w:widowControl w:val="0"/>
      <w:spacing w:line="360" w:lineRule="auto"/>
      <w:ind w:firstLine="200" w:firstLineChars="200"/>
      <w:jc w:val="both"/>
    </w:pPr>
    <w:rPr>
      <w:kern w:val="2"/>
      <w:sz w:val="24"/>
      <w:szCs w:val="24"/>
    </w:rPr>
  </w:style>
  <w:style w:type="paragraph" w:customStyle="1" w:styleId="47">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8">
    <w:name w:val="宗兴正文"/>
    <w:basedOn w:val="1"/>
    <w:qFormat/>
    <w:uiPriority w:val="0"/>
    <w:pPr>
      <w:ind w:firstLine="200"/>
      <w:jc w:val="both"/>
    </w:pPr>
    <w:rPr>
      <w:rFonts w:ascii="宋体" w:hAnsi="宋体"/>
      <w:spacing w:val="2"/>
      <w:sz w:val="21"/>
    </w:rPr>
  </w:style>
  <w:style w:type="paragraph" w:customStyle="1" w:styleId="4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标题3"/>
    <w:basedOn w:val="7"/>
    <w:next w:val="4"/>
    <w:qFormat/>
    <w:uiPriority w:val="0"/>
    <w:pPr>
      <w:ind w:left="0" w:leftChars="0"/>
      <w:jc w:val="both"/>
    </w:pPr>
    <w:rPr>
      <w:rFonts w:ascii="宋体" w:hAnsi="宋体"/>
      <w:b/>
      <w:bCs/>
      <w:szCs w:val="24"/>
    </w:rPr>
  </w:style>
  <w:style w:type="paragraph" w:customStyle="1" w:styleId="52">
    <w:name w:val="标题2"/>
    <w:basedOn w:val="7"/>
    <w:qFormat/>
    <w:uiPriority w:val="0"/>
    <w:pPr>
      <w:spacing w:beforeLines="50" w:afterLines="50"/>
      <w:ind w:left="0" w:leftChars="0"/>
      <w:jc w:val="both"/>
    </w:pPr>
    <w:rPr>
      <w:rFonts w:ascii="宋体" w:hAnsi="宋体"/>
      <w:b/>
      <w:sz w:val="28"/>
      <w:szCs w:val="28"/>
    </w:rPr>
  </w:style>
  <w:style w:type="paragraph" w:customStyle="1" w:styleId="53">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4">
    <w:name w:val="正文表格"/>
    <w:basedOn w:val="1"/>
    <w:qFormat/>
    <w:uiPriority w:val="0"/>
    <w:pPr>
      <w:jc w:val="center"/>
    </w:pPr>
    <w:rPr>
      <w:rFonts w:eastAsia="楷体_GB2312"/>
      <w:bCs/>
      <w:sz w:val="24"/>
      <w:szCs w:val="20"/>
    </w:rPr>
  </w:style>
  <w:style w:type="paragraph" w:customStyle="1" w:styleId="55">
    <w:name w:val="Table Paragraph"/>
    <w:basedOn w:val="1"/>
    <w:qFormat/>
    <w:uiPriority w:val="0"/>
    <w:rPr>
      <w:rFonts w:ascii="Calibri" w:hAnsi="Calibri"/>
      <w:lang w:eastAsia="en-US"/>
    </w:rPr>
  </w:style>
  <w:style w:type="paragraph" w:customStyle="1" w:styleId="56">
    <w:name w:val="样式2"/>
    <w:basedOn w:val="1"/>
    <w:qFormat/>
    <w:uiPriority w:val="0"/>
    <w:pPr>
      <w:ind w:firstLine="964" w:firstLineChars="400"/>
    </w:pPr>
    <w:rPr>
      <w:rFonts w:ascii="黑体" w:eastAsia="黑体"/>
      <w:b/>
      <w:bCs/>
      <w:sz w:val="24"/>
    </w:rPr>
  </w:style>
  <w:style w:type="paragraph" w:customStyle="1" w:styleId="57">
    <w:name w:val="表"/>
    <w:basedOn w:val="22"/>
    <w:next w:val="1"/>
    <w:qFormat/>
    <w:uiPriority w:val="0"/>
    <w:pPr>
      <w:keepNext/>
      <w:keepLines/>
      <w:spacing w:line="240" w:lineRule="exact"/>
      <w:ind w:left="0" w:firstLine="0" w:firstLineChars="0"/>
      <w:jc w:val="center"/>
    </w:pPr>
  </w:style>
  <w:style w:type="character" w:customStyle="1" w:styleId="58">
    <w:name w:val="font31"/>
    <w:qFormat/>
    <w:uiPriority w:val="0"/>
    <w:rPr>
      <w:rFonts w:hint="eastAsia" w:ascii="宋体" w:hAnsi="宋体" w:eastAsia="宋体" w:cs="宋体"/>
      <w:color w:val="000000"/>
      <w:sz w:val="22"/>
      <w:szCs w:val="22"/>
      <w:u w:val="none"/>
    </w:rPr>
  </w:style>
  <w:style w:type="paragraph" w:customStyle="1" w:styleId="59">
    <w:name w:val="123正文"/>
    <w:basedOn w:val="1"/>
    <w:link w:val="60"/>
    <w:qFormat/>
    <w:uiPriority w:val="0"/>
    <w:pPr>
      <w:spacing w:line="360" w:lineRule="auto"/>
      <w:ind w:firstLine="480" w:firstLineChars="200"/>
    </w:pPr>
    <w:rPr>
      <w:color w:val="0000FF"/>
      <w:sz w:val="24"/>
      <w:lang w:val="zh-CN"/>
    </w:rPr>
  </w:style>
  <w:style w:type="character" w:customStyle="1" w:styleId="60">
    <w:name w:val="123正文 Char"/>
    <w:link w:val="59"/>
    <w:qFormat/>
    <w:uiPriority w:val="0"/>
    <w:rPr>
      <w:color w:val="0000FF"/>
      <w:sz w:val="24"/>
      <w:lang w:val="zh-CN"/>
    </w:rPr>
  </w:style>
  <w:style w:type="paragraph" w:customStyle="1" w:styleId="61">
    <w:name w:val="1.1."/>
    <w:basedOn w:val="3"/>
    <w:qFormat/>
    <w:uiPriority w:val="0"/>
    <w:pPr>
      <w:spacing w:beforeLines="50" w:afterLines="50" w:line="360" w:lineRule="auto"/>
    </w:pPr>
    <w:rPr>
      <w:color w:val="0000FF"/>
      <w:sz w:val="28"/>
      <w:szCs w:val="28"/>
    </w:rPr>
  </w:style>
  <w:style w:type="paragraph" w:customStyle="1" w:styleId="6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4">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5">
    <w:name w:val="一级aaa"/>
    <w:basedOn w:val="2"/>
    <w:qFormat/>
    <w:uiPriority w:val="0"/>
    <w:pPr>
      <w:keepNext w:val="0"/>
      <w:keepLines w:val="0"/>
      <w:widowControl w:val="0"/>
      <w:spacing w:beforeLines="100" w:afterLines="100" w:line="360" w:lineRule="auto"/>
    </w:pPr>
    <w:rPr>
      <w:kern w:val="0"/>
      <w:sz w:val="32"/>
      <w:szCs w:val="20"/>
    </w:rPr>
  </w:style>
  <w:style w:type="character" w:customStyle="1" w:styleId="66">
    <w:name w:val="批注框文本 Char"/>
    <w:basedOn w:val="28"/>
    <w:link w:val="18"/>
    <w:qFormat/>
    <w:uiPriority w:val="0"/>
    <w:rPr>
      <w:rFonts w:ascii="Tahoma" w:hAnsi="Tahoma" w:eastAsia="微软雅黑" w:cstheme="minorBidi"/>
      <w:sz w:val="18"/>
      <w:szCs w:val="18"/>
    </w:rPr>
  </w:style>
  <w:style w:type="character" w:customStyle="1" w:styleId="67">
    <w:name w:val="页脚 Char"/>
    <w:basedOn w:val="28"/>
    <w:link w:val="19"/>
    <w:qFormat/>
    <w:uiPriority w:val="99"/>
    <w:rPr>
      <w:rFonts w:ascii="Tahoma" w:hAnsi="Tahoma" w:eastAsia="微软雅黑" w:cstheme="minorBidi"/>
      <w:sz w:val="18"/>
      <w:szCs w:val="18"/>
    </w:rPr>
  </w:style>
  <w:style w:type="character" w:customStyle="1" w:styleId="68">
    <w:name w:val="文档结构图 Char"/>
    <w:basedOn w:val="28"/>
    <w:link w:val="11"/>
    <w:qFormat/>
    <w:uiPriority w:val="0"/>
    <w:rPr>
      <w:rFonts w:ascii="宋体" w:hAnsi="Tahoma" w:cstheme="minorBidi"/>
      <w:sz w:val="18"/>
      <w:szCs w:val="18"/>
    </w:rPr>
  </w:style>
  <w:style w:type="paragraph" w:customStyle="1" w:styleId="69">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70">
    <w:name w:val="1.1.1"/>
    <w:basedOn w:val="71"/>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1">
    <w:name w:val="样式3"/>
    <w:basedOn w:val="1"/>
    <w:qFormat/>
    <w:uiPriority w:val="0"/>
    <w:pPr>
      <w:spacing w:line="360" w:lineRule="auto"/>
      <w:ind w:firstLine="200" w:firstLineChars="200"/>
    </w:pPr>
    <w:rPr>
      <w:rFonts w:eastAsia="楷体_GB2312"/>
      <w:sz w:val="28"/>
      <w:szCs w:val="20"/>
    </w:rPr>
  </w:style>
  <w:style w:type="character" w:customStyle="1" w:styleId="72">
    <w:name w:val="font11"/>
    <w:basedOn w:val="28"/>
    <w:qFormat/>
    <w:uiPriority w:val="0"/>
    <w:rPr>
      <w:rFonts w:hint="eastAsia" w:ascii="宋体" w:hAnsi="宋体" w:eastAsia="宋体"/>
      <w:color w:val="000000"/>
      <w:sz w:val="21"/>
      <w:szCs w:val="21"/>
      <w:u w:val="none"/>
    </w:rPr>
  </w:style>
  <w:style w:type="paragraph" w:customStyle="1" w:styleId="73">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4">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5">
    <w:name w:val="yang正文"/>
    <w:basedOn w:val="1"/>
    <w:qFormat/>
    <w:uiPriority w:val="0"/>
    <w:pPr>
      <w:spacing w:line="360" w:lineRule="auto"/>
      <w:ind w:firstLine="480" w:firstLineChars="200"/>
    </w:pPr>
    <w:rPr>
      <w:sz w:val="24"/>
      <w:szCs w:val="24"/>
    </w:rPr>
  </w:style>
  <w:style w:type="paragraph" w:customStyle="1" w:styleId="76">
    <w:name w:val="xc正文"/>
    <w:basedOn w:val="1"/>
    <w:qFormat/>
    <w:uiPriority w:val="0"/>
    <w:pPr>
      <w:widowControl/>
      <w:autoSpaceDN w:val="0"/>
      <w:snapToGrid w:val="0"/>
      <w:spacing w:line="360" w:lineRule="auto"/>
      <w:ind w:firstLine="480" w:firstLineChars="200"/>
    </w:pPr>
    <w:rPr>
      <w:sz w:val="24"/>
    </w:rPr>
  </w:style>
  <w:style w:type="paragraph" w:customStyle="1" w:styleId="77">
    <w:name w:val="1.1"/>
    <w:basedOn w:val="3"/>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8">
    <w:name w:val="表格"/>
    <w:basedOn w:val="79"/>
    <w:next w:val="1"/>
    <w:qFormat/>
    <w:uiPriority w:val="0"/>
    <w:pPr>
      <w:tabs>
        <w:tab w:val="left" w:pos="940"/>
      </w:tabs>
      <w:autoSpaceDE w:val="0"/>
      <w:autoSpaceDN w:val="0"/>
      <w:adjustRightInd w:val="0"/>
      <w:jc w:val="center"/>
    </w:pPr>
    <w:rPr>
      <w:rFonts w:eastAsia="楷体_GB2312"/>
      <w:kern w:val="0"/>
    </w:rPr>
  </w:style>
  <w:style w:type="paragraph" w:customStyle="1" w:styleId="79">
    <w:name w:val="表题"/>
    <w:basedOn w:val="1"/>
    <w:qFormat/>
    <w:uiPriority w:val="0"/>
    <w:pPr>
      <w:tabs>
        <w:tab w:val="left" w:pos="940"/>
      </w:tabs>
      <w:snapToGrid w:val="0"/>
      <w:jc w:val="center"/>
    </w:pPr>
    <w:rPr>
      <w:rFonts w:eastAsia="黑体"/>
      <w:sz w:val="24"/>
    </w:rPr>
  </w:style>
  <w:style w:type="paragraph" w:customStyle="1" w:styleId="80">
    <w:name w:val="表格正文"/>
    <w:basedOn w:val="1"/>
    <w:qFormat/>
    <w:uiPriority w:val="0"/>
    <w:pPr>
      <w:spacing w:line="360" w:lineRule="exact"/>
      <w:jc w:val="center"/>
    </w:pPr>
    <w:rPr>
      <w:rFonts w:ascii="Arial" w:hAnsi="Arial"/>
      <w:szCs w:val="24"/>
    </w:rPr>
  </w:style>
  <w:style w:type="paragraph" w:customStyle="1" w:styleId="81">
    <w:name w:val="List Paragraph1"/>
    <w:basedOn w:val="1"/>
    <w:qFormat/>
    <w:uiPriority w:val="99"/>
    <w:pPr>
      <w:ind w:firstLine="420" w:firstLineChars="200"/>
    </w:pPr>
  </w:style>
  <w:style w:type="character" w:customStyle="1" w:styleId="82">
    <w:name w:val="znspantitle"/>
    <w:basedOn w:val="28"/>
    <w:qFormat/>
    <w:uiPriority w:val="0"/>
    <w:rPr>
      <w:b/>
      <w:bCs/>
      <w:color w:val="333333"/>
    </w:rPr>
  </w:style>
  <w:style w:type="character" w:customStyle="1" w:styleId="83">
    <w:name w:val="cur"/>
    <w:basedOn w:val="28"/>
    <w:qFormat/>
    <w:uiPriority w:val="0"/>
    <w:rPr>
      <w:color w:val="FFFFFF"/>
      <w:shd w:val="clear" w:fill="2F6B98"/>
    </w:rPr>
  </w:style>
  <w:style w:type="character" w:customStyle="1" w:styleId="84">
    <w:name w:val="radio-btn"/>
    <w:basedOn w:val="28"/>
    <w:qFormat/>
    <w:uiPriority w:val="0"/>
    <w:rPr>
      <w:sz w:val="21"/>
      <w:szCs w:val="21"/>
    </w:rPr>
  </w:style>
  <w:style w:type="character" w:customStyle="1" w:styleId="85">
    <w:name w:val="radio-btn1"/>
    <w:basedOn w:val="28"/>
    <w:qFormat/>
    <w:uiPriority w:val="0"/>
    <w:rPr>
      <w:sz w:val="24"/>
      <w:szCs w:val="24"/>
    </w:rPr>
  </w:style>
  <w:style w:type="character" w:customStyle="1" w:styleId="86">
    <w:name w:val="radio-btn2"/>
    <w:basedOn w:val="28"/>
    <w:qFormat/>
    <w:uiPriority w:val="0"/>
    <w:rPr>
      <w:sz w:val="24"/>
      <w:szCs w:val="24"/>
    </w:rPr>
  </w:style>
  <w:style w:type="character" w:customStyle="1" w:styleId="87">
    <w:name w:val="lishishuju"/>
    <w:basedOn w:val="28"/>
    <w:qFormat/>
    <w:uiPriority w:val="0"/>
    <w:rPr>
      <w:b/>
      <w:bCs/>
      <w:color w:val="000052"/>
      <w:sz w:val="24"/>
      <w:szCs w:val="24"/>
      <w:bdr w:val="single" w:color="E3E3E3" w:sz="6" w:space="0"/>
    </w:rPr>
  </w:style>
  <w:style w:type="character" w:customStyle="1" w:styleId="88">
    <w:name w:val="lable"/>
    <w:basedOn w:val="28"/>
    <w:qFormat/>
    <w:uiPriority w:val="0"/>
    <w:rPr>
      <w:sz w:val="24"/>
      <w:szCs w:val="24"/>
    </w:rPr>
  </w:style>
  <w:style w:type="paragraph" w:styleId="89">
    <w:name w:val="List Paragraph"/>
    <w:basedOn w:val="1"/>
    <w:unhideWhenUsed/>
    <w:qFormat/>
    <w:uiPriority w:val="99"/>
    <w:pPr>
      <w:ind w:firstLine="420" w:firstLineChars="200"/>
    </w:pPr>
  </w:style>
  <w:style w:type="paragraph" w:customStyle="1" w:styleId="90">
    <w:name w:val="正文模版（戴）"/>
    <w:basedOn w:val="1"/>
    <w:qFormat/>
    <w:uiPriority w:val="0"/>
    <w:pPr>
      <w:adjustRightInd w:val="0"/>
      <w:snapToGrid w:val="0"/>
      <w:spacing w:line="360" w:lineRule="auto"/>
      <w:ind w:firstLine="464" w:firstLineChars="200"/>
    </w:pPr>
    <w:rPr>
      <w:rFonts w:ascii="宋体" w:hAnsi="宋体" w:cs="宋体"/>
      <w:snapToGrid w:val="0"/>
      <w:color w:val="000000"/>
      <w:spacing w:val="-4"/>
      <w:kern w:val="0"/>
      <w:sz w:val="24"/>
    </w:rPr>
  </w:style>
  <w:style w:type="character" w:customStyle="1" w:styleId="91">
    <w:name w:val="ca-1"/>
    <w:basedOn w:val="28"/>
    <w:qFormat/>
    <w:uiPriority w:val="0"/>
  </w:style>
  <w:style w:type="paragraph" w:customStyle="1" w:styleId="92">
    <w:name w:val="啊啊啊啊正文"/>
    <w:basedOn w:val="1"/>
    <w:qFormat/>
    <w:uiPriority w:val="0"/>
    <w:pPr>
      <w:spacing w:line="360" w:lineRule="auto"/>
      <w:ind w:firstLine="200" w:firstLineChars="200"/>
    </w:pPr>
    <w:rPr>
      <w:rFonts w:ascii="宋体" w:hAnsi="宋体"/>
      <w:sz w:val="24"/>
    </w:rPr>
  </w:style>
  <w:style w:type="paragraph" w:customStyle="1" w:styleId="93">
    <w:name w:val="表正文"/>
    <w:basedOn w:val="1"/>
    <w:qFormat/>
    <w:uiPriority w:val="0"/>
    <w:pPr>
      <w:spacing w:line="360" w:lineRule="auto"/>
      <w:ind w:firstLine="200" w:firstLineChars="200"/>
    </w:pPr>
    <w:rPr>
      <w:sz w:val="24"/>
    </w:rPr>
  </w:style>
  <w:style w:type="paragraph" w:customStyle="1" w:styleId="94">
    <w:name w:val="表内容"/>
    <w:basedOn w:val="1"/>
    <w:qFormat/>
    <w:uiPriority w:val="0"/>
    <w:pPr>
      <w:widowControl/>
      <w:jc w:val="center"/>
    </w:pPr>
    <w:rPr>
      <w:kern w:val="0"/>
      <w:lang w:val="en-GB"/>
    </w:rPr>
  </w:style>
  <w:style w:type="paragraph" w:customStyle="1" w:styleId="95">
    <w:name w:val="环评表格内容"/>
    <w:basedOn w:val="1"/>
    <w:qFormat/>
    <w:uiPriority w:val="0"/>
    <w:pPr>
      <w:widowControl/>
      <w:adjustRightInd w:val="0"/>
      <w:snapToGrid w:val="0"/>
      <w:jc w:val="center"/>
    </w:pPr>
    <w:rPr>
      <w:rFonts w:ascii="宋体" w:hAnsi="宋体"/>
      <w:color w:val="000000"/>
      <w:kern w:val="21"/>
      <w:szCs w:val="21"/>
    </w:rPr>
  </w:style>
  <w:style w:type="paragraph" w:customStyle="1" w:styleId="96">
    <w:name w:val="yang2级标题"/>
    <w:basedOn w:val="1"/>
    <w:next w:val="1"/>
    <w:qFormat/>
    <w:uiPriority w:val="0"/>
    <w:pPr>
      <w:spacing w:line="360" w:lineRule="auto"/>
      <w:jc w:val="both"/>
      <w:outlineLvl w:val="1"/>
    </w:pPr>
    <w:rPr>
      <w:rFonts w:ascii="Times New Roman" w:hAnsi="Times New Roman"/>
      <w:b/>
      <w:sz w:val="28"/>
    </w:rPr>
  </w:style>
  <w:style w:type="paragraph" w:customStyle="1" w:styleId="97">
    <w:name w:val="样式 yang正文"/>
    <w:basedOn w:val="75"/>
    <w:qFormat/>
    <w:uiPriority w:val="0"/>
    <w:rPr>
      <w:szCs w:val="20"/>
    </w:rPr>
  </w:style>
  <w:style w:type="paragraph" w:customStyle="1" w:styleId="98">
    <w:name w:val="yang3级标题"/>
    <w:basedOn w:val="1"/>
    <w:next w:val="75"/>
    <w:qFormat/>
    <w:uiPriority w:val="0"/>
    <w:pPr>
      <w:spacing w:line="360" w:lineRule="auto"/>
      <w:jc w:val="both"/>
      <w:outlineLvl w:val="2"/>
    </w:pPr>
    <w:rPr>
      <w:rFonts w:ascii="Times New Roman" w:hAnsi="Times New Roman"/>
      <w:b/>
      <w:sz w:val="28"/>
    </w:rPr>
  </w:style>
  <w:style w:type="character" w:customStyle="1" w:styleId="99">
    <w:name w:val="font01"/>
    <w:basedOn w:val="2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45</Pages>
  <Words>18207</Words>
  <Characters>22756</Characters>
  <Lines>133</Lines>
  <Paragraphs>37</Paragraphs>
  <TotalTime>7</TotalTime>
  <ScaleCrop>false</ScaleCrop>
  <LinksUpToDate>false</LinksUpToDate>
  <CharactersWithSpaces>23067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绿园环保</cp:lastModifiedBy>
  <cp:lastPrinted>2022-12-20T01:50:00Z</cp:lastPrinted>
  <dcterms:modified xsi:type="dcterms:W3CDTF">2023-03-16T07:27:14Z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70EFACFE0BFE4580ADF7FE036F0E3DDC</vt:lpwstr>
  </property>
  <property fmtid="{D5CDD505-2E9C-101B-9397-08002B2CF9AE}" pid="4" name="commondata">
    <vt:lpwstr>eyJoZGlkIjoiNTExYzdhN2U1YjlhOTQ5YzY2YjEwYjYwYzNiYzI0NWQifQ==</vt:lpwstr>
  </property>
</Properties>
</file>