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imes New Roman" w:hAnsi="Times New Roman" w:eastAsia="宋体" w:cs="Times New Roman"/>
          <w:b/>
          <w:color w:val="000000" w:themeColor="text1"/>
          <w:sz w:val="52"/>
          <w:szCs w:val="52"/>
          <w:lang w:eastAsia="zh-CN"/>
          <w14:textFill>
            <w14:solidFill>
              <w14:schemeClr w14:val="tx1"/>
            </w14:solidFill>
          </w14:textFill>
        </w:rPr>
      </w:pPr>
    </w:p>
    <w:p>
      <w:pPr>
        <w:pStyle w:val="2"/>
        <w:rPr>
          <w:rFonts w:hint="eastAsia"/>
          <w:color w:val="000000" w:themeColor="text1"/>
          <w:lang w:eastAsia="zh-CN"/>
          <w14:textFill>
            <w14:solidFill>
              <w14:schemeClr w14:val="tx1"/>
            </w14:solidFill>
          </w14:textFill>
        </w:rPr>
      </w:pPr>
    </w:p>
    <w:p>
      <w:pPr>
        <w:spacing w:line="360" w:lineRule="auto"/>
        <w:jc w:val="center"/>
        <w:rPr>
          <w:rFonts w:ascii="Times New Roman" w:hAnsi="Times New Roman" w:eastAsia="宋体" w:cs="Times New Roman"/>
          <w:b/>
          <w:color w:val="000000" w:themeColor="text1"/>
          <w:sz w:val="52"/>
          <w:szCs w:val="52"/>
          <w14:textFill>
            <w14:solidFill>
              <w14:schemeClr w14:val="tx1"/>
            </w14:solidFill>
          </w14:textFill>
        </w:rPr>
      </w:pPr>
      <w:r>
        <w:rPr>
          <w:rFonts w:hint="eastAsia" w:ascii="Times New Roman" w:hAnsi="Times New Roman" w:eastAsia="宋体" w:cs="Times New Roman"/>
          <w:b/>
          <w:color w:val="000000" w:themeColor="text1"/>
          <w:sz w:val="52"/>
          <w:szCs w:val="52"/>
          <w:lang w:eastAsia="zh-CN"/>
          <w14:textFill>
            <w14:solidFill>
              <w14:schemeClr w14:val="tx1"/>
            </w14:solidFill>
          </w14:textFill>
        </w:rPr>
        <w:t>新增生物质颗粒燃料锅炉项目</w:t>
      </w:r>
      <w:r>
        <w:rPr>
          <w:rFonts w:ascii="Times New Roman" w:hAnsi="Times New Roman" w:eastAsia="宋体" w:cs="Times New Roman"/>
          <w:b/>
          <w:color w:val="000000" w:themeColor="text1"/>
          <w:sz w:val="52"/>
          <w:szCs w:val="52"/>
          <w14:textFill>
            <w14:solidFill>
              <w14:schemeClr w14:val="tx1"/>
            </w14:solidFill>
          </w14:textFill>
        </w:rPr>
        <w:t>竣工环境保护验收监测报告表</w:t>
      </w:r>
    </w:p>
    <w:p>
      <w:pPr>
        <w:jc w:val="center"/>
        <w:rPr>
          <w:rFonts w:ascii="Times New Roman" w:hAnsi="Times New Roman" w:eastAsia="宋体" w:cs="Times New Roman"/>
          <w:color w:val="000000" w:themeColor="text1"/>
          <w:sz w:val="28"/>
          <w14:textFill>
            <w14:solidFill>
              <w14:schemeClr w14:val="tx1"/>
            </w14:solidFill>
          </w14:textFill>
        </w:rPr>
      </w:pPr>
    </w:p>
    <w:p>
      <w:pPr>
        <w:pStyle w:val="23"/>
        <w:rPr>
          <w:color w:val="000000" w:themeColor="text1"/>
          <w14:textFill>
            <w14:solidFill>
              <w14:schemeClr w14:val="tx1"/>
            </w14:solidFill>
          </w14:textFill>
        </w:rPr>
      </w:pPr>
    </w:p>
    <w:p>
      <w:pPr>
        <w:jc w:val="center"/>
        <w:rPr>
          <w:rFonts w:ascii="Times New Roman" w:hAnsi="Times New Roman" w:eastAsia="宋体" w:cs="Times New Roman"/>
          <w:color w:val="000000" w:themeColor="text1"/>
          <w:sz w:val="28"/>
          <w14:textFill>
            <w14:solidFill>
              <w14:schemeClr w14:val="tx1"/>
            </w14:solidFill>
          </w14:textFill>
        </w:rPr>
      </w:pPr>
    </w:p>
    <w:p>
      <w:pPr>
        <w:jc w:val="center"/>
        <w:rPr>
          <w:rFonts w:ascii="Times New Roman" w:hAnsi="Times New Roman" w:eastAsia="宋体" w:cs="Times New Roman"/>
          <w:color w:val="000000" w:themeColor="text1"/>
          <w:sz w:val="28"/>
          <w14:textFill>
            <w14:solidFill>
              <w14:schemeClr w14:val="tx1"/>
            </w14:solidFill>
          </w14:textFill>
        </w:rPr>
      </w:pPr>
    </w:p>
    <w:p>
      <w:pPr>
        <w:pStyle w:val="23"/>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14:textFill>
            <w14:solidFill>
              <w14:schemeClr w14:val="tx1"/>
            </w14:solidFill>
          </w14:textFill>
        </w:rPr>
      </w:pPr>
    </w:p>
    <w:p>
      <w:pPr>
        <w:pStyle w:val="23"/>
        <w:ind w:firstLine="164"/>
        <w:rPr>
          <w:rFonts w:ascii="Times New Roman" w:hAnsi="Times New Roman" w:eastAsia="宋体" w:cs="Times New Roman"/>
          <w:color w:val="000000" w:themeColor="text1"/>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color w:val="000000" w:themeColor="text1"/>
          <w:sz w:val="36"/>
          <w:szCs w:val="36"/>
          <w:u w:val="single"/>
          <w14:textFill>
            <w14:solidFill>
              <w14:schemeClr w14:val="tx1"/>
            </w14:solidFill>
          </w14:textFill>
        </w:rPr>
      </w:pPr>
      <w:r>
        <w:rPr>
          <w:rFonts w:ascii="Times New Roman" w:hAnsi="Times New Roman" w:eastAsia="宋体" w:cs="Times New Roman"/>
          <w:color w:val="000000" w:themeColor="text1"/>
          <w:sz w:val="36"/>
          <w:szCs w:val="36"/>
          <w14:textFill>
            <w14:solidFill>
              <w14:schemeClr w14:val="tx1"/>
            </w14:solidFill>
          </w14:textFill>
        </w:rPr>
        <w:t>建设单位：</w:t>
      </w:r>
      <w: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福建乐华食品有限公司</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pPr>
      <w:r>
        <w:rPr>
          <w:rFonts w:ascii="Times New Roman" w:hAnsi="Times New Roman" w:eastAsia="宋体" w:cs="Times New Roman"/>
          <w:color w:val="000000" w:themeColor="text1"/>
          <w:sz w:val="36"/>
          <w:szCs w:val="36"/>
          <w14:textFill>
            <w14:solidFill>
              <w14:schemeClr w14:val="tx1"/>
            </w14:solidFill>
          </w14:textFill>
        </w:rPr>
        <w:t>编制单位：</w:t>
      </w:r>
      <w: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福建乐华食品有限公司</w:t>
      </w:r>
    </w:p>
    <w:p>
      <w:pPr>
        <w:pStyle w:val="36"/>
        <w:rPr>
          <w:rFonts w:ascii="Times New Roman" w:hAnsi="Times New Roman" w:cs="Times New Roman"/>
          <w:color w:val="000000" w:themeColor="text1"/>
          <w:sz w:val="28"/>
          <w14:textFill>
            <w14:solidFill>
              <w14:schemeClr w14:val="tx1"/>
            </w14:solidFill>
          </w14:textFill>
        </w:rPr>
      </w:pPr>
    </w:p>
    <w:p>
      <w:pPr>
        <w:jc w:val="center"/>
        <w:rPr>
          <w:rFonts w:ascii="Times New Roman" w:hAnsi="Times New Roman" w:eastAsia="宋体" w:cs="Times New Roman"/>
          <w:bCs/>
          <w:color w:val="000000" w:themeColor="text1"/>
          <w:sz w:val="32"/>
          <w:szCs w:val="32"/>
          <w14:textFill>
            <w14:solidFill>
              <w14:schemeClr w14:val="tx1"/>
            </w14:solidFill>
          </w14:textFill>
        </w:rPr>
      </w:pPr>
      <w:r>
        <w:rPr>
          <w:rFonts w:ascii="Times New Roman" w:hAnsi="Times New Roman" w:eastAsia="宋体" w:cs="Times New Roman"/>
          <w:bCs/>
          <w:color w:val="000000" w:themeColor="text1"/>
          <w:sz w:val="32"/>
          <w:szCs w:val="32"/>
          <w14:textFill>
            <w14:solidFill>
              <w14:schemeClr w14:val="tx1"/>
            </w14:solidFill>
          </w14:textFill>
        </w:rPr>
        <w:t>202</w:t>
      </w:r>
      <w:r>
        <w:rPr>
          <w:rFonts w:hint="eastAsia" w:ascii="Times New Roman" w:hAnsi="Times New Roman" w:eastAsia="宋体" w:cs="Times New Roman"/>
          <w:bCs/>
          <w:color w:val="000000" w:themeColor="text1"/>
          <w:sz w:val="32"/>
          <w:szCs w:val="32"/>
          <w:lang w:val="en-US" w:eastAsia="zh-CN"/>
          <w14:textFill>
            <w14:solidFill>
              <w14:schemeClr w14:val="tx1"/>
            </w14:solidFill>
          </w14:textFill>
        </w:rPr>
        <w:t>2</w:t>
      </w:r>
      <w:r>
        <w:rPr>
          <w:rFonts w:ascii="Times New Roman" w:hAnsi="Times New Roman" w:eastAsia="宋体" w:cs="Times New Roman"/>
          <w:bCs/>
          <w:color w:val="000000" w:themeColor="text1"/>
          <w:sz w:val="32"/>
          <w:szCs w:val="32"/>
          <w14:textFill>
            <w14:solidFill>
              <w14:schemeClr w14:val="tx1"/>
            </w14:solidFill>
          </w14:textFill>
        </w:rPr>
        <w:t>年</w:t>
      </w:r>
      <w:r>
        <w:rPr>
          <w:rFonts w:hint="eastAsia" w:ascii="Times New Roman" w:hAnsi="Times New Roman" w:eastAsia="宋体" w:cs="Times New Roman"/>
          <w:bCs/>
          <w:color w:val="000000" w:themeColor="text1"/>
          <w:sz w:val="32"/>
          <w:szCs w:val="32"/>
          <w:lang w:val="en-US" w:eastAsia="zh-CN"/>
          <w14:textFill>
            <w14:solidFill>
              <w14:schemeClr w14:val="tx1"/>
            </w14:solidFill>
          </w14:textFill>
        </w:rPr>
        <w:t>9</w:t>
      </w:r>
      <w:r>
        <w:rPr>
          <w:rFonts w:ascii="Times New Roman" w:hAnsi="Times New Roman" w:eastAsia="宋体" w:cs="Times New Roman"/>
          <w:bCs/>
          <w:color w:val="000000" w:themeColor="text1"/>
          <w:sz w:val="32"/>
          <w:szCs w:val="32"/>
          <w14:textFill>
            <w14:solidFill>
              <w14:schemeClr w14:val="tx1"/>
            </w14:solidFill>
          </w14:textFill>
        </w:rPr>
        <w:t>月</w:t>
      </w:r>
    </w:p>
    <w:p>
      <w:pPr>
        <w:spacing w:line="360" w:lineRule="auto"/>
        <w:rPr>
          <w:rFonts w:ascii="Times New Roman" w:hAnsi="Times New Roman" w:eastAsia="宋体" w:cs="Times New Roman"/>
          <w:bCs/>
          <w:color w:val="000000" w:themeColor="text1"/>
          <w:sz w:val="28"/>
          <w14:textFill>
            <w14:solidFill>
              <w14:schemeClr w14:val="tx1"/>
            </w14:solidFill>
          </w14:textFill>
        </w:rPr>
        <w:sectPr>
          <w:footerReference r:id="rId3" w:type="default"/>
          <w:pgSz w:w="11906" w:h="16838"/>
          <w:pgMar w:top="1440" w:right="1440" w:bottom="1440" w:left="1701" w:header="709" w:footer="709" w:gutter="0"/>
          <w:pgBorders>
            <w:top w:val="none" w:sz="0" w:space="0"/>
            <w:left w:val="none" w:sz="0" w:space="0"/>
            <w:bottom w:val="none" w:sz="0" w:space="0"/>
            <w:right w:val="none" w:sz="0" w:space="0"/>
          </w:pgBorders>
          <w:pgNumType w:start="1"/>
          <w:cols w:space="0" w:num="1"/>
          <w:docGrid w:linePitch="360" w:charSpace="0"/>
        </w:sectPr>
      </w:pPr>
    </w:p>
    <w:p>
      <w:pPr>
        <w:spacing w:line="360" w:lineRule="auto"/>
        <w:rPr>
          <w:rFonts w:hint="eastAsia" w:ascii="Times New Roman" w:hAnsi="Times New Roman" w:eastAsia="宋体" w:cs="Times New Roman"/>
          <w:bCs/>
          <w:color w:val="000000" w:themeColor="text1"/>
          <w:sz w:val="28"/>
          <w:lang w:val="en-US" w:eastAsia="zh-CN"/>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建设</w:t>
      </w:r>
      <w:r>
        <w:rPr>
          <w:rFonts w:ascii="Times New Roman" w:hAnsi="Times New Roman" w:eastAsia="宋体" w:cs="Times New Roman"/>
          <w:bCs/>
          <w:color w:val="000000" w:themeColor="text1"/>
          <w:sz w:val="28"/>
          <w:szCs w:val="28"/>
          <w14:textFill>
            <w14:solidFill>
              <w14:schemeClr w14:val="tx1"/>
            </w14:solidFill>
          </w14:textFill>
        </w:rPr>
        <w:t>单</w:t>
      </w:r>
      <w:r>
        <w:rPr>
          <w:rFonts w:ascii="Times New Roman" w:hAnsi="Times New Roman" w:eastAsia="宋体" w:cs="Times New Roman"/>
          <w:bCs/>
          <w:color w:val="000000" w:themeColor="text1"/>
          <w:sz w:val="28"/>
          <w14:textFill>
            <w14:solidFill>
              <w14:schemeClr w14:val="tx1"/>
            </w14:solidFill>
          </w14:textFill>
        </w:rPr>
        <w:t xml:space="preserve">位法人代表: </w:t>
      </w:r>
      <w:r>
        <w:rPr>
          <w:rFonts w:hint="eastAsia" w:ascii="Times New Roman" w:hAnsi="Times New Roman" w:eastAsia="宋体" w:cs="Times New Roman"/>
          <w:bCs/>
          <w:color w:val="000000" w:themeColor="text1"/>
          <w:sz w:val="28"/>
          <w:lang w:eastAsia="zh-CN"/>
          <w14:textFill>
            <w14:solidFill>
              <w14:schemeClr w14:val="tx1"/>
            </w14:solidFill>
          </w14:textFill>
        </w:rPr>
        <w:t>沈永炜</w:t>
      </w:r>
    </w:p>
    <w:p>
      <w:pPr>
        <w:spacing w:line="360" w:lineRule="auto"/>
        <w:rPr>
          <w:rFonts w:ascii="Times New Roman" w:hAnsi="Times New Roman" w:eastAsia="宋体" w:cs="Times New Roman"/>
          <w:bCs/>
          <w:color w:val="000000" w:themeColor="text1"/>
          <w:sz w:val="28"/>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     </w:t>
      </w:r>
    </w:p>
    <w:p>
      <w:pPr>
        <w:spacing w:line="360" w:lineRule="auto"/>
        <w:rPr>
          <w:rFonts w:hint="eastAsia" w:ascii="Times New Roman" w:hAnsi="Times New Roman" w:eastAsia="宋体" w:cs="Times New Roman"/>
          <w:bCs/>
          <w:color w:val="000000" w:themeColor="text1"/>
          <w:sz w:val="28"/>
          <w:lang w:eastAsia="zh-CN"/>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编制单位法人代表: </w:t>
      </w:r>
      <w:r>
        <w:rPr>
          <w:rFonts w:hint="eastAsia" w:ascii="Times New Roman" w:hAnsi="Times New Roman" w:eastAsia="宋体" w:cs="Times New Roman"/>
          <w:bCs/>
          <w:color w:val="000000" w:themeColor="text1"/>
          <w:sz w:val="28"/>
          <w:lang w:eastAsia="zh-CN"/>
          <w14:textFill>
            <w14:solidFill>
              <w14:schemeClr w14:val="tx1"/>
            </w14:solidFill>
          </w14:textFill>
        </w:rPr>
        <w:t>沈永炜</w:t>
      </w:r>
    </w:p>
    <w:p>
      <w:pPr>
        <w:spacing w:line="360" w:lineRule="auto"/>
        <w:rPr>
          <w:rFonts w:ascii="Times New Roman" w:hAnsi="Times New Roman" w:eastAsia="宋体" w:cs="Times New Roman"/>
          <w:bCs/>
          <w:color w:val="000000" w:themeColor="text1"/>
          <w:sz w:val="28"/>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        </w:t>
      </w:r>
    </w:p>
    <w:p>
      <w:pPr>
        <w:spacing w:line="360" w:lineRule="auto"/>
        <w:rPr>
          <w:rFonts w:hint="eastAsia" w:ascii="Times New Roman" w:hAnsi="Times New Roman" w:eastAsia="宋体" w:cs="Times New Roman"/>
          <w:bCs/>
          <w:color w:val="000000" w:themeColor="text1"/>
          <w:sz w:val="28"/>
          <w:lang w:val="en-US" w:eastAsia="zh-CN"/>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项目负责人: </w:t>
      </w:r>
      <w:r>
        <w:rPr>
          <w:rFonts w:hint="eastAsia" w:ascii="Times New Roman" w:hAnsi="Times New Roman" w:eastAsia="宋体" w:cs="Times New Roman"/>
          <w:bCs/>
          <w:color w:val="000000" w:themeColor="text1"/>
          <w:sz w:val="28"/>
          <w:lang w:eastAsia="zh-CN"/>
          <w14:textFill>
            <w14:solidFill>
              <w14:schemeClr w14:val="tx1"/>
            </w14:solidFill>
          </w14:textFill>
        </w:rPr>
        <w:t>吴波丹</w:t>
      </w:r>
    </w:p>
    <w:p>
      <w:pPr>
        <w:spacing w:line="360" w:lineRule="auto"/>
        <w:rPr>
          <w:rFonts w:hint="eastAsia" w:ascii="Times New Roman" w:hAnsi="Times New Roman" w:eastAsia="宋体" w:cs="Times New Roman"/>
          <w:bCs/>
          <w:color w:val="000000" w:themeColor="text1"/>
          <w:sz w:val="28"/>
          <w:lang w:val="en-US" w:eastAsia="zh-CN"/>
          <w14:textFill>
            <w14:solidFill>
              <w14:schemeClr w14:val="tx1"/>
            </w14:solidFill>
          </w14:textFill>
        </w:rPr>
      </w:pPr>
    </w:p>
    <w:p>
      <w:pPr>
        <w:spacing w:line="360" w:lineRule="auto"/>
        <w:rPr>
          <w:rFonts w:hint="eastAsia" w:ascii="Times New Roman" w:hAnsi="Times New Roman" w:eastAsia="宋体" w:cs="Times New Roman"/>
          <w:bCs/>
          <w:color w:val="000000" w:themeColor="text1"/>
          <w:sz w:val="28"/>
          <w:lang w:val="en-US" w:eastAsia="zh-CN"/>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填表人：</w:t>
      </w:r>
      <w:r>
        <w:rPr>
          <w:rFonts w:hint="eastAsia" w:ascii="Times New Roman" w:hAnsi="Times New Roman" w:eastAsia="宋体" w:cs="Times New Roman"/>
          <w:bCs/>
          <w:color w:val="000000" w:themeColor="text1"/>
          <w:sz w:val="28"/>
          <w:lang w:eastAsia="zh-CN"/>
          <w14:textFill>
            <w14:solidFill>
              <w14:schemeClr w14:val="tx1"/>
            </w14:solidFill>
          </w14:textFill>
        </w:rPr>
        <w:t>吴波丹</w:t>
      </w:r>
    </w:p>
    <w:p>
      <w:pPr>
        <w:spacing w:line="360" w:lineRule="auto"/>
        <w:rPr>
          <w:rFonts w:ascii="Times New Roman" w:hAnsi="Times New Roman" w:eastAsia="宋体" w:cs="Times New Roman"/>
          <w:color w:val="000000" w:themeColor="text1"/>
          <w:sz w:val="28"/>
          <w14:textFill>
            <w14:solidFill>
              <w14:schemeClr w14:val="tx1"/>
            </w14:solidFill>
          </w14:textFill>
        </w:rPr>
      </w:pPr>
      <w:r>
        <w:rPr>
          <w:rFonts w:ascii="Times New Roman" w:hAnsi="Times New Roman" w:eastAsia="宋体" w:cs="Times New Roman"/>
          <w:color w:val="000000" w:themeColor="text1"/>
          <w:sz w:val="28"/>
          <w14:textFill>
            <w14:solidFill>
              <w14:schemeClr w14:val="tx1"/>
            </w14:solidFill>
          </w14:textFill>
        </w:rPr>
        <w:tab/>
      </w: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spacing w:line="360" w:lineRule="auto"/>
        <w:rPr>
          <w:rFonts w:ascii="Times New Roman" w:hAnsi="Times New Roman" w:eastAsia="宋体" w:cs="Times New Roman"/>
          <w:color w:val="000000" w:themeColor="text1"/>
          <w:sz w:val="28"/>
          <w14:textFill>
            <w14:solidFill>
              <w14:schemeClr w14:val="tx1"/>
            </w14:solidFill>
          </w14:textFill>
        </w:rPr>
      </w:pPr>
    </w:p>
    <w:tbl>
      <w:tblPr>
        <w:tblStyle w:val="26"/>
        <w:tblW w:w="9510" w:type="dxa"/>
        <w:tblInd w:w="-25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00"/>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建设单位：</w:t>
            </w:r>
          </w:p>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福建乐华食品有限公司</w:t>
            </w:r>
          </w:p>
        </w:tc>
        <w:tc>
          <w:tcPr>
            <w:tcW w:w="471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编制单位：</w:t>
            </w:r>
          </w:p>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福建乐华食品有限公司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电话:18150679962</w:t>
            </w:r>
          </w:p>
        </w:tc>
        <w:tc>
          <w:tcPr>
            <w:tcW w:w="4710" w:type="dxa"/>
            <w:vAlign w:val="top"/>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电话:18150679962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传真:     /</w:t>
            </w:r>
          </w:p>
        </w:tc>
        <w:tc>
          <w:tcPr>
            <w:tcW w:w="4710" w:type="dxa"/>
            <w:vAlign w:val="top"/>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传真: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邮编:363399</w:t>
            </w:r>
          </w:p>
        </w:tc>
        <w:tc>
          <w:tcPr>
            <w:tcW w:w="4710" w:type="dxa"/>
            <w:vAlign w:val="top"/>
          </w:tcPr>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邮编:</w:t>
            </w:r>
            <w:bookmarkStart w:id="0" w:name="邮政编码"/>
            <w:r>
              <w:rPr>
                <w:rFonts w:hint="eastAsia" w:ascii="Times New Roman" w:hAnsi="Times New Roman" w:eastAsia="宋体" w:cs="Times New Roman"/>
                <w:color w:val="000000" w:themeColor="text1"/>
                <w:sz w:val="28"/>
                <w:lang w:val="en-US" w:eastAsia="zh-CN"/>
                <w14:textFill>
                  <w14:solidFill>
                    <w14:schemeClr w14:val="tx1"/>
                  </w14:solidFill>
                </w14:textFill>
              </w:rPr>
              <w:t>363399</w:t>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地址: 福建省漳州市云霄县云陵工业开发区</w:t>
            </w:r>
          </w:p>
        </w:tc>
        <w:tc>
          <w:tcPr>
            <w:tcW w:w="4710" w:type="dxa"/>
            <w:vAlign w:val="top"/>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地址: 福建省漳州市云霄县云陵工业开发区</w:t>
            </w:r>
          </w:p>
        </w:tc>
      </w:tr>
    </w:tbl>
    <w:p>
      <w:pPr>
        <w:outlineLvl w:val="0"/>
        <w:rPr>
          <w:rFonts w:ascii="Times New Roman" w:hAnsi="Times New Roman" w:eastAsia="宋体" w:cs="Times New Roman"/>
          <w:b/>
          <w:color w:val="0000FF"/>
          <w:sz w:val="21"/>
          <w:szCs w:val="21"/>
        </w:rPr>
      </w:pPr>
    </w:p>
    <w:p>
      <w:pPr>
        <w:outlineLvl w:val="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表一</w:t>
      </w:r>
    </w:p>
    <w:tbl>
      <w:tblPr>
        <w:tblStyle w:val="25"/>
        <w:tblW w:w="892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2441"/>
        <w:gridCol w:w="1755"/>
        <w:gridCol w:w="1273"/>
        <w:gridCol w:w="765"/>
        <w:gridCol w:w="1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0"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建设项目名称</w:t>
            </w:r>
          </w:p>
        </w:tc>
        <w:tc>
          <w:tcPr>
            <w:tcW w:w="7269" w:type="dxa"/>
            <w:gridSpan w:val="5"/>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新增生物质颗粒燃料锅炉项目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建设单位名称</w:t>
            </w:r>
          </w:p>
        </w:tc>
        <w:tc>
          <w:tcPr>
            <w:tcW w:w="7269" w:type="dxa"/>
            <w:gridSpan w:val="5"/>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福建乐华食品有限公司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建设项目性质</w:t>
            </w:r>
          </w:p>
        </w:tc>
        <w:tc>
          <w:tcPr>
            <w:tcW w:w="7269" w:type="dxa"/>
            <w:gridSpan w:val="5"/>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建设地点</w:t>
            </w:r>
          </w:p>
        </w:tc>
        <w:tc>
          <w:tcPr>
            <w:tcW w:w="7269" w:type="dxa"/>
            <w:gridSpan w:val="5"/>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福建省漳州市云霄县云陵工业开发区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主要产品名称</w:t>
            </w:r>
          </w:p>
        </w:tc>
        <w:tc>
          <w:tcPr>
            <w:tcW w:w="7269" w:type="dxa"/>
            <w:gridSpan w:val="5"/>
            <w:vAlign w:val="center"/>
          </w:tcPr>
          <w:p>
            <w:pPr>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蒸汽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0"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建设规模</w:t>
            </w:r>
          </w:p>
        </w:tc>
        <w:tc>
          <w:tcPr>
            <w:tcW w:w="7269" w:type="dxa"/>
            <w:gridSpan w:val="5"/>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zh-CN"/>
                <w14:textFill>
                  <w14:solidFill>
                    <w14:schemeClr w14:val="tx1"/>
                  </w14:solidFill>
                </w14:textFill>
              </w:rPr>
              <w:t>新建1台6t/h生物质颗粒燃料锅炉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实际产能</w:t>
            </w:r>
          </w:p>
        </w:tc>
        <w:tc>
          <w:tcPr>
            <w:tcW w:w="7269" w:type="dxa"/>
            <w:gridSpan w:val="5"/>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zh-CN"/>
                <w14:textFill>
                  <w14:solidFill>
                    <w14:schemeClr w14:val="tx1"/>
                  </w14:solidFill>
                </w14:textFill>
              </w:rPr>
              <w:t>新建1台6t/h生物质颗粒燃料锅炉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建设项目环评时间</w:t>
            </w:r>
          </w:p>
        </w:tc>
        <w:tc>
          <w:tcPr>
            <w:tcW w:w="2441" w:type="dxa"/>
            <w:vAlign w:val="center"/>
          </w:tcPr>
          <w:p>
            <w:pPr>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201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r>
              <w:rPr>
                <w:rFonts w:hint="eastAsia" w:ascii="Times New Roman" w:hAnsi="Times New Roman" w:eastAsia="宋体" w:cs="Times New Roman"/>
                <w:color w:val="000000" w:themeColor="text1"/>
                <w:sz w:val="21"/>
                <w:szCs w:val="21"/>
                <w:lang w:eastAsia="zh-CN"/>
                <w14:textFill>
                  <w14:solidFill>
                    <w14:schemeClr w14:val="tx1"/>
                  </w14:solidFill>
                </w14:textFill>
              </w:rPr>
              <w:t>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r>
              <w:rPr>
                <w:rFonts w:hint="eastAsia" w:ascii="Times New Roman" w:hAnsi="Times New Roman" w:eastAsia="宋体" w:cs="Times New Roman"/>
                <w:color w:val="000000" w:themeColor="text1"/>
                <w:sz w:val="21"/>
                <w:szCs w:val="21"/>
                <w:lang w:eastAsia="zh-CN"/>
                <w14:textFill>
                  <w14:solidFill>
                    <w14:schemeClr w14:val="tx1"/>
                  </w14:solidFill>
                </w14:textFill>
              </w:rPr>
              <w:t>月</w:t>
            </w:r>
          </w:p>
        </w:tc>
        <w:tc>
          <w:tcPr>
            <w:tcW w:w="17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开工建设时间</w:t>
            </w:r>
          </w:p>
        </w:tc>
        <w:tc>
          <w:tcPr>
            <w:tcW w:w="3073" w:type="dxa"/>
            <w:gridSpan w:val="3"/>
            <w:vAlign w:val="center"/>
          </w:tcPr>
          <w:p>
            <w:pPr>
              <w:spacing w:line="240" w:lineRule="auto"/>
              <w:jc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2020年1月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竣工时间</w:t>
            </w:r>
          </w:p>
        </w:tc>
        <w:tc>
          <w:tcPr>
            <w:tcW w:w="2441" w:type="dxa"/>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2021年1月</w:t>
            </w:r>
          </w:p>
        </w:tc>
        <w:tc>
          <w:tcPr>
            <w:tcW w:w="1755" w:type="dxa"/>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验收现场监测</w:t>
            </w:r>
          </w:p>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时间</w:t>
            </w:r>
          </w:p>
        </w:tc>
        <w:tc>
          <w:tcPr>
            <w:tcW w:w="3073" w:type="dxa"/>
            <w:gridSpan w:val="3"/>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20220329-20220330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1"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环评报告表</w:t>
            </w:r>
          </w:p>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审批部门</w:t>
            </w:r>
          </w:p>
        </w:tc>
        <w:tc>
          <w:tcPr>
            <w:tcW w:w="2441" w:type="dxa"/>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漳州市云霄生态环境局</w:t>
            </w:r>
          </w:p>
        </w:tc>
        <w:tc>
          <w:tcPr>
            <w:tcW w:w="1755" w:type="dxa"/>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环评报告表</w:t>
            </w:r>
          </w:p>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编制单位</w:t>
            </w:r>
          </w:p>
        </w:tc>
        <w:tc>
          <w:tcPr>
            <w:tcW w:w="3073" w:type="dxa"/>
            <w:gridSpan w:val="3"/>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湖南大自然环保科技有限公司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环保设施设计单位</w:t>
            </w:r>
          </w:p>
        </w:tc>
        <w:tc>
          <w:tcPr>
            <w:tcW w:w="2441"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自建</w:t>
            </w:r>
          </w:p>
        </w:tc>
        <w:tc>
          <w:tcPr>
            <w:tcW w:w="17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环保设施施工</w:t>
            </w:r>
          </w:p>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单位</w:t>
            </w:r>
          </w:p>
        </w:tc>
        <w:tc>
          <w:tcPr>
            <w:tcW w:w="3073" w:type="dxa"/>
            <w:gridSpan w:val="3"/>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自建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投资总概算</w:t>
            </w:r>
          </w:p>
        </w:tc>
        <w:tc>
          <w:tcPr>
            <w:tcW w:w="2441"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万元</w:t>
            </w:r>
          </w:p>
        </w:tc>
        <w:tc>
          <w:tcPr>
            <w:tcW w:w="17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环保投资总概算</w:t>
            </w:r>
          </w:p>
        </w:tc>
        <w:tc>
          <w:tcPr>
            <w:tcW w:w="1273" w:type="dxa"/>
            <w:vAlign w:val="center"/>
          </w:tcPr>
          <w:p>
            <w:pPr>
              <w:spacing w:line="240" w:lineRule="auto"/>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76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比例</w:t>
            </w:r>
          </w:p>
        </w:tc>
        <w:tc>
          <w:tcPr>
            <w:tcW w:w="1035" w:type="dxa"/>
            <w:vAlign w:val="center"/>
          </w:tcPr>
          <w:p>
            <w:pPr>
              <w:spacing w:line="240" w:lineRule="auto"/>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实际总概算</w:t>
            </w:r>
          </w:p>
        </w:tc>
        <w:tc>
          <w:tcPr>
            <w:tcW w:w="2441"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万元</w:t>
            </w:r>
          </w:p>
        </w:tc>
        <w:tc>
          <w:tcPr>
            <w:tcW w:w="17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环保投资</w:t>
            </w:r>
          </w:p>
        </w:tc>
        <w:tc>
          <w:tcPr>
            <w:tcW w:w="1273" w:type="dxa"/>
            <w:vAlign w:val="center"/>
          </w:tcPr>
          <w:p>
            <w:pPr>
              <w:spacing w:line="240" w:lineRule="auto"/>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76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比例</w:t>
            </w:r>
          </w:p>
        </w:tc>
        <w:tc>
          <w:tcPr>
            <w:tcW w:w="1035" w:type="dxa"/>
            <w:vAlign w:val="center"/>
          </w:tcPr>
          <w:p>
            <w:pPr>
              <w:spacing w:line="240" w:lineRule="auto"/>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35" w:hRule="atLeast"/>
        </w:trPr>
        <w:tc>
          <w:tcPr>
            <w:tcW w:w="1655" w:type="dxa"/>
            <w:vAlign w:val="center"/>
          </w:tcPr>
          <w:p>
            <w:pPr>
              <w:spacing w:line="240" w:lineRule="auto"/>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验收监测依据</w:t>
            </w:r>
          </w:p>
        </w:tc>
        <w:tc>
          <w:tcPr>
            <w:tcW w:w="7269" w:type="dxa"/>
            <w:gridSpan w:val="5"/>
            <w:vAlign w:val="center"/>
          </w:tcPr>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1、《建设项目竣工环境保护验收暂行办法》国环规环评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2017</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4号；</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2、《建设项目环境保护管理条例》修订（第682号令）；</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3、《建设项目竣工环境保护验收技术指南污染影响类》；</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4、《中华人民共和国环境保护法》，2014 年4 月24 日修订；</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5、《中华人民共和国环境影响评价法》，201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14:textFill>
                  <w14:solidFill>
                    <w14:schemeClr w14:val="tx1"/>
                  </w14:solidFill>
                </w14:textFill>
              </w:rPr>
              <w:t xml:space="preserve"> 年修订；</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6、《中华人民共和国大气污染防治法》，201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14:textFill>
                  <w14:solidFill>
                    <w14:schemeClr w14:val="tx1"/>
                  </w14:solidFill>
                </w14:textFill>
              </w:rPr>
              <w:t xml:space="preserve"> 年修订；</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7、《中华人民共和国环境噪声污染防治法》，</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w:t>
            </w:r>
            <w:r>
              <w:rPr>
                <w:rFonts w:hint="default" w:ascii="Times New Roman" w:hAnsi="Times New Roman" w:eastAsia="宋体" w:cs="Times New Roman"/>
                <w:color w:val="000000" w:themeColor="text1"/>
                <w:sz w:val="21"/>
                <w:szCs w:val="21"/>
                <w14:textFill>
                  <w14:solidFill>
                    <w14:schemeClr w14:val="tx1"/>
                  </w14:solidFill>
                </w14:textFill>
              </w:rPr>
              <w:t>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修订</w:t>
            </w:r>
            <w:r>
              <w:rPr>
                <w:rFonts w:hint="default" w:ascii="Times New Roman" w:hAnsi="Times New Roman" w:eastAsia="宋体" w:cs="Times New Roman"/>
                <w:color w:val="000000" w:themeColor="text1"/>
                <w:sz w:val="21"/>
                <w:szCs w:val="21"/>
                <w14:textFill>
                  <w14:solidFill>
                    <w14:schemeClr w14:val="tx1"/>
                  </w14:solidFill>
                </w14:textFill>
              </w:rPr>
              <w:t>；</w:t>
            </w:r>
          </w:p>
          <w:p>
            <w:pPr>
              <w:pStyle w:val="12"/>
              <w:spacing w:line="240" w:lineRule="auto"/>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14:textFill>
                  <w14:solidFill>
                    <w14:schemeClr w14:val="tx1"/>
                  </w14:solidFill>
                </w14:textFill>
              </w:rPr>
              <w:t>《中华人民共和国</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水环境</w:t>
            </w:r>
            <w:r>
              <w:rPr>
                <w:rFonts w:hint="default" w:ascii="Times New Roman" w:hAnsi="Times New Roman" w:eastAsia="宋体" w:cs="Times New Roman"/>
                <w:color w:val="000000" w:themeColor="text1"/>
                <w:sz w:val="21"/>
                <w:szCs w:val="21"/>
                <w14:textFill>
                  <w14:solidFill>
                    <w14:schemeClr w14:val="tx1"/>
                  </w14:solidFill>
                </w14:textFill>
              </w:rPr>
              <w:t>污染防治法》，</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2017</w:t>
            </w:r>
            <w:r>
              <w:rPr>
                <w:rFonts w:hint="default" w:ascii="Times New Roman" w:hAnsi="Times New Roman" w:eastAsia="宋体" w:cs="Times New Roman"/>
                <w:color w:val="000000" w:themeColor="text1"/>
                <w:sz w:val="21"/>
                <w:szCs w:val="21"/>
                <w14:textFill>
                  <w14:solidFill>
                    <w14:schemeClr w14:val="tx1"/>
                  </w14:solidFill>
                </w14:textFill>
              </w:rPr>
              <w:t>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修订</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14:textFill>
                  <w14:solidFill>
                    <w14:schemeClr w14:val="tx1"/>
                  </w14:solidFill>
                </w14:textFill>
              </w:rPr>
              <w:t>、《中华人民共和国固体废物污染环境防治法》，</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2020</w:t>
            </w:r>
            <w:r>
              <w:rPr>
                <w:rFonts w:hint="default" w:ascii="Times New Roman" w:hAnsi="Times New Roman" w:eastAsia="宋体" w:cs="Times New Roman"/>
                <w:color w:val="000000" w:themeColor="text1"/>
                <w:sz w:val="21"/>
                <w:szCs w:val="21"/>
                <w14:textFill>
                  <w14:solidFill>
                    <w14:schemeClr w14:val="tx1"/>
                  </w14:solidFill>
                </w14:textFill>
              </w:rPr>
              <w:t xml:space="preserve"> 年修订；</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、《中华人民共和国清洁生产促进法》，2012 年修正；</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、《产业结构调整指导目录（201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14:textFill>
                  <w14:solidFill>
                    <w14:schemeClr w14:val="tx1"/>
                  </w14:solidFill>
                </w14:textFill>
              </w:rPr>
              <w:t>年本）》（201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14:textFill>
                  <w14:solidFill>
                    <w14:schemeClr w14:val="tx1"/>
                  </w14:solidFill>
                </w14:textFill>
              </w:rPr>
              <w:t xml:space="preserve"> 年修正）；</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、《福建省环境保护条例》，2012 年3 月31 日实施。</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eastAsia="zh-CN"/>
                <w14:textFill>
                  <w14:solidFill>
                    <w14:schemeClr w14:val="tx1"/>
                  </w14:solidFill>
                </w14:textFill>
              </w:rPr>
              <w:t>新增生物质颗粒燃料锅炉项目</w:t>
            </w:r>
            <w:r>
              <w:rPr>
                <w:rFonts w:hint="default" w:ascii="Times New Roman" w:hAnsi="Times New Roman" w:eastAsia="宋体" w:cs="Times New Roman"/>
                <w:color w:val="000000" w:themeColor="text1"/>
                <w:sz w:val="21"/>
                <w:szCs w:val="21"/>
                <w14:textFill>
                  <w14:solidFill>
                    <w14:schemeClr w14:val="tx1"/>
                  </w14:solidFill>
                </w14:textFill>
              </w:rPr>
              <w:t>环境影响报告表》；</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漳州市云霄生态环境局</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eastAsia="zh-CN"/>
                <w14:textFill>
                  <w14:solidFill>
                    <w14:schemeClr w14:val="tx1"/>
                  </w14:solidFill>
                </w14:textFill>
              </w:rPr>
              <w:t>新增生物质颗粒燃料锅炉项目</w:t>
            </w:r>
            <w:r>
              <w:rPr>
                <w:rFonts w:hint="default" w:ascii="Times New Roman" w:hAnsi="Times New Roman" w:eastAsia="宋体" w:cs="Times New Roman"/>
                <w:color w:val="000000" w:themeColor="text1"/>
                <w:sz w:val="21"/>
                <w:szCs w:val="21"/>
                <w14:textFill>
                  <w14:solidFill>
                    <w14:schemeClr w14:val="tx1"/>
                  </w14:solidFill>
                </w14:textFill>
              </w:rPr>
              <w:t>环境影响评价报告表》的批复；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00" w:hRule="atLeast"/>
        </w:trPr>
        <w:tc>
          <w:tcPr>
            <w:tcW w:w="1655"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验收监测评价标准、标号、级别、限值</w:t>
            </w:r>
          </w:p>
        </w:tc>
        <w:tc>
          <w:tcPr>
            <w:tcW w:w="7269" w:type="dxa"/>
            <w:gridSpan w:val="5"/>
            <w:vAlign w:val="center"/>
          </w:tcPr>
          <w:p>
            <w:pPr>
              <w:pStyle w:val="2"/>
              <w:numPr>
                <w:ilvl w:val="0"/>
                <w:numId w:val="1"/>
              </w:numPr>
              <w:spacing w:line="360" w:lineRule="auto"/>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《锅炉大气污染物排放标准》GB13271-2014表2的燃煤锅炉排放控制要求，即：</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颗粒</w:t>
            </w:r>
            <w:r>
              <w:rPr>
                <w:rFonts w:hint="eastAsia" w:ascii="Times New Roman" w:hAnsi="Times New Roman" w:eastAsia="Times New Roman" w:cs="Times New Roman"/>
                <w:color w:val="000000" w:themeColor="text1"/>
                <w:sz w:val="21"/>
                <w:szCs w:val="21"/>
                <w:shd w:val="clear" w:color="auto" w:fill="auto"/>
                <w:lang w:val="en-US" w:eastAsia="zh-CN"/>
                <w14:textFill>
                  <w14:solidFill>
                    <w14:schemeClr w14:val="tx1"/>
                  </w14:solidFill>
                </w14:textFill>
              </w:rPr>
              <w:t>物</w:t>
            </w:r>
            <w:r>
              <w:rPr>
                <w:rFonts w:hint="default" w:ascii="Times New Roman" w:hAnsi="Times New Roman" w:eastAsia="Times New Roman" w:cs="Times New Roman"/>
                <w:color w:val="000000" w:themeColor="text1"/>
                <w:sz w:val="21"/>
                <w:szCs w:val="21"/>
                <w:shd w:val="clear" w:color="auto" w:fill="auto"/>
                <w:lang w:val="en-US" w:eastAsia="zh-CN"/>
                <w14:textFill>
                  <w14:solidFill>
                    <w14:schemeClr w14:val="tx1"/>
                  </w14:solidFill>
                </w14:textFill>
              </w:rPr>
              <w:t>≤</w:t>
            </w:r>
            <w:r>
              <w:rPr>
                <w:rFonts w:hint="eastAsia" w:ascii="Times New Roman" w:hAnsi="Times New Roman" w:eastAsia="Times New Roman" w:cs="Times New Roman"/>
                <w:color w:val="000000" w:themeColor="text1"/>
                <w:sz w:val="21"/>
                <w:szCs w:val="21"/>
                <w:shd w:val="clear" w:color="auto" w:fill="auto"/>
                <w:lang w:val="en-US" w:eastAsia="zh-CN"/>
                <w14:textFill>
                  <w14:solidFill>
                    <w14:schemeClr w14:val="tx1"/>
                  </w14:solidFill>
                </w14:textFill>
              </w:rPr>
              <w:t>5</w:t>
            </w:r>
            <w:r>
              <w:rPr>
                <w:rFonts w:hint="default" w:ascii="Times New Roman" w:hAnsi="Times New Roman" w:eastAsia="Times New Roman" w:cs="Times New Roman"/>
                <w:color w:val="000000" w:themeColor="text1"/>
                <w:sz w:val="21"/>
                <w:szCs w:val="21"/>
                <w:shd w:val="clear" w:color="auto" w:fill="auto"/>
                <w:lang w:val="en-US" w:eastAsia="zh-CN"/>
                <w14:textFill>
                  <w14:solidFill>
                    <w14:schemeClr w14:val="tx1"/>
                  </w14:solidFill>
                </w14:textFill>
              </w:rPr>
              <w:t>0</w:t>
            </w:r>
            <w:r>
              <w:rPr>
                <w:rFonts w:hint="default" w:ascii="Times New Roman" w:hAnsi="Times New Roman" w:eastAsia="Times New Roman" w:cs="Times New Roman"/>
                <w:color w:val="000000" w:themeColor="text1"/>
                <w:sz w:val="21"/>
                <w:szCs w:val="21"/>
                <w:shd w:val="clear" w:color="auto" w:fill="auto"/>
                <w14:textFill>
                  <w14:solidFill>
                    <w14:schemeClr w14:val="tx1"/>
                  </w14:solidFill>
                </w14:textFill>
              </w:rPr>
              <w:t>mg/m</w:t>
            </w:r>
            <w:r>
              <w:rPr>
                <w:rFonts w:hint="default" w:ascii="Times New Roman" w:hAnsi="Times New Roman" w:eastAsia="Times New Roman" w:cs="Times New Roman"/>
                <w:color w:val="000000" w:themeColor="text1"/>
                <w:position w:val="7"/>
                <w:sz w:val="13"/>
                <w:szCs w:val="13"/>
                <w:shd w:val="clear" w:color="auto" w:fill="auto"/>
                <w14:textFill>
                  <w14:solidFill>
                    <w14:schemeClr w14:val="tx1"/>
                  </w14:solidFill>
                </w14:textFill>
              </w:rPr>
              <w:t>3</w:t>
            </w:r>
            <w:r>
              <w:rPr>
                <w:rFonts w:hint="default" w:ascii="Times New Roman" w:hAnsi="Times New Roman" w:eastAsia="宋体" w:cs="Times New Roman"/>
                <w:bCs/>
                <w:color w:val="000000" w:themeColor="text1"/>
                <w:sz w:val="21"/>
                <w:szCs w:val="21"/>
                <w:shd w:val="clear" w:color="auto" w:fill="auto"/>
                <w:lang w:eastAsia="zh-CN"/>
                <w14:textFill>
                  <w14:solidFill>
                    <w14:schemeClr w14:val="tx1"/>
                  </w14:solidFill>
                </w14:textFill>
              </w:rPr>
              <w:t>；</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二氧化</w:t>
            </w:r>
            <w:r>
              <w:rPr>
                <w:rFonts w:hint="eastAsia" w:ascii="Times New Roman" w:hAnsi="Times New Roman" w:eastAsia="Times New Roman" w:cs="Times New Roman"/>
                <w:color w:val="000000" w:themeColor="text1"/>
                <w:sz w:val="21"/>
                <w:szCs w:val="21"/>
                <w:shd w:val="clear" w:color="auto" w:fill="auto"/>
                <w:lang w:val="en-US" w:eastAsia="zh-CN"/>
                <w14:textFill>
                  <w14:solidFill>
                    <w14:schemeClr w14:val="tx1"/>
                  </w14:solidFill>
                </w14:textFill>
              </w:rPr>
              <w:t>硫</w:t>
            </w:r>
            <w:r>
              <w:rPr>
                <w:rFonts w:hint="default" w:ascii="Times New Roman" w:hAnsi="Times New Roman" w:eastAsia="Times New Roman" w:cs="Times New Roman"/>
                <w:color w:val="000000" w:themeColor="text1"/>
                <w:sz w:val="21"/>
                <w:szCs w:val="21"/>
                <w:shd w:val="clear" w:color="auto" w:fill="auto"/>
                <w14:textFill>
                  <w14:solidFill>
                    <w14:schemeClr w14:val="tx1"/>
                  </w14:solidFill>
                </w14:textFill>
              </w:rPr>
              <w:t>≤</w:t>
            </w:r>
            <w:r>
              <w:rPr>
                <w:rFonts w:hint="eastAsia" w:ascii="Times New Roman" w:hAnsi="Times New Roman" w:eastAsia="Times New Roman" w:cs="Times New Roman"/>
                <w:color w:val="000000" w:themeColor="text1"/>
                <w:sz w:val="21"/>
                <w:szCs w:val="21"/>
                <w:shd w:val="clear" w:color="auto" w:fill="auto"/>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0</w:t>
            </w:r>
            <w:r>
              <w:rPr>
                <w:rFonts w:hint="default" w:ascii="Times New Roman" w:hAnsi="Times New Roman" w:eastAsia="Times New Roman" w:cs="Times New Roman"/>
                <w:color w:val="000000" w:themeColor="text1"/>
                <w:sz w:val="21"/>
                <w:szCs w:val="21"/>
                <w:shd w:val="clear" w:color="auto" w:fill="auto"/>
                <w14:textFill>
                  <w14:solidFill>
                    <w14:schemeClr w14:val="tx1"/>
                  </w14:solidFill>
                </w14:textFill>
              </w:rPr>
              <w:t>0mg/m</w:t>
            </w:r>
            <w:r>
              <w:rPr>
                <w:rFonts w:hint="default" w:ascii="Times New Roman" w:hAnsi="Times New Roman" w:eastAsia="Times New Roman" w:cs="Times New Roman"/>
                <w:color w:val="000000" w:themeColor="text1"/>
                <w:position w:val="7"/>
                <w:sz w:val="13"/>
                <w:szCs w:val="13"/>
                <w:shd w:val="clear" w:color="auto" w:fill="auto"/>
                <w14:textFill>
                  <w14:solidFill>
                    <w14:schemeClr w14:val="tx1"/>
                  </w14:solidFill>
                </w14:textFill>
              </w:rPr>
              <w:t>3</w:t>
            </w:r>
            <w:r>
              <w:rPr>
                <w:rFonts w:hint="default" w:ascii="Times New Roman" w:hAnsi="Times New Roman" w:eastAsia="宋体" w:cs="Times New Roman"/>
                <w:bCs/>
                <w:color w:val="000000" w:themeColor="text1"/>
                <w:sz w:val="21"/>
                <w:szCs w:val="21"/>
                <w:shd w:val="clear" w:color="auto" w:fill="auto"/>
                <w:lang w:eastAsia="zh-CN"/>
                <w14:textFill>
                  <w14:solidFill>
                    <w14:schemeClr w14:val="tx1"/>
                  </w14:solidFill>
                </w14:textFill>
              </w:rPr>
              <w:t>；</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氮氧化物</w:t>
            </w:r>
            <w:r>
              <w:rPr>
                <w:rFonts w:hint="default" w:ascii="Times New Roman" w:hAnsi="Times New Roman" w:eastAsia="Times New Roman" w:cs="Times New Roman"/>
                <w:color w:val="000000" w:themeColor="text1"/>
                <w:sz w:val="21"/>
                <w:szCs w:val="21"/>
                <w:shd w:val="clear" w:color="auto" w:fill="auto"/>
                <w14:textFill>
                  <w14:solidFill>
                    <w14:schemeClr w14:val="tx1"/>
                  </w14:solidFill>
                </w14:textFill>
              </w:rPr>
              <w:t>≤</w:t>
            </w:r>
            <w:r>
              <w:rPr>
                <w:rFonts w:hint="eastAsia" w:ascii="Times New Roman" w:hAnsi="Times New Roman" w:eastAsia="Times New Roman" w:cs="Times New Roman"/>
                <w:color w:val="000000" w:themeColor="text1"/>
                <w:sz w:val="21"/>
                <w:szCs w:val="21"/>
                <w:shd w:val="clear" w:color="auto" w:fill="auto"/>
                <w:lang w:val="en-US" w:eastAsia="zh-CN"/>
                <w14:textFill>
                  <w14:solidFill>
                    <w14:schemeClr w14:val="tx1"/>
                  </w14:solidFill>
                </w14:textFill>
              </w:rPr>
              <w:t>50</w:t>
            </w:r>
            <w:r>
              <w:rPr>
                <w:rFonts w:hint="default" w:ascii="Times New Roman" w:hAnsi="Times New Roman" w:eastAsia="Times New Roman" w:cs="Times New Roman"/>
                <w:color w:val="000000" w:themeColor="text1"/>
                <w:sz w:val="21"/>
                <w:szCs w:val="21"/>
                <w:shd w:val="clear" w:color="auto" w:fill="auto"/>
                <w14:textFill>
                  <w14:solidFill>
                    <w14:schemeClr w14:val="tx1"/>
                  </w14:solidFill>
                </w14:textFill>
              </w:rPr>
              <w:t>0mg/m</w:t>
            </w:r>
            <w:r>
              <w:rPr>
                <w:rFonts w:hint="default" w:ascii="Times New Roman" w:hAnsi="Times New Roman" w:eastAsia="Times New Roman" w:cs="Times New Roman"/>
                <w:color w:val="000000" w:themeColor="text1"/>
                <w:position w:val="7"/>
                <w:sz w:val="13"/>
                <w:szCs w:val="13"/>
                <w:shd w:val="clear" w:color="auto" w:fill="auto"/>
                <w14:textFill>
                  <w14:solidFill>
                    <w14:schemeClr w14:val="tx1"/>
                  </w14:solidFill>
                </w14:textFill>
              </w:rPr>
              <w:t>3</w:t>
            </w:r>
          </w:p>
          <w:p>
            <w:pPr>
              <w:adjustRightInd w:val="0"/>
              <w:snapToGrid w:val="0"/>
              <w:spacing w:line="360" w:lineRule="auto"/>
              <w:jc w:val="both"/>
              <w:rPr>
                <w:rFonts w:hint="eastAsia" w:eastAsia="微软雅黑"/>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《工业企业厂界环境噪声排放标准》（GB12348-2008）中的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类标准</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昼间≤</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65</w:t>
            </w:r>
            <w:r>
              <w:rPr>
                <w:rFonts w:hint="default" w:ascii="Times New Roman" w:hAnsi="Times New Roman" w:eastAsia="宋体" w:cs="Times New Roman"/>
                <w:bCs/>
                <w:color w:val="000000" w:themeColor="text1"/>
                <w:sz w:val="21"/>
                <w:szCs w:val="21"/>
                <w14:textFill>
                  <w14:solidFill>
                    <w14:schemeClr w14:val="tx1"/>
                  </w14:solidFill>
                </w14:textFill>
              </w:rPr>
              <w:t>dB（A）</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夜间≤55dB（A）</w:t>
            </w:r>
          </w:p>
        </w:tc>
      </w:tr>
    </w:tbl>
    <w:p>
      <w:pPr>
        <w:outlineLvl w:val="0"/>
        <w:rPr>
          <w:rFonts w:ascii="Times New Roman" w:hAnsi="Times New Roman" w:eastAsia="宋体" w:cs="Times New Roman"/>
          <w:color w:val="0000FF"/>
          <w:sz w:val="21"/>
          <w:szCs w:val="21"/>
        </w:rPr>
        <w:sectPr>
          <w:footerReference r:id="rId4" w:type="default"/>
          <w:pgSz w:w="11906" w:h="16838"/>
          <w:pgMar w:top="1440" w:right="1440" w:bottom="1440" w:left="1701" w:header="709" w:footer="709" w:gutter="0"/>
          <w:pgBorders>
            <w:top w:val="none" w:sz="0" w:space="0"/>
            <w:left w:val="none" w:sz="0" w:space="0"/>
            <w:bottom w:val="none" w:sz="0" w:space="0"/>
            <w:right w:val="none" w:sz="0" w:space="0"/>
          </w:pgBorders>
          <w:pgNumType w:start="1"/>
          <w:cols w:space="0" w:num="1"/>
          <w:docGrid w:linePitch="360" w:charSpace="0"/>
        </w:sect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表二</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9" w:hRule="atLeast"/>
        </w:trPr>
        <w:tc>
          <w:tcPr>
            <w:tcW w:w="5000" w:type="pct"/>
          </w:tcPr>
          <w:p>
            <w:pPr>
              <w:widowControl/>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工程建设内容： </w:t>
            </w:r>
          </w:p>
          <w:p>
            <w:pPr>
              <w:widowControl/>
              <w:numPr>
                <w:ilvl w:val="0"/>
                <w:numId w:val="2"/>
              </w:numPr>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项目概况</w:t>
            </w:r>
          </w:p>
          <w:p>
            <w:pPr>
              <w:pStyle w:val="12"/>
              <w:keepNext w:val="0"/>
              <w:keepLines w:val="0"/>
              <w:pageBreakBefore w:val="0"/>
              <w:widowControl w:val="0"/>
              <w:kinsoku/>
              <w:wordWrap/>
              <w:overflowPunct/>
              <w:topLinePunct w:val="0"/>
              <w:autoSpaceDE/>
              <w:autoSpaceDN/>
              <w:bidi w:val="0"/>
              <w:adjustRightInd w:val="0"/>
              <w:snapToGrid w:val="0"/>
              <w:spacing w:line="360" w:lineRule="auto"/>
              <w:ind w:right="0" w:firstLine="448" w:firstLineChars="200"/>
              <w:jc w:val="left"/>
              <w:textAlignment w:val="auto"/>
              <w:rPr>
                <w:rFonts w:hint="default" w:ascii="Times New Roman" w:hAnsi="Times New Roman" w:eastAsia="宋体" w:cs="Times New Roman"/>
                <w:color w:val="0000FF"/>
                <w:sz w:val="24"/>
                <w:szCs w:val="24"/>
                <w:vertAlign w:val="baseline"/>
                <w:lang w:val="en-US" w:eastAsia="zh-CN"/>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福建乐华食品有限公司（原为福建华味亨食品有限公司，于2014年1月变更为福建乐华食品有限公司）位于</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福建省漳州市云霄县云陵工业开发区</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主要从事蜜饯生产，于2012年6月委托蚌埠市环境影响评价中心编制《蜜饯生产项目环境影响报告表》，于2013年8月21日通过云霄县环境保护局审批，云环审[2013]52号，乐华公司于2017年1月通过云霄县环境保护局环保设施验收，云环验收[2017]7号，公司现设有一台2t/h的燃生物质颗粒蒸汽锅炉，由于每日生产线启动时热量需求较大，会出现蒸汽用量“供不应求”的现象，乐华公司拟新增投资100万元建设新增生物质颗粒燃料锅炉项目（简称“本项目”），在现有锅炉旁边（西侧）增设1台6t/h的燃生物质颗粒蒸汽锅炉，占地面积100m2，云霄县发展和改革局以</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闽发改备[2019]E080</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141</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号</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同意项目建设。</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根据《中华人民共和国环境保护法》、《中华人民共和国环境影响评价法》和《建设项目环境保护管理条例》等有关环保法律、法规，</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福建乐华食品有限公司</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需进行环境影响评价。于</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2019年11月</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委</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湖南大自然环保科技有限公司</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编制《</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新增生物质颗粒燃料锅炉项目</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环境影响报告表》，并于</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2020年1月13日</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通过</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漳州市云霄生态环境局</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审批，批复编号为：</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云环审【2020】2号</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本项目实际总投资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100</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万元，环保投资10万元，实际设置</w:t>
            </w:r>
            <w:r>
              <w:rPr>
                <w:rFonts w:hint="eastAsia" w:ascii="Times New Roman" w:hAnsi="Times New Roman" w:eastAsia="宋体" w:cs="Times New Roman"/>
                <w:color w:val="000000" w:themeColor="text1"/>
                <w:sz w:val="24"/>
                <w:szCs w:val="24"/>
                <w:vertAlign w:val="baseline"/>
                <w:lang w:val="zh-CN" w:eastAsia="zh-CN"/>
                <w14:textFill>
                  <w14:solidFill>
                    <w14:schemeClr w14:val="tx1"/>
                  </w14:solidFill>
                </w14:textFill>
              </w:rPr>
              <w:t>新建1台6t/h生物质颗粒燃料锅炉</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，年工作天数300天，每天工作8小时。</w:t>
            </w:r>
          </w:p>
          <w:p>
            <w:pPr>
              <w:pStyle w:val="12"/>
              <w:widowControl w:val="0"/>
              <w:spacing w:before="11" w:line="355" w:lineRule="auto"/>
              <w:ind w:right="113" w:firstLine="448" w:firstLineChars="200"/>
              <w:jc w:val="left"/>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本项目位于福建省漳州市云霄县云陵工业开发区，项目北侧为空地；西侧、南侧均为山美溪，东侧为空地。</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本项目于2020年1月开工建设，2021年1月竣工，目前本项目已全部建成。根据《建设项目环境保护管理条例》和《建设项目竣</w:t>
            </w:r>
            <w:r>
              <w:rPr>
                <w:rFonts w:ascii="Times New Roman" w:hAnsi="Times New Roman" w:eastAsia="宋体" w:cs="Times New Roman"/>
                <w:color w:val="000000" w:themeColor="text1"/>
                <w:sz w:val="24"/>
                <w:szCs w:val="24"/>
                <w14:textFill>
                  <w14:solidFill>
                    <w14:schemeClr w14:val="tx1"/>
                  </w14:solidFill>
                </w14:textFill>
              </w:rPr>
              <w:t>工环境保护验收技术指南污染影响类》等法律法规文件的要求，公司依据国家有关法规文件、技术标准及经审批后的本项目环境影响报告表并结合现场实际情况制定了本项目的环境保护验收监测方案，并于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29</w:t>
            </w:r>
            <w:r>
              <w:rPr>
                <w:rFonts w:hint="eastAsia" w:ascii="Times New Roman" w:hAnsi="Times New Roman" w:eastAsia="宋体" w:cs="Times New Roman"/>
                <w:color w:val="000000" w:themeColor="text1"/>
                <w:sz w:val="24"/>
                <w:szCs w:val="24"/>
                <w:lang w:eastAsia="zh-CN"/>
                <w14:textFill>
                  <w14:solidFill>
                    <w14:schemeClr w14:val="tx1"/>
                  </w14:solidFill>
                </w14:textFill>
              </w:rPr>
              <w:t>日至202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30</w:t>
            </w:r>
            <w:r>
              <w:rPr>
                <w:rFonts w:hint="eastAsia" w:ascii="Times New Roman" w:hAnsi="Times New Roman" w:eastAsia="宋体" w:cs="Times New Roman"/>
                <w:color w:val="000000" w:themeColor="text1"/>
                <w:sz w:val="24"/>
                <w:szCs w:val="24"/>
                <w:lang w:eastAsia="zh-CN"/>
                <w14:textFill>
                  <w14:solidFill>
                    <w14:schemeClr w14:val="tx1"/>
                  </w14:solidFill>
                </w14:textFill>
              </w:rPr>
              <w:t>日</w:t>
            </w:r>
            <w:r>
              <w:rPr>
                <w:rFonts w:ascii="Times New Roman" w:hAnsi="Times New Roman" w:eastAsia="宋体" w:cs="Times New Roman"/>
                <w:color w:val="000000" w:themeColor="text1"/>
                <w:sz w:val="24"/>
                <w:szCs w:val="24"/>
                <w14:textFill>
                  <w14:solidFill>
                    <w14:schemeClr w14:val="tx1"/>
                  </w14:solidFill>
                </w14:textFill>
              </w:rPr>
              <w:t>委托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厦门华厦学苑检测有限公司对</w:t>
            </w:r>
            <w:r>
              <w:rPr>
                <w:rFonts w:ascii="Times New Roman" w:hAnsi="Times New Roman" w:eastAsia="宋体" w:cs="Times New Roman"/>
                <w:color w:val="000000" w:themeColor="text1"/>
                <w:sz w:val="24"/>
                <w:szCs w:val="24"/>
                <w14:textFill>
                  <w14:solidFill>
                    <w14:schemeClr w14:val="tx1"/>
                  </w14:solidFill>
                </w14:textFill>
              </w:rPr>
              <w:t>本项目开展竣工环境保护验收监测，根据现场监测情况、样品监测分析结果及现场调查情况，编制</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竣工环境保护</w:t>
            </w:r>
            <w:r>
              <w:rPr>
                <w:rFonts w:ascii="Times New Roman" w:hAnsi="Times New Roman" w:eastAsia="宋体" w:cs="Times New Roman"/>
                <w:color w:val="000000" w:themeColor="text1"/>
                <w:sz w:val="24"/>
                <w:szCs w:val="24"/>
                <w14:textFill>
                  <w14:solidFill>
                    <w14:schemeClr w14:val="tx1"/>
                  </w14:solidFill>
                </w14:textFill>
              </w:rPr>
              <w:t>验收监测报告表。</w:t>
            </w:r>
          </w:p>
          <w:p>
            <w:pPr>
              <w:pStyle w:val="36"/>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具体建设内容见下表</w:t>
            </w:r>
            <w:r>
              <w:rPr>
                <w:rFonts w:hint="eastAsia" w:ascii="Times New Roman" w:hAnsi="Times New Roman" w:cs="Times New Roman"/>
                <w:color w:val="000000" w:themeColor="text1"/>
                <w14:textFill>
                  <w14:solidFill>
                    <w14:schemeClr w14:val="tx1"/>
                  </w14:solidFill>
                </w14:textFill>
              </w:rPr>
              <w:t>2-1</w:t>
            </w:r>
            <w:r>
              <w:rPr>
                <w:rFonts w:ascii="Times New Roman" w:hAnsi="Times New Roman" w:cs="Times New Roman"/>
                <w:color w:val="000000" w:themeColor="text1"/>
                <w14:textFill>
                  <w14:solidFill>
                    <w14:schemeClr w14:val="tx1"/>
                  </w14:solidFill>
                </w14:textFill>
              </w:rPr>
              <w:t>：</w:t>
            </w:r>
          </w:p>
          <w:p>
            <w:pPr>
              <w:pStyle w:val="36"/>
              <w:spacing w:line="360" w:lineRule="auto"/>
              <w:ind w:firstLine="480" w:firstLineChars="200"/>
              <w:jc w:val="both"/>
              <w:rPr>
                <w:rFonts w:ascii="Times New Roman" w:hAnsi="Times New Roman" w:cs="Times New Roman"/>
                <w:color w:val="0000FF"/>
              </w:rPr>
            </w:pPr>
          </w:p>
          <w:p>
            <w:pPr>
              <w:pStyle w:val="36"/>
              <w:spacing w:line="360" w:lineRule="auto"/>
              <w:ind w:firstLine="480" w:firstLineChars="200"/>
              <w:jc w:val="both"/>
              <w:rPr>
                <w:rFonts w:ascii="Times New Roman" w:hAnsi="Times New Roman" w:cs="Times New Roman"/>
                <w:color w:val="0000FF"/>
              </w:rPr>
            </w:pPr>
          </w:p>
          <w:p>
            <w:pPr>
              <w:widowControl/>
              <w:numPr>
                <w:ilvl w:val="0"/>
                <w:numId w:val="2"/>
              </w:numPr>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项目建设内容</w:t>
            </w:r>
          </w:p>
          <w:p>
            <w:pPr>
              <w:pStyle w:val="24"/>
              <w:widowControl w:val="0"/>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 xml:space="preserve">表2-1 </w:t>
            </w:r>
            <w:r>
              <w:rPr>
                <w:rFonts w:ascii="Times New Roman" w:hAnsi="Times New Roman" w:eastAsia="宋体" w:cs="Times New Roman"/>
                <w:b/>
                <w:bCs/>
                <w:color w:val="000000" w:themeColor="text1"/>
                <w:sz w:val="21"/>
                <w:szCs w:val="21"/>
                <w14:textFill>
                  <w14:solidFill>
                    <w14:schemeClr w14:val="tx1"/>
                  </w14:solidFill>
                </w14:textFill>
              </w:rPr>
              <w:t>项目建设内容</w:t>
            </w:r>
            <w:r>
              <w:rPr>
                <w:rFonts w:hint="eastAsia" w:ascii="Times New Roman" w:hAnsi="Times New Roman" w:eastAsia="宋体" w:cs="Times New Roman"/>
                <w:b/>
                <w:bCs/>
                <w:color w:val="000000" w:themeColor="text1"/>
                <w:sz w:val="21"/>
                <w:szCs w:val="21"/>
                <w14:textFill>
                  <w14:solidFill>
                    <w14:schemeClr w14:val="tx1"/>
                  </w14:solidFill>
                </w14:textFill>
              </w:rPr>
              <w:t>一览表</w:t>
            </w:r>
          </w:p>
          <w:tbl>
            <w:tblPr>
              <w:tblStyle w:val="25"/>
              <w:tblW w:w="4996"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37"/>
              <w:gridCol w:w="1615"/>
              <w:gridCol w:w="4491"/>
              <w:gridCol w:w="149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3" w:hRule="exact"/>
                <w:tblHeader/>
              </w:trPr>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工程类别</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组成</w:t>
                  </w:r>
                </w:p>
              </w:tc>
              <w:tc>
                <w:tcPr>
                  <w:tcW w:w="25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内容</w:t>
                  </w:r>
                </w:p>
              </w:tc>
              <w:tc>
                <w:tcPr>
                  <w:tcW w:w="8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5" w:hRule="exact"/>
              </w:trPr>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锅炉房</w:t>
                  </w:r>
                </w:p>
              </w:tc>
              <w:tc>
                <w:tcPr>
                  <w:tcW w:w="25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单层，钢结构，</w:t>
                  </w:r>
                  <w:r>
                    <w:rPr>
                      <w:rFonts w:hint="default" w:ascii="Times New Roman" w:hAnsi="Times New Roman" w:eastAsia="宋体" w:cs="Times New Roman"/>
                      <w:color w:val="auto"/>
                      <w:sz w:val="21"/>
                      <w:szCs w:val="21"/>
                      <w:lang w:eastAsia="zh-CN"/>
                    </w:rPr>
                    <w:t>占地</w:t>
                  </w:r>
                  <w:r>
                    <w:rPr>
                      <w:rFonts w:hint="default" w:ascii="Times New Roman" w:hAnsi="Times New Roman" w:eastAsia="宋体" w:cs="Times New Roman"/>
                      <w:color w:val="auto"/>
                      <w:sz w:val="21"/>
                      <w:szCs w:val="21"/>
                    </w:rPr>
                    <w:t>面积</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00m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；主要布置1台</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t/h生物质燃料锅炉</w:t>
                  </w:r>
                </w:p>
              </w:tc>
              <w:tc>
                <w:tcPr>
                  <w:tcW w:w="8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exact"/>
              </w:trPr>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储运工程</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原料</w:t>
                  </w:r>
                  <w:r>
                    <w:rPr>
                      <w:rFonts w:hint="default" w:ascii="Times New Roman" w:hAnsi="Times New Roman" w:eastAsia="宋体" w:cs="Times New Roman"/>
                      <w:color w:val="auto"/>
                      <w:sz w:val="21"/>
                      <w:szCs w:val="21"/>
                    </w:rPr>
                    <w:t>仓库</w:t>
                  </w:r>
                </w:p>
              </w:tc>
              <w:tc>
                <w:tcPr>
                  <w:tcW w:w="25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单层，钢结构，建筑面积</w:t>
                  </w:r>
                  <w:r>
                    <w:rPr>
                      <w:rFonts w:hint="default"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8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依托原有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exact"/>
              </w:trPr>
              <w:tc>
                <w:tcPr>
                  <w:tcW w:w="65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给水系统</w:t>
                  </w:r>
                </w:p>
              </w:tc>
              <w:tc>
                <w:tcPr>
                  <w:tcW w:w="25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由市政供水</w:t>
                  </w:r>
                </w:p>
              </w:tc>
              <w:tc>
                <w:tcPr>
                  <w:tcW w:w="8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依托原有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exact"/>
              </w:trPr>
              <w:tc>
                <w:tcPr>
                  <w:tcW w:w="65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电力</w:t>
                  </w:r>
                </w:p>
              </w:tc>
              <w:tc>
                <w:tcPr>
                  <w:tcW w:w="25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区域电网供应</w:t>
                  </w:r>
                </w:p>
              </w:tc>
              <w:tc>
                <w:tcPr>
                  <w:tcW w:w="8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依托原有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9" w:hRule="exact"/>
              </w:trPr>
              <w:tc>
                <w:tcPr>
                  <w:tcW w:w="65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w:t>
                  </w:r>
                </w:p>
              </w:tc>
              <w:tc>
                <w:tcPr>
                  <w:tcW w:w="25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公路运输为主，全部委托当地专业运输单位承运</w:t>
                  </w:r>
                </w:p>
              </w:tc>
              <w:tc>
                <w:tcPr>
                  <w:tcW w:w="8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依托原有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5" w:hRule="exact"/>
              </w:trPr>
              <w:tc>
                <w:tcPr>
                  <w:tcW w:w="65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25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袋式除尘</w:t>
                  </w:r>
                  <w:r>
                    <w:rPr>
                      <w:rFonts w:hint="default" w:ascii="Times New Roman" w:hAnsi="Times New Roman" w:eastAsia="宋体" w:cs="Times New Roman"/>
                      <w:color w:val="auto"/>
                      <w:sz w:val="21"/>
                      <w:szCs w:val="21"/>
                      <w:lang w:val="en-US" w:eastAsia="zh-CN"/>
                    </w:rPr>
                    <w:t>+碱液喷淋+</w:t>
                  </w:r>
                  <w:r>
                    <w:rPr>
                      <w:rFonts w:hint="default" w:ascii="Times New Roman" w:hAnsi="Times New Roman" w:eastAsia="宋体" w:cs="Times New Roman"/>
                      <w:color w:val="auto"/>
                      <w:sz w:val="21"/>
                      <w:szCs w:val="21"/>
                    </w:rPr>
                    <w:t>排气筒</w:t>
                  </w:r>
                  <w:r>
                    <w:rPr>
                      <w:rFonts w:hint="default" w:ascii="Times New Roman" w:hAnsi="Times New Roman" w:eastAsia="宋体" w:cs="Times New Roman"/>
                      <w:color w:val="auto"/>
                      <w:sz w:val="21"/>
                      <w:szCs w:val="21"/>
                      <w:lang w:val="en-US" w:eastAsia="zh-CN"/>
                    </w:rPr>
                    <w:t>35</w:t>
                  </w:r>
                  <w:r>
                    <w:rPr>
                      <w:rFonts w:hint="default" w:ascii="Times New Roman" w:hAnsi="Times New Roman" w:eastAsia="宋体" w:cs="Times New Roman"/>
                      <w:color w:val="auto"/>
                      <w:sz w:val="21"/>
                      <w:szCs w:val="21"/>
                    </w:rPr>
                    <w:t>m</w:t>
                  </w:r>
                </w:p>
              </w:tc>
              <w:tc>
                <w:tcPr>
                  <w:tcW w:w="8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03" w:hRule="exact"/>
              </w:trPr>
              <w:tc>
                <w:tcPr>
                  <w:tcW w:w="65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5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厂墙隔声、距离衰减</w:t>
                  </w:r>
                </w:p>
              </w:tc>
              <w:tc>
                <w:tcPr>
                  <w:tcW w:w="8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exact"/>
              </w:trPr>
              <w:tc>
                <w:tcPr>
                  <w:tcW w:w="65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固体废物</w:t>
                  </w:r>
                </w:p>
              </w:tc>
              <w:tc>
                <w:tcPr>
                  <w:tcW w:w="25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设置一般固废储存间</w:t>
                  </w:r>
                </w:p>
              </w:tc>
              <w:tc>
                <w:tcPr>
                  <w:tcW w:w="8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依托原有</w:t>
                  </w:r>
                </w:p>
              </w:tc>
            </w:tr>
          </w:tbl>
          <w:p>
            <w:pPr>
              <w:pStyle w:val="24"/>
              <w:widowControl w:val="0"/>
              <w:rPr>
                <w:rFonts w:hint="eastAsia" w:ascii="Times New Roman" w:hAnsi="Times New Roman" w:eastAsia="宋体" w:cs="Times New Roman"/>
                <w:b/>
                <w:bCs/>
                <w:color w:val="000000" w:themeColor="text1"/>
                <w:sz w:val="21"/>
                <w:szCs w:val="21"/>
                <w14:textFill>
                  <w14:solidFill>
                    <w14:schemeClr w14:val="tx1"/>
                  </w14:solidFill>
                </w14:textFill>
              </w:rPr>
            </w:pPr>
          </w:p>
          <w:p>
            <w:pPr>
              <w:pStyle w:val="36"/>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 xml:space="preserve">表2-2 </w:t>
            </w:r>
            <w:r>
              <w:rPr>
                <w:rFonts w:ascii="Times New Roman" w:hAnsi="Times New Roman" w:cs="Times New Roman"/>
                <w:b/>
                <w:bCs/>
                <w:color w:val="000000" w:themeColor="text1"/>
                <w:sz w:val="21"/>
                <w:szCs w:val="21"/>
                <w14:textFill>
                  <w14:solidFill>
                    <w14:schemeClr w14:val="tx1"/>
                  </w14:solidFill>
                </w14:textFill>
              </w:rPr>
              <w:t>项目</w:t>
            </w:r>
            <w:r>
              <w:rPr>
                <w:rFonts w:hint="eastAsia" w:ascii="Times New Roman" w:hAnsi="Times New Roman" w:cs="Times New Roman"/>
                <w:b/>
                <w:bCs/>
                <w:color w:val="000000" w:themeColor="text1"/>
                <w:sz w:val="21"/>
                <w:szCs w:val="21"/>
                <w14:textFill>
                  <w14:solidFill>
                    <w14:schemeClr w14:val="tx1"/>
                  </w14:solidFill>
                </w14:textFill>
              </w:rPr>
              <w:t>产品方案</w:t>
            </w:r>
          </w:p>
          <w:tbl>
            <w:tblPr>
              <w:tblStyle w:val="25"/>
              <w:tblW w:w="8762"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99"/>
              <w:gridCol w:w="2079"/>
              <w:gridCol w:w="2458"/>
              <w:gridCol w:w="1277"/>
              <w:gridCol w:w="1349"/>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7" w:hRule="exact"/>
                <w:jc w:val="center"/>
              </w:trPr>
              <w:tc>
                <w:tcPr>
                  <w:tcW w:w="1599" w:type="dxa"/>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2079" w:type="dxa"/>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原辅材料</w:t>
                  </w: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2458" w:type="dxa"/>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环评设计用量</w:t>
                  </w:r>
                </w:p>
              </w:tc>
              <w:tc>
                <w:tcPr>
                  <w:tcW w:w="1277" w:type="dxa"/>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实际情况</w:t>
                  </w:r>
                </w:p>
              </w:tc>
              <w:tc>
                <w:tcPr>
                  <w:tcW w:w="1349" w:type="dxa"/>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备注</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9" w:hRule="exact"/>
                <w:jc w:val="center"/>
              </w:trPr>
              <w:tc>
                <w:tcPr>
                  <w:tcW w:w="159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c>
                <w:tcPr>
                  <w:tcW w:w="207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生物质颗粒</w:t>
                  </w:r>
                </w:p>
              </w:tc>
              <w:tc>
                <w:tcPr>
                  <w:tcW w:w="245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2400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t/a</w:t>
                  </w:r>
                </w:p>
              </w:tc>
              <w:tc>
                <w:tcPr>
                  <w:tcW w:w="1277"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2400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t/a</w:t>
                  </w:r>
                </w:p>
              </w:tc>
              <w:tc>
                <w:tcPr>
                  <w:tcW w:w="134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bl>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cs="Times New Roman"/>
                <w:b/>
                <w:bCs/>
                <w:color w:val="000000" w:themeColor="text1"/>
                <w:sz w:val="21"/>
                <w:szCs w:val="21"/>
                <w14:textFill>
                  <w14:solidFill>
                    <w14:schemeClr w14:val="tx1"/>
                  </w14:solidFill>
                </w14:textFill>
              </w:rPr>
            </w:pPr>
          </w:p>
          <w:p>
            <w:pPr>
              <w:pStyle w:val="36"/>
              <w:keepNext w:val="0"/>
              <w:keepLines w:val="0"/>
              <w:pageBreakBefore w:val="0"/>
              <w:kinsoku/>
              <w:wordWrap/>
              <w:overflowPunct/>
              <w:topLinePunct w:val="0"/>
              <w:bidi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表2-3 主要生产设备一览表</w:t>
            </w:r>
          </w:p>
          <w:tbl>
            <w:tblPr>
              <w:tblStyle w:val="25"/>
              <w:tblW w:w="8746" w:type="dxa"/>
              <w:jc w:val="center"/>
              <w:tblBorders>
                <w:top w:val="none" w:color="auto" w:sz="4" w:space="0"/>
                <w:left w:val="none" w:color="auto" w:sz="4" w:space="0"/>
                <w:bottom w:val="none" w:color="auto" w:sz="4" w:space="0"/>
                <w:right w:val="non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73"/>
              <w:gridCol w:w="1918"/>
              <w:gridCol w:w="1214"/>
              <w:gridCol w:w="1391"/>
              <w:gridCol w:w="1819"/>
              <w:gridCol w:w="1731"/>
            </w:tblGrid>
            <w:tr>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73" w:type="dxa"/>
                  <w:tcBorders>
                    <w:top w:val="single" w:color="auto" w:sz="4" w:space="0"/>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1918"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设备名称</w:t>
                  </w:r>
                </w:p>
              </w:tc>
              <w:tc>
                <w:tcPr>
                  <w:tcW w:w="1214"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环评</w:t>
                  </w:r>
                  <w:r>
                    <w:rPr>
                      <w:rFonts w:hint="default" w:ascii="Times New Roman" w:hAnsi="Times New Roman" w:eastAsia="宋体" w:cs="Times New Roman"/>
                      <w:b/>
                      <w:bCs/>
                      <w:color w:val="000000" w:themeColor="text1"/>
                      <w:sz w:val="21"/>
                      <w:szCs w:val="21"/>
                      <w14:textFill>
                        <w14:solidFill>
                          <w14:schemeClr w14:val="tx1"/>
                        </w14:solidFill>
                      </w14:textFill>
                    </w:rPr>
                    <w:t>数量</w:t>
                  </w:r>
                </w:p>
              </w:tc>
              <w:tc>
                <w:tcPr>
                  <w:tcW w:w="1391"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t>实际情况</w:t>
                  </w:r>
                </w:p>
              </w:tc>
              <w:tc>
                <w:tcPr>
                  <w:tcW w:w="1819" w:type="dxa"/>
                  <w:tcBorders>
                    <w:top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单位</w:t>
                  </w:r>
                </w:p>
              </w:tc>
              <w:tc>
                <w:tcPr>
                  <w:tcW w:w="1731"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备注</w:t>
                  </w:r>
                </w:p>
              </w:tc>
            </w:tr>
            <w:tr>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73"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91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生物质燃料锅炉</w:t>
                  </w:r>
                </w:p>
              </w:tc>
              <w:tc>
                <w:tcPr>
                  <w:tcW w:w="121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w:t>
                  </w:r>
                </w:p>
              </w:tc>
              <w:tc>
                <w:tcPr>
                  <w:tcW w:w="1391" w:type="dxa"/>
                  <w:noWrap w:val="0"/>
                  <w:vAlign w:val="center"/>
                </w:tcPr>
                <w:p>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w:t>
                  </w:r>
                </w:p>
              </w:tc>
              <w:tc>
                <w:tcPr>
                  <w:tcW w:w="1819"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台</w:t>
                  </w:r>
                </w:p>
              </w:tc>
              <w:tc>
                <w:tcPr>
                  <w:tcW w:w="1731"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73" w:type="dxa"/>
                  <w:tcBorders>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918" w:type="dxa"/>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袋式除尘器</w:t>
                  </w:r>
                </w:p>
              </w:tc>
              <w:tc>
                <w:tcPr>
                  <w:tcW w:w="1214" w:type="dxa"/>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w:t>
                  </w:r>
                </w:p>
              </w:tc>
              <w:tc>
                <w:tcPr>
                  <w:tcW w:w="1391"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w:t>
                  </w:r>
                </w:p>
              </w:tc>
              <w:tc>
                <w:tcPr>
                  <w:tcW w:w="1819" w:type="dxa"/>
                  <w:tcBorders>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台</w:t>
                  </w:r>
                </w:p>
              </w:tc>
              <w:tc>
                <w:tcPr>
                  <w:tcW w:w="173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bl>
          <w:p>
            <w:pPr>
              <w:pStyle w:val="36"/>
              <w:spacing w:before="200" w:line="360" w:lineRule="auto"/>
              <w:ind w:left="440" w:leftChars="200"/>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3、验收范围</w:t>
            </w:r>
          </w:p>
          <w:p>
            <w:pPr>
              <w:pStyle w:val="36"/>
              <w:spacing w:line="360" w:lineRule="auto"/>
              <w:ind w:firstLine="480" w:firstLineChars="200"/>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eastAsia" w:ascii="Times New Roman"/>
                <w:color w:val="000000" w:themeColor="text1"/>
                <w:sz w:val="24"/>
                <w:szCs w:val="24"/>
                <w:lang w:eastAsia="zh-CN"/>
                <w14:textFill>
                  <w14:solidFill>
                    <w14:schemeClr w14:val="tx1"/>
                  </w14:solidFill>
                </w14:textFill>
              </w:rPr>
              <w:t>福建乐华食品有限公司新增生物质颗粒燃料锅炉项目</w:t>
            </w:r>
            <w:r>
              <w:rPr>
                <w:rFonts w:hint="eastAsia" w:ascii="Times New Roman" w:eastAsia="宋体"/>
                <w:color w:val="000000" w:themeColor="text1"/>
                <w:sz w:val="24"/>
                <w:szCs w:val="24"/>
                <w:lang w:val="en-US" w:eastAsia="zh-CN"/>
                <w14:textFill>
                  <w14:solidFill>
                    <w14:schemeClr w14:val="tx1"/>
                  </w14:solidFill>
                </w14:textFill>
              </w:rPr>
              <w:t>选址于</w:t>
            </w:r>
            <w:r>
              <w:rPr>
                <w:rFonts w:hint="eastAsia" w:ascii="Times New Roman"/>
                <w:color w:val="000000" w:themeColor="text1"/>
                <w:sz w:val="24"/>
                <w:szCs w:val="24"/>
                <w:lang w:eastAsia="zh-CN"/>
                <w14:textFill>
                  <w14:solidFill>
                    <w14:schemeClr w14:val="tx1"/>
                  </w14:solidFill>
                </w14:textFill>
              </w:rPr>
              <w:t>福建省漳州市云霄县云陵工业开发区</w:t>
            </w:r>
            <w:r>
              <w:rPr>
                <w:rFonts w:hint="eastAsia" w:ascii="Times New Roman" w:eastAsia="宋体"/>
                <w:color w:val="000000" w:themeColor="text1"/>
                <w:sz w:val="24"/>
                <w:szCs w:val="24"/>
                <w:lang w:val="en-US" w:eastAsia="zh-CN"/>
                <w14:textFill>
                  <w14:solidFill>
                    <w14:schemeClr w14:val="tx1"/>
                  </w14:solidFill>
                </w14:textFill>
              </w:rPr>
              <w:t>，</w:t>
            </w:r>
            <w:r>
              <w:rPr>
                <w:rFonts w:hint="default" w:ascii="Times New Roman" w:eastAsia="宋体"/>
                <w:color w:val="000000" w:themeColor="text1"/>
                <w:sz w:val="24"/>
                <w:szCs w:val="24"/>
                <w:lang w:val="en-US" w:eastAsia="zh-CN"/>
                <w14:textFill>
                  <w14:solidFill>
                    <w14:schemeClr w14:val="tx1"/>
                  </w14:solidFill>
                </w14:textFill>
              </w:rPr>
              <w:t>目前</w:t>
            </w:r>
            <w:r>
              <w:rPr>
                <w:rFonts w:hint="eastAsia" w:ascii="Times New Roman" w:eastAsia="宋体"/>
                <w:color w:val="000000" w:themeColor="text1"/>
                <w:sz w:val="24"/>
                <w:szCs w:val="24"/>
                <w:lang w:val="en-US" w:eastAsia="zh-CN"/>
                <w14:textFill>
                  <w14:solidFill>
                    <w14:schemeClr w14:val="tx1"/>
                  </w14:solidFill>
                </w14:textFill>
              </w:rPr>
              <w:t>本</w:t>
            </w:r>
            <w:r>
              <w:rPr>
                <w:rFonts w:hint="default" w:ascii="Times New Roman" w:eastAsia="宋体"/>
                <w:color w:val="000000" w:themeColor="text1"/>
                <w:sz w:val="24"/>
                <w:szCs w:val="24"/>
                <w:lang w:val="en-US" w:eastAsia="zh-CN"/>
                <w14:textFill>
                  <w14:solidFill>
                    <w14:schemeClr w14:val="tx1"/>
                  </w14:solidFill>
                </w14:textFill>
              </w:rPr>
              <w:t>项目</w:t>
            </w:r>
            <w:r>
              <w:rPr>
                <w:rFonts w:hint="eastAsia" w:ascii="Times New Roman"/>
                <w:color w:val="000000" w:themeColor="text1"/>
                <w:sz w:val="24"/>
                <w:szCs w:val="24"/>
                <w:lang w:val="en-US" w:eastAsia="zh-CN"/>
                <w14:textFill>
                  <w14:solidFill>
                    <w14:schemeClr w14:val="tx1"/>
                  </w14:solidFill>
                </w14:textFill>
              </w:rPr>
              <w:t>已建成并投入试生产，</w:t>
            </w:r>
            <w:r>
              <w:rPr>
                <w:rFonts w:hint="eastAsia" w:ascii="Times New Roman" w:eastAsia="宋体"/>
                <w:color w:val="000000" w:themeColor="text1"/>
                <w:sz w:val="24"/>
                <w:szCs w:val="24"/>
                <w:lang w:val="en-US" w:eastAsia="zh-CN"/>
                <w14:textFill>
                  <w14:solidFill>
                    <w14:schemeClr w14:val="tx1"/>
                  </w14:solidFill>
                </w14:textFill>
              </w:rPr>
              <w:t>故本次验收针对</w:t>
            </w:r>
            <w:r>
              <w:rPr>
                <w:rFonts w:hint="eastAsia" w:ascii="Times New Roman"/>
                <w:color w:val="000000" w:themeColor="text1"/>
                <w:sz w:val="24"/>
                <w:szCs w:val="24"/>
                <w:lang w:eastAsia="zh-CN"/>
                <w14:textFill>
                  <w14:solidFill>
                    <w14:schemeClr w14:val="tx1"/>
                  </w14:solidFill>
                </w14:textFill>
              </w:rPr>
              <w:t>福建乐华食品有限公司新增生物质颗粒燃料锅炉项目</w:t>
            </w:r>
            <w:r>
              <w:rPr>
                <w:rFonts w:hint="eastAsia" w:ascii="Times New Roman" w:eastAsia="宋体"/>
                <w:color w:val="000000" w:themeColor="text1"/>
                <w:sz w:val="24"/>
                <w:szCs w:val="24"/>
                <w:lang w:val="en-US" w:eastAsia="zh-CN"/>
                <w14:textFill>
                  <w14:solidFill>
                    <w14:schemeClr w14:val="tx1"/>
                  </w14:solidFill>
                </w14:textFill>
              </w:rPr>
              <w:t>进行</w:t>
            </w:r>
            <w:r>
              <w:rPr>
                <w:rFonts w:hint="eastAsia" w:ascii="Times New Roman"/>
                <w:color w:val="000000" w:themeColor="text1"/>
                <w:sz w:val="24"/>
                <w:szCs w:val="24"/>
                <w:lang w:val="en-US" w:eastAsia="zh-CN"/>
                <w14:textFill>
                  <w14:solidFill>
                    <w14:schemeClr w14:val="tx1"/>
                  </w14:solidFill>
                </w14:textFill>
              </w:rPr>
              <w:t>整体验收</w:t>
            </w:r>
            <w:r>
              <w:rPr>
                <w:rFonts w:hint="default" w:ascii="Times New Roman" w:eastAsia="宋体"/>
                <w:color w:val="000000" w:themeColor="text1"/>
                <w:sz w:val="24"/>
                <w:szCs w:val="24"/>
                <w:lang w:val="en-US" w:eastAsia="zh-CN"/>
                <w14:textFill>
                  <w14:solidFill>
                    <w14:schemeClr w14:val="tx1"/>
                  </w14:solidFill>
                </w14:textFill>
              </w:rPr>
              <w:t>。</w:t>
            </w:r>
          </w:p>
          <w:p>
            <w:pPr>
              <w:pStyle w:val="36"/>
              <w:spacing w:line="360" w:lineRule="auto"/>
              <w:ind w:firstLine="482" w:firstLineChars="200"/>
              <w:jc w:val="left"/>
              <w:rPr>
                <w:rFonts w:ascii="Times New Roman" w:hAnsi="Times New Roman" w:cs="Times New Roman"/>
                <w:b/>
                <w:bCs/>
                <w:color w:val="000000" w:themeColor="text1"/>
                <w14:textFill>
                  <w14:solidFill>
                    <w14:schemeClr w14:val="tx1"/>
                  </w14:solidFill>
                </w14:textFill>
              </w:rPr>
            </w:pPr>
          </w:p>
          <w:p>
            <w:pPr>
              <w:pStyle w:val="36"/>
              <w:spacing w:line="360" w:lineRule="auto"/>
              <w:ind w:firstLine="482" w:firstLineChars="200"/>
              <w:jc w:val="left"/>
              <w:rPr>
                <w:rFonts w:ascii="Times New Roman" w:hAnsi="Times New Roman" w:cs="Times New Roman"/>
                <w:b/>
                <w:bCs/>
                <w:color w:val="000000" w:themeColor="text1"/>
                <w14:textFill>
                  <w14:solidFill>
                    <w14:schemeClr w14:val="tx1"/>
                  </w14:solidFill>
                </w14:textFill>
              </w:rPr>
            </w:pPr>
          </w:p>
          <w:p>
            <w:pPr>
              <w:pStyle w:val="36"/>
              <w:spacing w:line="360" w:lineRule="auto"/>
              <w:ind w:firstLine="482" w:firstLineChars="200"/>
              <w:jc w:val="left"/>
              <w:rPr>
                <w:rFonts w:ascii="Times New Roman" w:hAnsi="Times New Roman" w:cs="Times New Roman"/>
                <w:b/>
                <w:bCs/>
                <w:color w:val="000000" w:themeColor="text1"/>
                <w14:textFill>
                  <w14:solidFill>
                    <w14:schemeClr w14:val="tx1"/>
                  </w14:solidFill>
                </w14:textFill>
              </w:rPr>
            </w:pPr>
          </w:p>
          <w:p>
            <w:pPr>
              <w:pStyle w:val="36"/>
              <w:spacing w:line="360" w:lineRule="auto"/>
              <w:ind w:firstLine="482" w:firstLineChars="200"/>
              <w:jc w:val="left"/>
              <w:rPr>
                <w:rFonts w:ascii="Times New Roman" w:hAnsi="Times New Roman" w:cs="Times New Roman"/>
                <w:b/>
                <w:bCs/>
                <w:color w:val="000000" w:themeColor="text1"/>
                <w14:textFill>
                  <w14:solidFill>
                    <w14:schemeClr w14:val="tx1"/>
                  </w14:solidFill>
                </w14:textFill>
              </w:rPr>
            </w:pPr>
          </w:p>
          <w:p>
            <w:pPr>
              <w:pStyle w:val="36"/>
              <w:spacing w:line="360" w:lineRule="auto"/>
              <w:ind w:firstLine="482" w:firstLineChars="200"/>
              <w:jc w:val="left"/>
              <w:rPr>
                <w:rFonts w:ascii="Times New Roman" w:hAnsi="Times New Roman" w:cs="Times New Roman"/>
                <w:b/>
                <w:bCs/>
                <w:color w:val="000000" w:themeColor="text1"/>
                <w14:textFill>
                  <w14:solidFill>
                    <w14:schemeClr w14:val="tx1"/>
                  </w14:solidFill>
                </w14:textFill>
              </w:rPr>
            </w:pPr>
          </w:p>
          <w:p>
            <w:pPr>
              <w:pStyle w:val="36"/>
              <w:spacing w:line="360" w:lineRule="auto"/>
              <w:ind w:firstLine="482" w:firstLineChars="200"/>
              <w:jc w:val="left"/>
              <w:rPr>
                <w:rFonts w:ascii="Times New Roman" w:hAnsi="Times New Roman" w:cs="Times New Roman"/>
                <w:b/>
                <w:bCs/>
                <w:color w:val="000000" w:themeColor="text1"/>
                <w14:textFill>
                  <w14:solidFill>
                    <w14:schemeClr w14:val="tx1"/>
                  </w14:solidFill>
                </w14:textFill>
              </w:rPr>
            </w:pPr>
          </w:p>
          <w:p>
            <w:pPr>
              <w:pStyle w:val="36"/>
              <w:spacing w:line="360" w:lineRule="auto"/>
              <w:ind w:firstLine="482" w:firstLineChars="200"/>
              <w:jc w:val="left"/>
              <w:rPr>
                <w:rFonts w:ascii="Times New Roman" w:hAnsi="Times New Roman" w:cs="Times New Roman"/>
                <w:b/>
                <w:bCs/>
                <w:color w:val="000000" w:themeColor="text1"/>
                <w14:textFill>
                  <w14:solidFill>
                    <w14:schemeClr w14:val="tx1"/>
                  </w14:solidFill>
                </w14:textFill>
              </w:rPr>
            </w:pPr>
          </w:p>
          <w:p>
            <w:pPr>
              <w:pStyle w:val="36"/>
              <w:spacing w:line="360" w:lineRule="auto"/>
              <w:ind w:firstLine="482" w:firstLineChars="200"/>
              <w:jc w:val="left"/>
              <w:rPr>
                <w:rFonts w:ascii="Times New Roman" w:hAnsi="Times New Roman" w:cs="Times New Roman"/>
                <w:b/>
                <w:bCs/>
                <w:color w:val="000000" w:themeColor="text1"/>
                <w14:textFill>
                  <w14:solidFill>
                    <w14:schemeClr w14:val="tx1"/>
                  </w14:solidFill>
                </w14:textFill>
              </w:rPr>
            </w:pPr>
          </w:p>
          <w:p>
            <w:pPr>
              <w:pStyle w:val="36"/>
              <w:spacing w:line="360" w:lineRule="auto"/>
              <w:ind w:firstLine="482" w:firstLineChars="200"/>
              <w:jc w:val="left"/>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4、工程变动情况</w:t>
            </w:r>
          </w:p>
          <w:p>
            <w:pPr>
              <w:pStyle w:val="36"/>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Times New Roman"/>
                <w:b/>
                <w:bCs/>
                <w:color w:val="auto"/>
                <w:sz w:val="21"/>
                <w:szCs w:val="21"/>
                <w:lang w:val="en-US" w:eastAsia="zh-CN"/>
              </w:rPr>
              <w:t>表2-</w:t>
            </w:r>
            <w:r>
              <w:rPr>
                <w:rFonts w:hint="eastAsia" w:ascii="Times New Roman" w:hAnsi="Times New Roman"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工程变动情况一览表</w:t>
            </w:r>
          </w:p>
          <w:tbl>
            <w:tblPr>
              <w:tblStyle w:val="26"/>
              <w:tblW w:w="820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8"/>
              <w:gridCol w:w="3023"/>
              <w:gridCol w:w="3105"/>
              <w:gridCol w:w="129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788"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项目</w:t>
                  </w:r>
                </w:p>
              </w:tc>
              <w:tc>
                <w:tcPr>
                  <w:tcW w:w="302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环评阶段</w:t>
                  </w:r>
                </w:p>
              </w:tc>
              <w:tc>
                <w:tcPr>
                  <w:tcW w:w="3105"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实际建设</w:t>
                  </w:r>
                </w:p>
              </w:tc>
              <w:tc>
                <w:tcPr>
                  <w:tcW w:w="129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变更项目及原因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6" w:hRule="atLeast"/>
                <w:jc w:val="center"/>
              </w:trPr>
              <w:tc>
                <w:tcPr>
                  <w:tcW w:w="788"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性质</w:t>
                  </w:r>
                </w:p>
              </w:tc>
              <w:tc>
                <w:tcPr>
                  <w:tcW w:w="302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新建</w:t>
                  </w:r>
                </w:p>
              </w:tc>
              <w:tc>
                <w:tcPr>
                  <w:tcW w:w="3105"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新建</w:t>
                  </w:r>
                </w:p>
              </w:tc>
              <w:tc>
                <w:tcPr>
                  <w:tcW w:w="129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788"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规模</w:t>
                  </w:r>
                </w:p>
              </w:tc>
              <w:tc>
                <w:tcPr>
                  <w:tcW w:w="3023"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zh-CN"/>
                    </w:rPr>
                    <w:t>新建1台6t/h生物质颗粒燃料锅炉</w:t>
                  </w:r>
                </w:p>
              </w:tc>
              <w:tc>
                <w:tcPr>
                  <w:tcW w:w="310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left="0" w:lef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zh-CN"/>
                    </w:rPr>
                    <w:t>新建1台6t/h生物质颗粒燃料锅炉</w:t>
                  </w:r>
                </w:p>
              </w:tc>
              <w:tc>
                <w:tcPr>
                  <w:tcW w:w="129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788"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地点</w:t>
                  </w:r>
                </w:p>
              </w:tc>
              <w:tc>
                <w:tcPr>
                  <w:tcW w:w="3023"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福建省漳州市云霄县云陵工业开发区</w:t>
                  </w:r>
                </w:p>
              </w:tc>
              <w:tc>
                <w:tcPr>
                  <w:tcW w:w="310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福建省漳州市云霄县云陵工业开发区</w:t>
                  </w:r>
                </w:p>
              </w:tc>
              <w:tc>
                <w:tcPr>
                  <w:tcW w:w="129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788"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生产工艺</w:t>
                  </w:r>
                </w:p>
              </w:tc>
              <w:tc>
                <w:tcPr>
                  <w:tcW w:w="3023" w:type="dxa"/>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详见工艺图</w:t>
                  </w:r>
                </w:p>
              </w:tc>
              <w:tc>
                <w:tcPr>
                  <w:tcW w:w="310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详见工艺图</w:t>
                  </w:r>
                </w:p>
              </w:tc>
              <w:tc>
                <w:tcPr>
                  <w:tcW w:w="129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88" w:type="dxa"/>
                  <w:vMerge w:val="restar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环保措施</w:t>
                  </w:r>
                </w:p>
              </w:tc>
              <w:tc>
                <w:tcPr>
                  <w:tcW w:w="302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废水：</w:t>
                  </w:r>
                  <w:r>
                    <w:rPr>
                      <w:rFonts w:hint="eastAsia" w:ascii="Times New Roman" w:hAnsi="Times New Roman" w:cs="Times New Roman"/>
                      <w:color w:val="auto"/>
                      <w:kern w:val="0"/>
                      <w:sz w:val="21"/>
                      <w:szCs w:val="21"/>
                      <w:lang w:val="zh-CN" w:eastAsia="zh-CN" w:bidi="ar-SA"/>
                    </w:rPr>
                    <w:t>无需新增员工，</w:t>
                  </w:r>
                  <w:r>
                    <w:rPr>
                      <w:rFonts w:hint="eastAsia" w:ascii="Times New Roman" w:hAnsi="Times New Roman" w:cs="Times New Roman"/>
                      <w:color w:val="auto"/>
                      <w:kern w:val="0"/>
                      <w:sz w:val="21"/>
                      <w:szCs w:val="21"/>
                      <w:lang w:val="en-US" w:eastAsia="zh-CN" w:bidi="ar-SA"/>
                    </w:rPr>
                    <w:t>不新增生活废水</w:t>
                  </w:r>
                  <w:r>
                    <w:rPr>
                      <w:rFonts w:hint="eastAsia" w:ascii="Times New Roman" w:hAnsi="Times New Roman" w:cs="Times New Roman"/>
                      <w:color w:val="auto"/>
                      <w:kern w:val="0"/>
                      <w:sz w:val="21"/>
                      <w:szCs w:val="21"/>
                      <w:lang w:val="zh-CN" w:eastAsia="zh-CN" w:bidi="ar-SA"/>
                    </w:rPr>
                    <w:t>，生产用水主要为锅炉用水及锅炉脱硫除尘用水</w:t>
                  </w:r>
                </w:p>
              </w:tc>
              <w:tc>
                <w:tcPr>
                  <w:tcW w:w="3105"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废水：</w:t>
                  </w:r>
                  <w:r>
                    <w:rPr>
                      <w:rFonts w:hint="eastAsia" w:ascii="Times New Roman" w:hAnsi="Times New Roman" w:cs="Times New Roman"/>
                      <w:color w:val="auto"/>
                      <w:kern w:val="0"/>
                      <w:sz w:val="21"/>
                      <w:szCs w:val="21"/>
                      <w:lang w:val="zh-CN" w:eastAsia="zh-CN" w:bidi="ar-SA"/>
                    </w:rPr>
                    <w:t>无需新增员工，</w:t>
                  </w:r>
                  <w:r>
                    <w:rPr>
                      <w:rFonts w:hint="eastAsia" w:ascii="Times New Roman" w:hAnsi="Times New Roman" w:cs="Times New Roman"/>
                      <w:color w:val="auto"/>
                      <w:kern w:val="0"/>
                      <w:sz w:val="21"/>
                      <w:szCs w:val="21"/>
                      <w:lang w:val="en-US" w:eastAsia="zh-CN" w:bidi="ar-SA"/>
                    </w:rPr>
                    <w:t>不新增生活废水</w:t>
                  </w:r>
                  <w:r>
                    <w:rPr>
                      <w:rFonts w:hint="eastAsia" w:ascii="Times New Roman" w:hAnsi="Times New Roman" w:cs="Times New Roman"/>
                      <w:color w:val="auto"/>
                      <w:kern w:val="0"/>
                      <w:sz w:val="21"/>
                      <w:szCs w:val="21"/>
                      <w:lang w:val="zh-CN" w:eastAsia="zh-CN" w:bidi="ar-SA"/>
                    </w:rPr>
                    <w:t>，生产用水主要为锅炉用水及锅炉脱硫除尘用水，</w:t>
                  </w:r>
                  <w:r>
                    <w:rPr>
                      <w:rFonts w:hint="eastAsia" w:ascii="Times New Roman" w:hAnsi="Times New Roman" w:cs="Times New Roman"/>
                      <w:color w:val="auto"/>
                      <w:kern w:val="0"/>
                      <w:sz w:val="21"/>
                      <w:szCs w:val="21"/>
                      <w:lang w:val="en-US" w:eastAsia="zh-CN" w:bidi="ar-SA"/>
                    </w:rPr>
                    <w:t>生产用水经沉淀后循环使用不外排</w:t>
                  </w:r>
                </w:p>
              </w:tc>
              <w:tc>
                <w:tcPr>
                  <w:tcW w:w="1292" w:type="dxa"/>
                  <w:vMerge w:val="restar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color w:val="0000FF"/>
                    </w:rPr>
                  </w:pPr>
                </w:p>
              </w:tc>
              <w:tc>
                <w:tcPr>
                  <w:tcW w:w="302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废气：</w:t>
                  </w:r>
                  <w:r>
                    <w:rPr>
                      <w:rFonts w:hint="eastAsia" w:ascii="Times New Roman" w:hAnsi="Times New Roman" w:cs="Times New Roman"/>
                      <w:color w:val="auto"/>
                      <w:kern w:val="0"/>
                      <w:sz w:val="21"/>
                      <w:szCs w:val="21"/>
                      <w:lang w:val="en-US" w:eastAsia="zh-CN" w:bidi="ar-SA"/>
                    </w:rPr>
                    <w:t>项目</w:t>
                  </w:r>
                  <w:r>
                    <w:rPr>
                      <w:rFonts w:hint="default" w:ascii="Times New Roman" w:hAnsi="Times New Roman" w:cs="Times New Roman"/>
                      <w:color w:val="auto"/>
                      <w:kern w:val="0"/>
                      <w:sz w:val="21"/>
                      <w:szCs w:val="21"/>
                      <w:lang w:val="en-US" w:eastAsia="zh-CN" w:bidi="ar-SA"/>
                    </w:rPr>
                    <w:t>锅炉尾气采用</w:t>
                  </w:r>
                  <w:r>
                    <w:rPr>
                      <w:rFonts w:hint="eastAsia" w:ascii="Times New Roman" w:hAnsi="Times New Roman" w:cs="Times New Roman"/>
                      <w:color w:val="auto"/>
                      <w:kern w:val="0"/>
                      <w:sz w:val="21"/>
                      <w:szCs w:val="21"/>
                      <w:lang w:val="en-US" w:eastAsia="zh-CN" w:bidi="ar-SA"/>
                    </w:rPr>
                    <w:t>“袋式除尘器+碱液喷淋”处理后</w:t>
                  </w:r>
                  <w:r>
                    <w:rPr>
                      <w:rFonts w:hint="default" w:ascii="Times New Roman" w:hAnsi="Times New Roman" w:cs="Times New Roman"/>
                      <w:color w:val="auto"/>
                      <w:kern w:val="0"/>
                      <w:sz w:val="21"/>
                      <w:szCs w:val="21"/>
                      <w:lang w:val="en-US" w:eastAsia="zh-CN" w:bidi="ar-SA"/>
                    </w:rPr>
                    <w:t>通过排气筒排放</w:t>
                  </w:r>
                </w:p>
              </w:tc>
              <w:tc>
                <w:tcPr>
                  <w:tcW w:w="3105"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废气：</w:t>
                  </w:r>
                  <w:r>
                    <w:rPr>
                      <w:rFonts w:hint="eastAsia" w:ascii="Times New Roman" w:hAnsi="Times New Roman" w:cs="Times New Roman"/>
                      <w:color w:val="auto"/>
                      <w:kern w:val="0"/>
                      <w:sz w:val="21"/>
                      <w:szCs w:val="21"/>
                      <w:lang w:val="en-US" w:eastAsia="zh-CN" w:bidi="ar-SA"/>
                    </w:rPr>
                    <w:t>项目</w:t>
                  </w:r>
                  <w:r>
                    <w:rPr>
                      <w:rFonts w:hint="default" w:ascii="Times New Roman" w:hAnsi="Times New Roman" w:cs="Times New Roman"/>
                      <w:color w:val="auto"/>
                      <w:kern w:val="0"/>
                      <w:sz w:val="21"/>
                      <w:szCs w:val="21"/>
                      <w:lang w:val="en-US" w:eastAsia="zh-CN" w:bidi="ar-SA"/>
                    </w:rPr>
                    <w:t>锅炉尾气采用</w:t>
                  </w:r>
                  <w:r>
                    <w:rPr>
                      <w:rFonts w:hint="eastAsia" w:ascii="Times New Roman" w:hAnsi="Times New Roman" w:cs="Times New Roman"/>
                      <w:color w:val="auto"/>
                      <w:kern w:val="0"/>
                      <w:sz w:val="21"/>
                      <w:szCs w:val="21"/>
                      <w:lang w:val="en-US" w:eastAsia="zh-CN" w:bidi="ar-SA"/>
                    </w:rPr>
                    <w:t>“袋式除尘器+碱液喷淋”处理后</w:t>
                  </w:r>
                  <w:r>
                    <w:rPr>
                      <w:rFonts w:hint="default" w:ascii="Times New Roman" w:hAnsi="Times New Roman" w:cs="Times New Roman"/>
                      <w:color w:val="auto"/>
                      <w:kern w:val="0"/>
                      <w:sz w:val="21"/>
                      <w:szCs w:val="21"/>
                      <w:lang w:val="en-US" w:eastAsia="zh-CN" w:bidi="ar-SA"/>
                    </w:rPr>
                    <w:t>通过排气筒排放</w:t>
                  </w:r>
                </w:p>
              </w:tc>
              <w:tc>
                <w:tcPr>
                  <w:tcW w:w="12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FF"/>
                      <w:kern w:val="0"/>
                      <w:sz w:val="21"/>
                      <w:szCs w:val="21"/>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FF"/>
                      <w:kern w:val="0"/>
                      <w:sz w:val="21"/>
                      <w:szCs w:val="21"/>
                      <w:lang w:val="en-US" w:eastAsia="zh-CN" w:bidi="ar-SA"/>
                    </w:rPr>
                  </w:pPr>
                </w:p>
              </w:tc>
              <w:tc>
                <w:tcPr>
                  <w:tcW w:w="302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噪声：</w:t>
                  </w:r>
                  <w:r>
                    <w:rPr>
                      <w:rFonts w:hint="eastAsia" w:ascii="Times New Roman" w:hAnsi="Times New Roman" w:cs="Times New Roman"/>
                      <w:color w:val="auto"/>
                      <w:kern w:val="0"/>
                      <w:sz w:val="21"/>
                      <w:szCs w:val="21"/>
                      <w:lang w:val="en-US" w:eastAsia="zh-CN" w:bidi="ar-SA"/>
                    </w:rPr>
                    <w:t>项目噪声主要来源于锅炉运行产生的噪声</w:t>
                  </w:r>
                </w:p>
              </w:tc>
              <w:tc>
                <w:tcPr>
                  <w:tcW w:w="3105"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噪声：</w:t>
                  </w:r>
                  <w:r>
                    <w:rPr>
                      <w:rFonts w:hint="eastAsia" w:ascii="Times New Roman" w:hAnsi="Times New Roman" w:eastAsia="宋体" w:cs="Times New Roman"/>
                      <w:color w:val="auto"/>
                      <w:kern w:val="0"/>
                      <w:sz w:val="21"/>
                      <w:szCs w:val="21"/>
                      <w:lang w:val="en-US" w:eastAsia="zh-CN" w:bidi="ar-SA"/>
                    </w:rPr>
                    <w:t>通过合理布局，使高噪声设备远离厂界；对噪声值较高的设备基座底部安装减振垫等；定期检查并调整好运动机器部件的静平衡与动平衡的动力，加强设备维护，使其处于良好运行状态，以此来降低环境噪声污染</w:t>
                  </w:r>
                  <w:r>
                    <w:rPr>
                      <w:rFonts w:hint="eastAsia" w:ascii="Times New Roman" w:hAnsi="Times New Roman" w:cs="Times New Roman"/>
                      <w:color w:val="auto"/>
                      <w:kern w:val="0"/>
                      <w:sz w:val="21"/>
                      <w:szCs w:val="21"/>
                      <w:lang w:val="en-US" w:eastAsia="zh-CN" w:bidi="ar-SA"/>
                    </w:rPr>
                    <w:t>。</w:t>
                  </w:r>
                </w:p>
              </w:tc>
              <w:tc>
                <w:tcPr>
                  <w:tcW w:w="12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FF"/>
                      <w:kern w:val="0"/>
                      <w:sz w:val="21"/>
                      <w:szCs w:val="21"/>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78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FF"/>
                      <w:kern w:val="0"/>
                      <w:sz w:val="21"/>
                      <w:szCs w:val="21"/>
                      <w:lang w:val="en-US" w:eastAsia="zh-CN" w:bidi="ar-SA"/>
                    </w:rPr>
                  </w:pPr>
                </w:p>
              </w:tc>
              <w:tc>
                <w:tcPr>
                  <w:tcW w:w="3023" w:type="dxa"/>
                  <w:tcBorders>
                    <w:tl2br w:val="nil"/>
                    <w:tr2bl w:val="nil"/>
                  </w:tcBorders>
                  <w:vAlign w:val="center"/>
                </w:tcPr>
                <w:p>
                  <w:pPr>
                    <w:pStyle w:val="58"/>
                    <w:widowControl w:val="0"/>
                    <w:numPr>
                      <w:ilvl w:val="0"/>
                      <w:numId w:val="0"/>
                    </w:numPr>
                    <w:spacing w:line="240" w:lineRule="auto"/>
                    <w:jc w:val="both"/>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snapToGrid/>
                      <w:color w:val="auto"/>
                      <w:kern w:val="0"/>
                      <w:sz w:val="21"/>
                      <w:szCs w:val="21"/>
                      <w:lang w:val="en-US" w:eastAsia="zh-CN" w:bidi="ar-SA"/>
                    </w:rPr>
                    <w:t>固废：</w:t>
                  </w:r>
                  <w:r>
                    <w:rPr>
                      <w:rFonts w:hint="eastAsia" w:ascii="Times New Roman" w:hAnsi="Times New Roman" w:eastAsia="宋体" w:cs="Times New Roman"/>
                      <w:color w:val="auto"/>
                      <w:kern w:val="0"/>
                      <w:sz w:val="21"/>
                      <w:szCs w:val="21"/>
                      <w:lang w:val="en-US" w:eastAsia="zh-CN" w:bidi="ar-SA"/>
                    </w:rPr>
                    <w:t>项目生产中产生的工业固体废物为锅炉炉渣、除尘器收集的灰渣、湿法脱硫除尘产生的泥渣，均为一般工业固废，分类收集后由周边农户回收利用</w:t>
                  </w:r>
                </w:p>
              </w:tc>
              <w:tc>
                <w:tcPr>
                  <w:tcW w:w="3105" w:type="dxa"/>
                  <w:tcBorders>
                    <w:tl2br w:val="nil"/>
                    <w:tr2bl w:val="nil"/>
                  </w:tcBorders>
                  <w:vAlign w:val="center"/>
                </w:tcPr>
                <w:p>
                  <w:pPr>
                    <w:pStyle w:val="58"/>
                    <w:widowControl w:val="0"/>
                    <w:numPr>
                      <w:ilvl w:val="0"/>
                      <w:numId w:val="0"/>
                    </w:numPr>
                    <w:spacing w:line="240" w:lineRule="auto"/>
                    <w:jc w:val="both"/>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固废：</w:t>
                  </w:r>
                  <w:r>
                    <w:rPr>
                      <w:rFonts w:hint="eastAsia" w:ascii="Times New Roman" w:hAnsi="Times New Roman" w:eastAsia="宋体" w:cs="Times New Roman"/>
                      <w:color w:val="auto"/>
                      <w:kern w:val="0"/>
                      <w:sz w:val="21"/>
                      <w:szCs w:val="21"/>
                      <w:lang w:val="en-US" w:eastAsia="zh-CN" w:bidi="ar-SA"/>
                    </w:rPr>
                    <w:t>项目生产中产生的工业固体废物为锅炉炉渣、除尘器收集的灰渣、湿法脱硫除尘产生的泥渣，均为一般工业固废，分类收集后由周边农户回收利用</w:t>
                  </w:r>
                </w:p>
              </w:tc>
              <w:tc>
                <w:tcPr>
                  <w:tcW w:w="12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FF"/>
                      <w:kern w:val="0"/>
                      <w:sz w:val="21"/>
                      <w:szCs w:val="21"/>
                      <w:lang w:val="en-US" w:eastAsia="zh-CN" w:bidi="ar-SA"/>
                    </w:rPr>
                  </w:pPr>
                </w:p>
              </w:tc>
            </w:tr>
          </w:tbl>
          <w:p>
            <w:pPr>
              <w:pStyle w:val="36"/>
              <w:spacing w:line="360" w:lineRule="auto"/>
              <w:ind w:firstLine="480" w:firstLineChars="200"/>
              <w:jc w:val="both"/>
              <w:rPr>
                <w:rFonts w:ascii="Times New Roman" w:hAnsi="Times New Roman" w:eastAsia="宋体" w:cs="Times New Roman"/>
                <w:b w:val="0"/>
                <w:color w:val="000000" w:themeColor="text1"/>
                <w:sz w:val="24"/>
                <w:szCs w:val="24"/>
                <w:lang w:val="en-US" w:eastAsia="zh-CN" w:bidi="ar-SA"/>
                <w14:textFill>
                  <w14:solidFill>
                    <w14:schemeClr w14:val="tx1"/>
                  </w14:solidFill>
                </w14:textFill>
              </w:rPr>
            </w:pP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根据项目实际建设情况，经过与《污染影响类建设项目重大变动清单（试行）》</w:t>
            </w:r>
            <w:r>
              <w:rPr>
                <w:rFonts w:hint="eastAsia" w:ascii="Times New Roman" w:hAnsi="Times New Roman" w:eastAsia="宋体" w:cs="Times New Roman"/>
                <w:b w:val="0"/>
                <w:color w:val="000000" w:themeColor="text1"/>
                <w:sz w:val="24"/>
                <w:szCs w:val="24"/>
                <w:lang w:val="en-US" w:eastAsia="zh-CN" w:bidi="ar-SA"/>
                <w14:textFill>
                  <w14:solidFill>
                    <w14:schemeClr w14:val="tx1"/>
                  </w14:solidFill>
                </w14:textFill>
              </w:rPr>
              <w:t>（环办环评函[2020]688号）</w:t>
            </w: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的</w:t>
            </w:r>
            <w:r>
              <w:rPr>
                <w:rFonts w:hint="eastAsia" w:ascii="Times New Roman" w:hAnsi="Times New Roman" w:eastAsia="宋体" w:cs="Times New Roman"/>
                <w:b w:val="0"/>
                <w:color w:val="000000" w:themeColor="text1"/>
                <w:sz w:val="24"/>
                <w:szCs w:val="24"/>
                <w:lang w:val="en-US" w:eastAsia="zh-CN" w:bidi="ar-SA"/>
                <w14:textFill>
                  <w14:solidFill>
                    <w14:schemeClr w14:val="tx1"/>
                  </w14:solidFill>
                </w14:textFill>
              </w:rPr>
              <w:t>十三条内容逐一对照</w:t>
            </w: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，最终得出结论：本项目不存在《污染影响类建设项目重大变动清单（试行）》</w:t>
            </w:r>
            <w:r>
              <w:rPr>
                <w:rFonts w:hint="eastAsia" w:ascii="Times New Roman" w:hAnsi="Times New Roman" w:eastAsia="宋体" w:cs="Times New Roman"/>
                <w:b w:val="0"/>
                <w:color w:val="000000" w:themeColor="text1"/>
                <w:sz w:val="24"/>
                <w:szCs w:val="24"/>
                <w:lang w:val="en-US" w:eastAsia="zh-CN" w:bidi="ar-SA"/>
                <w14:textFill>
                  <w14:solidFill>
                    <w14:schemeClr w14:val="tx1"/>
                  </w14:solidFill>
                </w14:textFill>
              </w:rPr>
              <w:t>（环办环评函[2020]688号）</w:t>
            </w: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的</w:t>
            </w:r>
            <w:r>
              <w:rPr>
                <w:rFonts w:hint="eastAsia" w:ascii="Times New Roman" w:hAnsi="Times New Roman" w:eastAsia="宋体" w:cs="Times New Roman"/>
                <w:b w:val="0"/>
                <w:color w:val="000000" w:themeColor="text1"/>
                <w:sz w:val="24"/>
                <w:szCs w:val="24"/>
                <w:lang w:val="en-US" w:eastAsia="zh-CN" w:bidi="ar-SA"/>
                <w14:textFill>
                  <w14:solidFill>
                    <w14:schemeClr w14:val="tx1"/>
                  </w14:solidFill>
                </w14:textFill>
              </w:rPr>
              <w:t>十三条内容的重大变动</w:t>
            </w: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情形。</w:t>
            </w:r>
          </w:p>
          <w:p>
            <w:pPr>
              <w:pStyle w:val="36"/>
              <w:spacing w:line="360" w:lineRule="auto"/>
              <w:ind w:firstLine="480" w:firstLineChars="200"/>
              <w:jc w:val="both"/>
              <w:rPr>
                <w:rFonts w:ascii="Times New Roman" w:hAnsi="Times New Roman" w:eastAsia="宋体" w:cs="Times New Roman"/>
                <w:b w:val="0"/>
                <w:color w:val="auto"/>
                <w:sz w:val="24"/>
                <w:szCs w:val="24"/>
                <w:lang w:val="en-US" w:eastAsia="zh-CN" w:bidi="ar-SA"/>
              </w:rPr>
            </w:pPr>
          </w:p>
          <w:p>
            <w:pPr>
              <w:pStyle w:val="36"/>
              <w:spacing w:line="360" w:lineRule="auto"/>
              <w:jc w:val="center"/>
              <w:rPr>
                <w:rFonts w:hint="default" w:ascii="Times New Roman" w:hAnsi="Times New Roman" w:eastAsia="宋体" w:cs="Times New Roman"/>
                <w:b/>
                <w:bCs/>
                <w:color w:val="auto"/>
                <w:sz w:val="21"/>
                <w:szCs w:val="21"/>
                <w:lang w:val="en-US" w:eastAsia="zh-CN"/>
              </w:rPr>
            </w:pPr>
          </w:p>
          <w:p>
            <w:pPr>
              <w:pStyle w:val="36"/>
              <w:spacing w:line="360" w:lineRule="auto"/>
              <w:jc w:val="center"/>
              <w:rPr>
                <w:rFonts w:hint="default" w:ascii="Times New Roman" w:hAnsi="Times New Roman" w:eastAsia="宋体" w:cs="Times New Roman"/>
                <w:b/>
                <w:bCs/>
                <w:color w:val="auto"/>
                <w:sz w:val="21"/>
                <w:szCs w:val="21"/>
                <w:lang w:val="en-US" w:eastAsia="zh-CN"/>
              </w:rPr>
            </w:pPr>
          </w:p>
          <w:p>
            <w:pPr>
              <w:pStyle w:val="36"/>
              <w:spacing w:line="360" w:lineRule="auto"/>
              <w:jc w:val="center"/>
              <w:rPr>
                <w:rFonts w:hint="default" w:ascii="Times New Roman" w:hAnsi="Times New Roman" w:eastAsia="宋体" w:cs="Times New Roman"/>
                <w:b/>
                <w:bCs/>
                <w:color w:val="auto"/>
                <w:sz w:val="21"/>
                <w:szCs w:val="21"/>
                <w:lang w:val="en-US" w:eastAsia="zh-CN"/>
              </w:rPr>
            </w:pPr>
          </w:p>
          <w:p>
            <w:pPr>
              <w:pStyle w:val="36"/>
              <w:spacing w:line="360" w:lineRule="auto"/>
              <w:jc w:val="center"/>
              <w:rPr>
                <w:rFonts w:hint="default" w:ascii="Times New Roman" w:hAnsi="Times New Roman" w:eastAsia="宋体" w:cs="Times New Roman"/>
                <w:b/>
                <w:bCs/>
                <w:color w:val="auto"/>
                <w:sz w:val="21"/>
                <w:szCs w:val="21"/>
                <w:lang w:val="en-US" w:eastAsia="zh-CN"/>
              </w:rPr>
            </w:pPr>
          </w:p>
          <w:p>
            <w:pPr>
              <w:pStyle w:val="36"/>
              <w:spacing w:line="360" w:lineRule="auto"/>
              <w:jc w:val="center"/>
              <w:rPr>
                <w:rFonts w:hint="default" w:ascii="Times New Roman" w:hAnsi="Times New Roman" w:eastAsia="宋体" w:cs="Times New Roman"/>
                <w:b/>
                <w:bCs/>
                <w:color w:val="auto"/>
                <w:sz w:val="21"/>
                <w:szCs w:val="21"/>
                <w:lang w:val="en-US" w:eastAsia="zh-CN"/>
              </w:rPr>
            </w:pPr>
          </w:p>
          <w:p>
            <w:pPr>
              <w:pStyle w:val="36"/>
              <w:spacing w:line="360" w:lineRule="auto"/>
              <w:jc w:val="center"/>
              <w:rPr>
                <w:rFonts w:hint="default" w:ascii="Times New Roman" w:hAnsi="Times New Roman" w:eastAsia="宋体" w:cs="Times New Roman"/>
                <w:b/>
                <w:bCs/>
                <w:color w:val="auto"/>
                <w:sz w:val="21"/>
                <w:szCs w:val="21"/>
                <w:lang w:val="en-US" w:eastAsia="zh-CN"/>
              </w:rPr>
            </w:pPr>
          </w:p>
          <w:p>
            <w:pPr>
              <w:pStyle w:val="36"/>
              <w:spacing w:line="360" w:lineRule="auto"/>
              <w:jc w:val="center"/>
              <w:rPr>
                <w:rFonts w:hint="default" w:ascii="Times New Roman" w:hAnsi="Times New Roman" w:eastAsia="宋体" w:cs="Times New Roman"/>
                <w:b/>
                <w:bCs/>
                <w:color w:val="auto"/>
                <w:sz w:val="21"/>
                <w:szCs w:val="21"/>
                <w:lang w:val="en-US" w:eastAsia="zh-CN"/>
              </w:rPr>
            </w:pPr>
          </w:p>
          <w:p>
            <w:pPr>
              <w:pStyle w:val="36"/>
              <w:spacing w:line="360" w:lineRule="auto"/>
              <w:jc w:val="center"/>
              <w:rPr>
                <w:rFonts w:ascii="Times New Roman" w:hAnsi="Times New Roman" w:eastAsia="宋体" w:cs="Times New Roman"/>
                <w:b w:val="0"/>
                <w:color w:val="auto"/>
                <w:sz w:val="24"/>
                <w:szCs w:val="24"/>
                <w:lang w:val="en-US" w:eastAsia="zh-CN" w:bidi="ar-SA"/>
              </w:rPr>
            </w:pPr>
            <w:r>
              <w:rPr>
                <w:rFonts w:hint="default" w:ascii="Times New Roman" w:hAnsi="Times New Roman" w:eastAsia="宋体" w:cs="Times New Roman"/>
                <w:b/>
                <w:bCs/>
                <w:color w:val="auto"/>
                <w:sz w:val="21"/>
                <w:szCs w:val="21"/>
                <w:lang w:val="en-US" w:eastAsia="zh-CN"/>
              </w:rPr>
              <w:t>表2-</w:t>
            </w:r>
            <w:r>
              <w:rPr>
                <w:rFonts w:hint="eastAsia" w:ascii="Times New Roman" w:hAnsi="Times New Roman"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cs="Times New Roman"/>
                <w:b/>
                <w:bCs/>
                <w:color w:val="auto"/>
                <w:sz w:val="21"/>
                <w:szCs w:val="21"/>
                <w:lang w:val="en-US" w:eastAsia="zh-CN"/>
              </w:rPr>
              <w:t>重大变动情况对照</w:t>
            </w:r>
            <w:r>
              <w:rPr>
                <w:rFonts w:hint="default" w:ascii="Times New Roman" w:hAnsi="Times New Roman" w:eastAsia="宋体" w:cs="Times New Roman"/>
                <w:b/>
                <w:bCs/>
                <w:color w:val="auto"/>
                <w:sz w:val="21"/>
                <w:szCs w:val="21"/>
                <w:lang w:val="en-US" w:eastAsia="zh-CN"/>
              </w:rPr>
              <w:t>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4493"/>
              <w:gridCol w:w="2664"/>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序号</w:t>
                  </w:r>
                </w:p>
              </w:tc>
              <w:tc>
                <w:tcPr>
                  <w:tcW w:w="2565"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lang w:val="en-US" w:eastAsia="zh-CN"/>
                    </w:rPr>
                    <w:t>污染影响类建设项目重大变动清单</w:t>
                  </w:r>
                </w:p>
              </w:tc>
              <w:tc>
                <w:tcPr>
                  <w:tcW w:w="1521"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本项目实际建设情况</w:t>
                  </w:r>
                </w:p>
              </w:tc>
              <w:tc>
                <w:tcPr>
                  <w:tcW w:w="668" w:type="pct"/>
                  <w:vAlign w:val="center"/>
                </w:tcPr>
                <w:p>
                  <w:pPr>
                    <w:spacing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是否存在</w:t>
                  </w:r>
                  <w:r>
                    <w:rPr>
                      <w:rFonts w:hint="eastAsia" w:ascii="Times New Roman" w:hAnsi="Times New Roman" w:eastAsia="宋体" w:cs="Times New Roman"/>
                      <w:color w:val="auto"/>
                      <w:sz w:val="21"/>
                      <w:szCs w:val="21"/>
                      <w:lang w:val="en-US" w:eastAsia="zh-CN"/>
                    </w:rPr>
                    <w:t>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lang w:val="en-US" w:eastAsia="zh-CN"/>
                    </w:rPr>
                    <w:t>1</w:t>
                  </w:r>
                </w:p>
              </w:tc>
              <w:tc>
                <w:tcPr>
                  <w:tcW w:w="2565" w:type="pct"/>
                </w:tcPr>
                <w:p>
                  <w:pPr>
                    <w:spacing w:line="240" w:lineRule="auto"/>
                    <w:jc w:val="center"/>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建设项目开发、使用功能发生变化的。</w:t>
                  </w:r>
                </w:p>
              </w:tc>
              <w:tc>
                <w:tcPr>
                  <w:tcW w:w="1521"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与环评设计一致</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lang w:val="en-US" w:eastAsia="zh-CN"/>
                    </w:rPr>
                    <w:t>2</w:t>
                  </w:r>
                </w:p>
              </w:tc>
              <w:tc>
                <w:tcPr>
                  <w:tcW w:w="2565" w:type="pct"/>
                </w:tcPr>
                <w:p>
                  <w:pPr>
                    <w:spacing w:line="240" w:lineRule="auto"/>
                    <w:jc w:val="center"/>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生产、处置或储存能力增大30%及以上的。</w:t>
                  </w:r>
                </w:p>
              </w:tc>
              <w:tc>
                <w:tcPr>
                  <w:tcW w:w="1521"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不存在此情形</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lang w:val="en-US" w:eastAsia="zh-CN"/>
                    </w:rPr>
                    <w:t>3</w:t>
                  </w:r>
                </w:p>
              </w:tc>
              <w:tc>
                <w:tcPr>
                  <w:tcW w:w="2565" w:type="pct"/>
                </w:tcPr>
                <w:p>
                  <w:pPr>
                    <w:spacing w:line="240" w:lineRule="auto"/>
                    <w:jc w:val="center"/>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生产、处置或储存能力增大，导致废水第一类污染物排放量增加的。</w:t>
                  </w:r>
                </w:p>
              </w:tc>
              <w:tc>
                <w:tcPr>
                  <w:tcW w:w="1521" w:type="pct"/>
                  <w:vAlign w:val="center"/>
                </w:tcPr>
                <w:p>
                  <w:pPr>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不存在此情形</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lang w:val="en-US" w:eastAsia="zh-CN"/>
                    </w:rPr>
                    <w:t>4</w:t>
                  </w:r>
                </w:p>
              </w:tc>
              <w:tc>
                <w:tcPr>
                  <w:tcW w:w="2565" w:type="pct"/>
                </w:tcPr>
                <w:p>
                  <w:pPr>
                    <w:spacing w:line="240" w:lineRule="auto"/>
                    <w:jc w:val="center"/>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521" w:type="pct"/>
                  <w:vAlign w:val="center"/>
                </w:tcPr>
                <w:p>
                  <w:pPr>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不存在此情形</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244" w:type="pct"/>
                  <w:vAlign w:val="center"/>
                </w:tcPr>
                <w:p>
                  <w:pPr>
                    <w:spacing w:line="240" w:lineRule="auto"/>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lang w:val="en-US" w:eastAsia="zh-CN"/>
                    </w:rPr>
                    <w:t>5</w:t>
                  </w:r>
                </w:p>
              </w:tc>
              <w:tc>
                <w:tcPr>
                  <w:tcW w:w="2565" w:type="pct"/>
                </w:tcPr>
                <w:p>
                  <w:pPr>
                    <w:spacing w:line="240" w:lineRule="auto"/>
                    <w:jc w:val="center"/>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重新选址；在原厂址附近调整（包括总平面布置变化）导致环境防护距离范围变化且新增敏感点的。</w:t>
                  </w:r>
                </w:p>
              </w:tc>
              <w:tc>
                <w:tcPr>
                  <w:tcW w:w="1521"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项目建设位置无变化</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lang w:val="en-US" w:eastAsia="zh-CN"/>
                    </w:rPr>
                    <w:t>6</w:t>
                  </w:r>
                </w:p>
              </w:tc>
              <w:tc>
                <w:tcPr>
                  <w:tcW w:w="2565" w:type="pct"/>
                  <w:vAlign w:val="top"/>
                </w:tcPr>
                <w:p>
                  <w:pPr>
                    <w:spacing w:line="240" w:lineRule="auto"/>
                    <w:jc w:val="center"/>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新增产品品种或生产工艺（含主要生产装置、设备及配套设施）、主要原辅材料、燃料变化，导致以下情形之一：</w:t>
                  </w:r>
                  <w:r>
                    <w:rPr>
                      <w:rFonts w:hint="eastAsia" w:ascii="Times New Roman" w:hAnsi="Times New Roman" w:eastAsia="宋体" w:cs="Times New Roman"/>
                      <w:color w:val="auto"/>
                      <w:sz w:val="21"/>
                      <w:szCs w:val="21"/>
                      <w:lang w:val="en-US" w:eastAsia="zh-CN"/>
                    </w:rPr>
                    <w:br w:type="textWrapping"/>
                  </w:r>
                  <w:r>
                    <w:rPr>
                      <w:rFonts w:hint="eastAsia" w:ascii="Times New Roman" w:hAnsi="Times New Roman" w:eastAsia="宋体" w:cs="Times New Roman"/>
                      <w:color w:val="auto"/>
                      <w:sz w:val="21"/>
                      <w:szCs w:val="21"/>
                      <w:lang w:val="en-US" w:eastAsia="zh-CN"/>
                    </w:rPr>
                    <w:t>（1）新增排放污染物种类的（毒性、挥发性降低的除外）；</w:t>
                  </w:r>
                  <w:r>
                    <w:rPr>
                      <w:rFonts w:hint="eastAsia" w:ascii="Times New Roman" w:hAnsi="Times New Roman" w:eastAsia="宋体" w:cs="Times New Roman"/>
                      <w:color w:val="auto"/>
                      <w:sz w:val="21"/>
                      <w:szCs w:val="21"/>
                      <w:lang w:val="en-US" w:eastAsia="zh-CN"/>
                    </w:rPr>
                    <w:br w:type="textWrapping"/>
                  </w:r>
                  <w:r>
                    <w:rPr>
                      <w:rFonts w:hint="eastAsia" w:ascii="Times New Roman" w:hAnsi="Times New Roman" w:eastAsia="宋体" w:cs="Times New Roman"/>
                      <w:color w:val="auto"/>
                      <w:sz w:val="21"/>
                      <w:szCs w:val="21"/>
                      <w:lang w:val="en-US" w:eastAsia="zh-CN"/>
                    </w:rPr>
                    <w:t>（2）位于环境质量不达标区的建设项目相应污染物排放量增加的；</w:t>
                  </w:r>
                  <w:r>
                    <w:rPr>
                      <w:rFonts w:hint="eastAsia" w:ascii="Times New Roman" w:hAnsi="Times New Roman" w:eastAsia="宋体" w:cs="Times New Roman"/>
                      <w:color w:val="auto"/>
                      <w:sz w:val="21"/>
                      <w:szCs w:val="21"/>
                      <w:lang w:val="en-US" w:eastAsia="zh-CN"/>
                    </w:rPr>
                    <w:br w:type="textWrapping"/>
                  </w:r>
                  <w:r>
                    <w:rPr>
                      <w:rFonts w:hint="eastAsia" w:ascii="Times New Roman" w:hAnsi="Times New Roman" w:eastAsia="宋体" w:cs="Times New Roman"/>
                      <w:color w:val="auto"/>
                      <w:sz w:val="21"/>
                      <w:szCs w:val="21"/>
                      <w:lang w:val="en-US" w:eastAsia="zh-CN"/>
                    </w:rPr>
                    <w:t>（3）废水第一类污染物排放量增加的；</w:t>
                  </w:r>
                  <w:r>
                    <w:rPr>
                      <w:rFonts w:hint="eastAsia" w:ascii="Times New Roman" w:hAnsi="Times New Roman" w:eastAsia="宋体" w:cs="Times New Roman"/>
                      <w:color w:val="auto"/>
                      <w:sz w:val="21"/>
                      <w:szCs w:val="21"/>
                      <w:lang w:val="en-US" w:eastAsia="zh-CN"/>
                    </w:rPr>
                    <w:br w:type="textWrapping"/>
                  </w:r>
                  <w:r>
                    <w:rPr>
                      <w:rFonts w:hint="eastAsia" w:ascii="Times New Roman" w:hAnsi="Times New Roman" w:eastAsia="宋体" w:cs="Times New Roman"/>
                      <w:color w:val="auto"/>
                      <w:sz w:val="21"/>
                      <w:szCs w:val="21"/>
                      <w:lang w:val="en-US" w:eastAsia="zh-CN"/>
                    </w:rPr>
                    <w:t>（4）其他污染物排放量增加10%及以上的。</w:t>
                  </w:r>
                </w:p>
              </w:tc>
              <w:tc>
                <w:tcPr>
                  <w:tcW w:w="1521"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项目不新增产品及生产工艺，原辅材料及燃料未发生变化</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lang w:val="en-US" w:eastAsia="zh-CN"/>
                    </w:rPr>
                    <w:t>7</w:t>
                  </w:r>
                </w:p>
              </w:tc>
              <w:tc>
                <w:tcPr>
                  <w:tcW w:w="2565" w:type="pct"/>
                </w:tcPr>
                <w:p>
                  <w:pPr>
                    <w:spacing w:line="240" w:lineRule="auto"/>
                    <w:jc w:val="center"/>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物料运输、装卸、贮存方式变化，导致大气污染物无组织排放量增加10%及以上的。</w:t>
                  </w:r>
                </w:p>
              </w:tc>
              <w:tc>
                <w:tcPr>
                  <w:tcW w:w="1521" w:type="pct"/>
                  <w:vAlign w:val="center"/>
                </w:tcPr>
                <w:p>
                  <w:pPr>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物料运输、装卸、贮存方式与环评设计一致</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lang w:val="en-US" w:eastAsia="zh-CN"/>
                    </w:rPr>
                    <w:t>8</w:t>
                  </w:r>
                </w:p>
              </w:tc>
              <w:tc>
                <w:tcPr>
                  <w:tcW w:w="2565" w:type="pct"/>
                </w:tcPr>
                <w:p>
                  <w:pPr>
                    <w:spacing w:line="240" w:lineRule="auto"/>
                    <w:jc w:val="center"/>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废气、废水污染防治措施变化，导致第6条中所列情形之一（废气无组织排放改为有组织排放、污染防治措施强化或改进的除外）或大气污染物无组织排放量增加10%及以上的。</w:t>
                  </w:r>
                </w:p>
              </w:tc>
              <w:tc>
                <w:tcPr>
                  <w:tcW w:w="1521" w:type="pct"/>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废气、废水污染防治措施无变化</w:t>
                  </w:r>
                </w:p>
              </w:tc>
              <w:tc>
                <w:tcPr>
                  <w:tcW w:w="668" w:type="pct"/>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lang w:val="en-US" w:eastAsia="zh-CN"/>
                    </w:rPr>
                    <w:t>9</w:t>
                  </w:r>
                </w:p>
              </w:tc>
              <w:tc>
                <w:tcPr>
                  <w:tcW w:w="2565" w:type="pct"/>
                </w:tcPr>
                <w:p>
                  <w:pPr>
                    <w:spacing w:line="240" w:lineRule="auto"/>
                    <w:jc w:val="center"/>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新增废水直接排放口；废水由间接排放改为直接排放；废水直接排放口位置变化，导致不利环境影响加重的。</w:t>
                  </w:r>
                </w:p>
              </w:tc>
              <w:tc>
                <w:tcPr>
                  <w:tcW w:w="1521"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废水排放方式及排放口与环评设计一致</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2565" w:type="pct"/>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新增废气主要排放口（废气无组织排放改为有组织排放的除外）；主要排放口排气筒高度降低10%及以上的。</w:t>
                  </w:r>
                </w:p>
              </w:tc>
              <w:tc>
                <w:tcPr>
                  <w:tcW w:w="1521"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项目不新增废气主要排放口</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2565" w:type="pct"/>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噪声、土壤或地下水污染防治措施变化，导致不利环境影响加重的。</w:t>
                  </w:r>
                </w:p>
              </w:tc>
              <w:tc>
                <w:tcPr>
                  <w:tcW w:w="1521" w:type="pct"/>
                  <w:vAlign w:val="center"/>
                </w:tcPr>
                <w:p>
                  <w:pPr>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噪声、土壤或地下水污染防治措施与环评设计一致</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2565" w:type="pct"/>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固体废物利用处置方式由委托外单位利用处置改为自行利用处置的（自行利用处置设施单独开展环境影响评价的除外）；固体废物自行处置方式变化，导致不利环境影响加重的。</w:t>
                  </w:r>
                </w:p>
              </w:tc>
              <w:tc>
                <w:tcPr>
                  <w:tcW w:w="1521" w:type="pct"/>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固体废物污染防治措施与环评设计一致</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2565" w:type="pct"/>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事故废水暂存能力或拦截设施变化，导致环境风险防范能力弱化或降低的。</w:t>
                  </w:r>
                </w:p>
              </w:tc>
              <w:tc>
                <w:tcPr>
                  <w:tcW w:w="1521" w:type="pct"/>
                  <w:vAlign w:val="center"/>
                </w:tcPr>
                <w:p>
                  <w:pPr>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事故废水暂存能力或拦截设施与环评设计一致</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bl>
          <w:p>
            <w:pPr>
              <w:pStyle w:val="36"/>
              <w:spacing w:line="360" w:lineRule="auto"/>
              <w:ind w:firstLine="482" w:firstLineChars="200"/>
              <w:jc w:val="both"/>
              <w:rPr>
                <w:rFonts w:ascii="Times New Roman" w:hAnsi="Times New Roman" w:cs="Times New Roman"/>
                <w:b/>
                <w:bCs/>
                <w:color w:val="auto"/>
              </w:rPr>
            </w:pPr>
          </w:p>
          <w:p>
            <w:pPr>
              <w:pStyle w:val="36"/>
              <w:spacing w:line="360" w:lineRule="auto"/>
              <w:ind w:firstLine="482" w:firstLineChars="200"/>
              <w:jc w:val="both"/>
              <w:rPr>
                <w:rFonts w:ascii="Times New Roman" w:hAnsi="Times New Roman" w:cs="Times New Roman"/>
                <w:b/>
                <w:bCs/>
                <w:color w:val="auto"/>
              </w:rPr>
            </w:pPr>
            <w:r>
              <w:rPr>
                <w:rFonts w:ascii="Times New Roman" w:hAnsi="Times New Roman" w:cs="Times New Roman"/>
                <w:b/>
                <w:bCs/>
                <w:color w:val="auto"/>
              </w:rPr>
              <w:t>5、水平衡：</w:t>
            </w:r>
          </w:p>
          <w:p>
            <w:pPr>
              <w:widowControl w:val="0"/>
              <w:spacing w:line="360" w:lineRule="auto"/>
              <w:ind w:firstLine="491" w:firstLineChars="205"/>
              <w:jc w:val="both"/>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项目运行过程中无需新增员工，生产用水主要为锅炉用水及锅炉脱硫除尘用水。</w:t>
            </w:r>
          </w:p>
          <w:p>
            <w:pPr>
              <w:widowControl w:val="0"/>
              <w:spacing w:line="360" w:lineRule="auto"/>
              <w:ind w:firstLine="491" w:firstLineChars="205"/>
              <w:jc w:val="both"/>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锅炉用水：项目</w:t>
            </w:r>
            <w:r>
              <w:rPr>
                <w:rFonts w:hint="eastAsia"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lang w:val="zh-CN" w:eastAsia="zh-CN"/>
              </w:rPr>
              <w:t>t/h的蒸汽锅炉，日运行8h，年运行</w:t>
            </w:r>
            <w:r>
              <w:rPr>
                <w:rFonts w:hint="eastAsia" w:ascii="Times New Roman" w:hAnsi="Times New Roman" w:eastAsia="宋体" w:cs="Times New Roman"/>
                <w:color w:val="auto"/>
                <w:sz w:val="24"/>
                <w:szCs w:val="24"/>
                <w:lang w:val="en-US" w:eastAsia="zh-CN"/>
              </w:rPr>
              <w:t>300d，</w:t>
            </w:r>
            <w:r>
              <w:rPr>
                <w:rFonts w:hint="eastAsia" w:ascii="Times New Roman" w:hAnsi="Times New Roman" w:eastAsia="宋体" w:cs="Times New Roman"/>
                <w:color w:val="auto"/>
                <w:sz w:val="24"/>
                <w:szCs w:val="24"/>
                <w:lang w:val="zh-CN" w:eastAsia="zh-CN"/>
              </w:rPr>
              <w:t>锅炉蒸汽用水经冷却后循环使用，蒸汽损耗量按</w:t>
            </w:r>
            <w:r>
              <w:rPr>
                <w:rFonts w:hint="eastAsia" w:ascii="Times New Roman" w:hAnsi="Times New Roman" w:eastAsia="宋体" w:cs="Times New Roman"/>
                <w:color w:val="auto"/>
                <w:sz w:val="24"/>
                <w:szCs w:val="24"/>
                <w:lang w:val="en-US" w:eastAsia="zh-CN"/>
              </w:rPr>
              <w:t>锅炉容量</w:t>
            </w:r>
            <w:r>
              <w:rPr>
                <w:rFonts w:hint="eastAsia" w:ascii="Times New Roman" w:hAnsi="Times New Roman" w:eastAsia="宋体" w:cs="Times New Roman"/>
                <w:color w:val="auto"/>
                <w:sz w:val="24"/>
                <w:szCs w:val="24"/>
                <w:lang w:val="zh-CN" w:eastAsia="zh-CN"/>
              </w:rPr>
              <w:t>（</w:t>
            </w:r>
            <w:r>
              <w:rPr>
                <w:rFonts w:hint="eastAsia"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lang w:val="zh-CN" w:eastAsia="zh-CN"/>
              </w:rPr>
              <w:t>t/h）的10%计算，蒸发损耗量为</w:t>
            </w:r>
            <w:r>
              <w:rPr>
                <w:rFonts w:hint="eastAsia" w:ascii="Times New Roman" w:hAnsi="Times New Roman" w:eastAsia="宋体" w:cs="Times New Roman"/>
                <w:color w:val="auto"/>
                <w:sz w:val="24"/>
                <w:szCs w:val="24"/>
                <w:lang w:val="en-US" w:eastAsia="zh-CN"/>
              </w:rPr>
              <w:t>0.6</w:t>
            </w:r>
            <w:r>
              <w:rPr>
                <w:rFonts w:hint="eastAsia" w:ascii="Times New Roman" w:hAnsi="Times New Roman" w:eastAsia="宋体" w:cs="Times New Roman"/>
                <w:color w:val="auto"/>
                <w:sz w:val="24"/>
                <w:szCs w:val="24"/>
                <w:lang w:val="zh-CN" w:eastAsia="zh-CN"/>
              </w:rPr>
              <w:t>t，则每天需补充新鲜水</w:t>
            </w:r>
            <w:r>
              <w:rPr>
                <w:rFonts w:hint="eastAsia" w:ascii="Times New Roman" w:hAnsi="Times New Roman" w:eastAsia="宋体" w:cs="Times New Roman"/>
                <w:color w:val="auto"/>
                <w:sz w:val="24"/>
                <w:szCs w:val="24"/>
                <w:lang w:val="en-US" w:eastAsia="zh-CN"/>
              </w:rPr>
              <w:t>0.6</w:t>
            </w:r>
            <w:r>
              <w:rPr>
                <w:rFonts w:hint="eastAsia" w:ascii="Times New Roman" w:hAnsi="Times New Roman" w:eastAsia="宋体" w:cs="Times New Roman"/>
                <w:color w:val="auto"/>
                <w:sz w:val="24"/>
                <w:szCs w:val="24"/>
                <w:lang w:val="zh-CN" w:eastAsia="zh-CN"/>
              </w:rPr>
              <w:t>t，即年补充新鲜水</w:t>
            </w:r>
            <w:r>
              <w:rPr>
                <w:rFonts w:hint="eastAsia" w:ascii="Times New Roman" w:hAnsi="Times New Roman" w:eastAsia="宋体" w:cs="Times New Roman"/>
                <w:color w:val="auto"/>
                <w:sz w:val="24"/>
                <w:szCs w:val="24"/>
                <w:lang w:val="en-US" w:eastAsia="zh-CN"/>
              </w:rPr>
              <w:t>180t</w:t>
            </w:r>
            <w:r>
              <w:rPr>
                <w:rFonts w:hint="eastAsia" w:ascii="Times New Roman" w:hAnsi="Times New Roman" w:eastAsia="宋体" w:cs="Times New Roman"/>
                <w:color w:val="auto"/>
                <w:sz w:val="24"/>
                <w:szCs w:val="24"/>
                <w:lang w:val="zh-CN" w:eastAsia="zh-CN"/>
              </w:rPr>
              <w:t>。</w:t>
            </w:r>
          </w:p>
          <w:p>
            <w:pPr>
              <w:widowControl w:val="0"/>
              <w:spacing w:line="360" w:lineRule="auto"/>
              <w:ind w:firstLine="491" w:firstLineChars="205"/>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锅炉脱硫除尘用水：锅炉脱硫除尘水循环水量约12t/h，这部分水经沉淀后回用，损耗量约20%，则补充新鲜水量约2.4t/d（即720 t/a）。</w:t>
            </w:r>
          </w:p>
          <w:p>
            <w:pPr>
              <w:pStyle w:val="3"/>
              <w:widowControl w:val="0"/>
              <w:jc w:val="center"/>
              <w:rPr>
                <w:rFonts w:hint="default" w:ascii="Times New Roman" w:hAnsi="Times New Roman" w:eastAsia="宋体" w:cs="Times New Roman"/>
                <w:b/>
                <w:color w:val="auto"/>
                <w:sz w:val="21"/>
                <w:szCs w:val="18"/>
                <w:lang w:val="zh-CN"/>
              </w:rPr>
            </w:pPr>
            <w:r>
              <w:rPr>
                <w:color w:val="auto"/>
              </w:rPr>
              <w:drawing>
                <wp:inline distT="0" distB="0" distL="114300" distR="114300">
                  <wp:extent cx="3467100" cy="1562100"/>
                  <wp:effectExtent l="0" t="0" r="0" b="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3"/>
                          <a:stretch>
                            <a:fillRect/>
                          </a:stretch>
                        </pic:blipFill>
                        <pic:spPr>
                          <a:xfrm>
                            <a:off x="0" y="0"/>
                            <a:ext cx="3467100" cy="1562100"/>
                          </a:xfrm>
                          <a:prstGeom prst="rect">
                            <a:avLst/>
                          </a:prstGeom>
                          <a:noFill/>
                          <a:ln>
                            <a:noFill/>
                          </a:ln>
                        </pic:spPr>
                      </pic:pic>
                    </a:graphicData>
                  </a:graphic>
                </wp:inline>
              </w:drawing>
            </w:r>
          </w:p>
          <w:p>
            <w:pPr>
              <w:pStyle w:val="3"/>
              <w:widowControl w:val="0"/>
              <w:jc w:val="center"/>
              <w:rPr>
                <w:rFonts w:hint="eastAsia"/>
                <w:color w:val="auto"/>
                <w:lang w:val="en-US" w:eastAsia="zh-CN"/>
              </w:rPr>
            </w:pPr>
            <w:r>
              <w:rPr>
                <w:rFonts w:hint="default" w:ascii="Times New Roman" w:hAnsi="Times New Roman" w:eastAsia="宋体" w:cs="Times New Roman"/>
                <w:b/>
                <w:color w:val="auto"/>
                <w:sz w:val="21"/>
                <w:szCs w:val="18"/>
                <w:lang w:val="zh-CN"/>
              </w:rPr>
              <w:t>图</w:t>
            </w:r>
            <w:r>
              <w:rPr>
                <w:rFonts w:hint="eastAsia" w:ascii="Times New Roman" w:hAnsi="Times New Roman" w:eastAsia="宋体" w:cs="Times New Roman"/>
                <w:b/>
                <w:color w:val="auto"/>
                <w:sz w:val="21"/>
                <w:szCs w:val="18"/>
                <w:lang w:val="en-US" w:eastAsia="zh-CN"/>
              </w:rPr>
              <w:t>2-1</w:t>
            </w:r>
            <w:r>
              <w:rPr>
                <w:rFonts w:hint="default" w:ascii="Times New Roman" w:hAnsi="Times New Roman" w:eastAsia="宋体" w:cs="Times New Roman"/>
                <w:b/>
                <w:color w:val="auto"/>
                <w:sz w:val="21"/>
                <w:szCs w:val="18"/>
                <w:lang w:val="en-US" w:eastAsia="zh-CN"/>
              </w:rPr>
              <w:t xml:space="preserve"> </w:t>
            </w:r>
            <w:r>
              <w:rPr>
                <w:rFonts w:hint="eastAsia" w:ascii="Times New Roman" w:hAnsi="Times New Roman" w:eastAsia="宋体" w:cs="Times New Roman"/>
                <w:b/>
                <w:color w:val="auto"/>
                <w:sz w:val="21"/>
                <w:szCs w:val="18"/>
                <w:lang w:val="en-US" w:eastAsia="zh-CN"/>
              </w:rPr>
              <w:t>水平衡图（</w:t>
            </w:r>
            <w:r>
              <w:rPr>
                <w:rFonts w:hint="eastAsia" w:ascii="Times New Roman" w:hAnsi="Times New Roman" w:eastAsia="宋体" w:cs="Times New Roman"/>
                <w:color w:val="auto"/>
                <w:sz w:val="21"/>
                <w:szCs w:val="36"/>
                <w:lang w:val="en-US" w:eastAsia="zh-CN"/>
              </w:rPr>
              <w:t>t</w:t>
            </w:r>
            <w:r>
              <w:rPr>
                <w:rFonts w:hint="eastAsia" w:ascii="Times New Roman" w:hAnsi="Times New Roman" w:eastAsia="宋体" w:cs="Times New Roman"/>
                <w:b/>
                <w:color w:val="auto"/>
                <w:sz w:val="21"/>
                <w:szCs w:val="18"/>
                <w:lang w:val="en-US" w:eastAsia="zh-CN"/>
              </w:rPr>
              <w:t>/a）</w:t>
            </w:r>
          </w:p>
          <w:p>
            <w:pPr>
              <w:pStyle w:val="23"/>
              <w:keepNext w:val="0"/>
              <w:keepLines w:val="0"/>
              <w:pageBreakBefore w:val="0"/>
              <w:widowControl w:val="0"/>
              <w:kinsoku/>
              <w:wordWrap/>
              <w:overflowPunct/>
              <w:topLinePunct w:val="0"/>
              <w:autoSpaceDE/>
              <w:autoSpaceDN/>
              <w:bidi w:val="0"/>
              <w:adjustRightInd w:val="0"/>
              <w:snapToGrid w:val="0"/>
              <w:spacing w:before="181" w:beforeLines="50"/>
              <w:ind w:firstLine="450" w:firstLineChars="200"/>
              <w:jc w:val="both"/>
              <w:textAlignment w:val="auto"/>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6、主要工艺流程及产污环节</w:t>
            </w:r>
          </w:p>
          <w:p>
            <w:pPr>
              <w:pStyle w:val="23"/>
              <w:widowControl w:val="0"/>
              <w:ind w:firstLine="0" w:firstLineChars="0"/>
              <w:jc w:val="left"/>
              <w:rPr>
                <w:rFonts w:ascii="Times New Roman" w:hAnsi="Times New Roman" w:eastAsia="宋体" w:cs="Times New Roman"/>
                <w:b/>
                <w:bCs/>
                <w:color w:val="000000" w:themeColor="text1"/>
                <w:sz w:val="21"/>
                <w:szCs w:val="21"/>
                <w14:textFill>
                  <w14:solidFill>
                    <w14:schemeClr w14:val="tx1"/>
                  </w14:solidFill>
                </w14:textFill>
              </w:rPr>
            </w:pPr>
          </w:p>
          <w:p>
            <w:pPr>
              <w:pStyle w:val="58"/>
              <w:widowControl w:val="0"/>
              <w:jc w:val="both"/>
              <w:rPr>
                <w:rFonts w:hint="default" w:ascii="Times New Roman" w:hAnsi="Times New Roman" w:eastAsia="宋体" w:cs="Times New Roman"/>
                <w:color w:val="000000" w:themeColor="text1"/>
                <w:lang w:val="en-US" w:eastAsia="zh-CN"/>
                <w14:textFill>
                  <w14:solidFill>
                    <w14:schemeClr w14:val="tx1"/>
                  </w14:solidFill>
                </w14:textFill>
              </w:rPr>
            </w:pPr>
            <w:bookmarkStart w:id="1" w:name="_Toc29387767"/>
            <w:r>
              <w:rPr>
                <w:rFonts w:hint="default"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lang w:val="en-US" w:eastAsia="zh-CN"/>
                <w14:textFill>
                  <w14:solidFill>
                    <w14:schemeClr w14:val="tx1"/>
                  </w14:solidFill>
                </w14:textFill>
              </w:rPr>
              <w:t>工艺流程</w:t>
            </w:r>
          </w:p>
          <w:p>
            <w:pPr>
              <w:pStyle w:val="58"/>
              <w:widowControl w:val="0"/>
              <w:ind w:left="0" w:leftChars="0" w:firstLine="0" w:firstLineChars="0"/>
              <w:jc w:val="center"/>
              <w:rPr>
                <w:rFonts w:hint="default" w:ascii="Times New Roman" w:hAnsi="Times New Roman" w:eastAsia="宋体" w:cs="Times New Roman"/>
                <w:color w:val="0000FF"/>
                <w:lang w:eastAsia="zh-CN"/>
              </w:rPr>
            </w:pPr>
            <w:r>
              <w:drawing>
                <wp:inline distT="0" distB="0" distL="114300" distR="114300">
                  <wp:extent cx="3762375" cy="1400175"/>
                  <wp:effectExtent l="0" t="0" r="9525" b="952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4"/>
                          <a:stretch>
                            <a:fillRect/>
                          </a:stretch>
                        </pic:blipFill>
                        <pic:spPr>
                          <a:xfrm>
                            <a:off x="0" y="0"/>
                            <a:ext cx="3762375" cy="1400175"/>
                          </a:xfrm>
                          <a:prstGeom prst="rect">
                            <a:avLst/>
                          </a:prstGeom>
                          <a:noFill/>
                          <a:ln>
                            <a:noFill/>
                          </a:ln>
                        </pic:spPr>
                      </pic:pic>
                    </a:graphicData>
                  </a:graphic>
                </wp:inline>
              </w:drawing>
            </w:r>
          </w:p>
          <w:p>
            <w:pPr>
              <w:pStyle w:val="14"/>
              <w:keepNext w:val="0"/>
              <w:keepLines w:val="0"/>
              <w:pageBreakBefore w:val="0"/>
              <w:widowControl w:val="0"/>
              <w:kinsoku/>
              <w:wordWrap/>
              <w:overflowPunct/>
              <w:topLinePunct w:val="0"/>
              <w:bidi w:val="0"/>
              <w:adjustRightInd/>
              <w:snapToGrid/>
              <w:spacing w:line="360" w:lineRule="auto"/>
              <w:ind w:left="0" w:right="0" w:firstLine="480" w:firstLineChars="200"/>
              <w:jc w:val="both"/>
              <w:textAlignment w:val="auto"/>
              <w:rPr>
                <w:rFonts w:hint="eastAsia" w:ascii="Times New Roman" w:hAnsi="Times New Roman" w:eastAsia="宋体" w:cs="Times New Roman"/>
                <w:color w:val="000000" w:themeColor="text1"/>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2"/>
                <w:lang w:val="en-US" w:eastAsia="zh-CN" w:bidi="ar-SA"/>
                <w14:textFill>
                  <w14:solidFill>
                    <w14:schemeClr w14:val="tx1"/>
                  </w14:solidFill>
                </w14:textFill>
              </w:rPr>
              <w:t>主要产污环节：</w:t>
            </w:r>
          </w:p>
          <w:p>
            <w:pPr>
              <w:pStyle w:val="74"/>
              <w:keepNext w:val="0"/>
              <w:keepLines w:val="0"/>
              <w:pageBreakBefore w:val="0"/>
              <w:widowControl w:val="0"/>
              <w:numPr>
                <w:ilvl w:val="0"/>
                <w:numId w:val="0"/>
              </w:numPr>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2"/>
                <w:lang w:val="en-US" w:eastAsia="zh-CN" w:bidi="ar-SA"/>
                <w14:textFill>
                  <w14:solidFill>
                    <w14:schemeClr w14:val="tx1"/>
                  </w14:solidFill>
                </w14:textFill>
              </w:rPr>
              <w:t>废水：项目无需新增员工，运行过程中无废水产生。</w:t>
            </w:r>
          </w:p>
          <w:p>
            <w:pPr>
              <w:pStyle w:val="74"/>
              <w:keepNext w:val="0"/>
              <w:keepLines w:val="0"/>
              <w:pageBreakBefore w:val="0"/>
              <w:widowControl w:val="0"/>
              <w:numPr>
                <w:ilvl w:val="0"/>
                <w:numId w:val="0"/>
              </w:numPr>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2"/>
                <w:lang w:val="en-US" w:eastAsia="zh-CN" w:bidi="ar-SA"/>
                <w14:textFill>
                  <w14:solidFill>
                    <w14:schemeClr w14:val="tx1"/>
                  </w14:solidFill>
                </w14:textFill>
              </w:rPr>
              <w:t xml:space="preserve">废气：锅炉烟气，主要成分为颗粒物、二氧化硫、氮氧化物，拟配套袋式除尘器及排气筒，经处理后通过排气筒排放。 </w:t>
            </w:r>
          </w:p>
          <w:p>
            <w:pPr>
              <w:pStyle w:val="74"/>
              <w:keepNext w:val="0"/>
              <w:keepLines w:val="0"/>
              <w:pageBreakBefore w:val="0"/>
              <w:widowControl w:val="0"/>
              <w:kinsoku/>
              <w:wordWrap/>
              <w:overflowPunct/>
              <w:topLinePunct w:val="0"/>
              <w:bidi w:val="0"/>
              <w:adjustRightInd/>
              <w:snapToGrid/>
              <w:spacing w:line="360" w:lineRule="auto"/>
              <w:ind w:firstLine="480"/>
              <w:jc w:val="both"/>
              <w:textAlignment w:val="auto"/>
              <w:rPr>
                <w:rFonts w:hint="eastAsia" w:ascii="Times New Roman" w:hAnsi="Times New Roman" w:eastAsia="宋体" w:cs="Times New Roman"/>
                <w:color w:val="000000" w:themeColor="text1"/>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2"/>
                <w:lang w:val="en-US" w:eastAsia="zh-CN" w:bidi="ar-SA"/>
                <w14:textFill>
                  <w14:solidFill>
                    <w14:schemeClr w14:val="tx1"/>
                  </w14:solidFill>
                </w14:textFill>
              </w:rPr>
              <w:t>噪声：项目噪声污染源主要为设备噪声，如锅炉、风机等。</w:t>
            </w:r>
          </w:p>
          <w:p>
            <w:pPr>
              <w:widowControl w:val="0"/>
              <w:numPr>
                <w:ilvl w:val="0"/>
                <w:numId w:val="0"/>
              </w:numPr>
              <w:spacing w:line="360" w:lineRule="auto"/>
              <w:ind w:firstLine="480" w:firstLineChars="200"/>
              <w:jc w:val="both"/>
              <w:rPr>
                <w:rFonts w:hint="eastAsia" w:ascii="Times New Roman" w:hAnsi="Times New Roman" w:eastAsia="宋体" w:cs="Times New Roman"/>
                <w:color w:val="000000" w:themeColor="text1"/>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2"/>
                <w:lang w:val="en-US" w:eastAsia="zh-CN" w:bidi="ar-SA"/>
                <w14:textFill>
                  <w14:solidFill>
                    <w14:schemeClr w14:val="tx1"/>
                  </w14:solidFill>
                </w14:textFill>
              </w:rPr>
              <w:t>固废：项目运行过程在主要固体废物为锅炉炉渣、除尘器收集的灰渣。</w:t>
            </w:r>
          </w:p>
          <w:p>
            <w:pPr>
              <w:pStyle w:val="2"/>
              <w:widowControl w:val="0"/>
              <w:jc w:val="both"/>
              <w:rPr>
                <w:rFonts w:hint="eastAsia" w:ascii="Times New Roman" w:hAnsi="Times New Roman" w:eastAsia="宋体" w:cs="Times New Roman"/>
                <w:color w:val="000000" w:themeColor="text1"/>
                <w:sz w:val="24"/>
                <w:szCs w:val="22"/>
                <w:lang w:val="en-US" w:eastAsia="zh-CN" w:bidi="ar-SA"/>
                <w14:textFill>
                  <w14:solidFill>
                    <w14:schemeClr w14:val="tx1"/>
                  </w14:solidFill>
                </w14:textFill>
              </w:rPr>
            </w:pPr>
          </w:p>
          <w:p>
            <w:pPr>
              <w:widowControl w:val="0"/>
              <w:jc w:val="both"/>
              <w:rPr>
                <w:rFonts w:hint="eastAsia" w:ascii="Times New Roman" w:hAnsi="Times New Roman" w:eastAsia="宋体" w:cs="Times New Roman"/>
                <w:color w:val="000000" w:themeColor="text1"/>
                <w:sz w:val="24"/>
                <w:szCs w:val="22"/>
                <w:lang w:val="en-US" w:eastAsia="zh-CN" w:bidi="ar-SA"/>
                <w14:textFill>
                  <w14:solidFill>
                    <w14:schemeClr w14:val="tx1"/>
                  </w14:solidFill>
                </w14:textFill>
              </w:rPr>
            </w:pPr>
          </w:p>
          <w:p>
            <w:pPr>
              <w:pStyle w:val="2"/>
              <w:widowControl w:val="0"/>
              <w:jc w:val="both"/>
              <w:rPr>
                <w:rFonts w:hint="eastAsia" w:ascii="Times New Roman" w:hAnsi="Times New Roman" w:eastAsia="宋体" w:cs="Times New Roman"/>
                <w:color w:val="000000" w:themeColor="text1"/>
                <w:sz w:val="24"/>
                <w:szCs w:val="22"/>
                <w:lang w:val="en-US" w:eastAsia="zh-CN" w:bidi="ar-SA"/>
                <w14:textFill>
                  <w14:solidFill>
                    <w14:schemeClr w14:val="tx1"/>
                  </w14:solidFill>
                </w14:textFill>
              </w:rPr>
            </w:pPr>
          </w:p>
          <w:p>
            <w:pPr>
              <w:widowControl w:val="0"/>
              <w:jc w:val="both"/>
              <w:rPr>
                <w:rFonts w:hint="eastAsia" w:ascii="Times New Roman" w:hAnsi="Times New Roman" w:eastAsia="宋体" w:cs="Times New Roman"/>
                <w:color w:val="000000" w:themeColor="text1"/>
                <w:sz w:val="24"/>
                <w:szCs w:val="22"/>
                <w:lang w:val="en-US" w:eastAsia="zh-CN" w:bidi="ar-SA"/>
                <w14:textFill>
                  <w14:solidFill>
                    <w14:schemeClr w14:val="tx1"/>
                  </w14:solidFill>
                </w14:textFill>
              </w:rPr>
            </w:pPr>
          </w:p>
          <w:p>
            <w:pPr>
              <w:pStyle w:val="2"/>
              <w:widowControl w:val="0"/>
              <w:jc w:val="both"/>
              <w:rPr>
                <w:rFonts w:hint="eastAsia" w:ascii="Times New Roman" w:hAnsi="Times New Roman" w:eastAsia="宋体" w:cs="Times New Roman"/>
                <w:color w:val="000000" w:themeColor="text1"/>
                <w:sz w:val="24"/>
                <w:szCs w:val="22"/>
                <w:lang w:val="en-US" w:eastAsia="zh-CN" w:bidi="ar-SA"/>
                <w14:textFill>
                  <w14:solidFill>
                    <w14:schemeClr w14:val="tx1"/>
                  </w14:solidFill>
                </w14:textFill>
              </w:rPr>
            </w:pPr>
          </w:p>
          <w:p>
            <w:pPr>
              <w:pStyle w:val="4"/>
              <w:widowControl w:val="0"/>
              <w:numPr>
                <w:ilvl w:val="0"/>
                <w:numId w:val="3"/>
              </w:numPr>
              <w:spacing w:line="415" w:lineRule="auto"/>
              <w:ind w:firstLine="450" w:firstLineChars="200"/>
              <w:jc w:val="both"/>
              <w:outlineLvl w:val="1"/>
              <w:rPr>
                <w:rFonts w:ascii="Times New Roman" w:hAnsi="Times New Roman" w:eastAsia="宋体" w:cs="Times New Roman"/>
                <w:color w:val="000000" w:themeColor="text1"/>
                <w:spacing w:val="-8"/>
                <w:kern w:val="0"/>
                <w:sz w:val="24"/>
                <w:szCs w:val="24"/>
                <w14:textFill>
                  <w14:solidFill>
                    <w14:schemeClr w14:val="tx1"/>
                  </w14:solidFill>
                </w14:textFill>
              </w:rPr>
            </w:pPr>
            <w:r>
              <w:rPr>
                <w:rFonts w:ascii="Times New Roman" w:hAnsi="Times New Roman" w:eastAsia="宋体" w:cs="Times New Roman"/>
                <w:color w:val="000000" w:themeColor="text1"/>
                <w:spacing w:val="-8"/>
                <w:kern w:val="0"/>
                <w:sz w:val="24"/>
                <w:szCs w:val="24"/>
                <w14:textFill>
                  <w14:solidFill>
                    <w14:schemeClr w14:val="tx1"/>
                  </w14:solidFill>
                </w14:textFill>
              </w:rPr>
              <w:t>不符合验收情形统计</w:t>
            </w:r>
            <w:bookmarkEnd w:id="1"/>
          </w:p>
          <w:p>
            <w:pPr>
              <w:widowControl/>
              <w:spacing w:line="360" w:lineRule="auto"/>
              <w:ind w:firstLine="480" w:firstLineChars="200"/>
              <w:jc w:val="both"/>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项目实际建设情况，经过与《建设项目竣工环境保护验收暂行办法》第八条逐一对照，最终得出结论：本项目不存在《建设项目竣工环境保护验收暂行办法》（以下简称《办法》）第八条规定的验收不合格情形。本项目实际建设情况与《办法》第八条规定详细对比情况见下表</w:t>
            </w:r>
            <w:r>
              <w:rPr>
                <w:rFonts w:hint="eastAsia" w:ascii="Times New Roman" w:hAnsi="Times New Roman" w:eastAsia="宋体" w:cs="Times New Roman"/>
                <w:color w:val="000000" w:themeColor="text1"/>
                <w:sz w:val="24"/>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6</w:t>
            </w:r>
            <w:r>
              <w:rPr>
                <w:rFonts w:ascii="Times New Roman" w:hAnsi="Times New Roman" w:eastAsia="宋体" w:cs="Times New Roman"/>
                <w:color w:val="000000" w:themeColor="text1"/>
                <w:sz w:val="24"/>
                <w14:textFill>
                  <w14:solidFill>
                    <w14:schemeClr w14:val="tx1"/>
                  </w14:solidFill>
                </w14:textFill>
              </w:rPr>
              <w:t>。</w:t>
            </w:r>
          </w:p>
          <w:p>
            <w:pPr>
              <w:pStyle w:val="51"/>
              <w:widowControl w:val="0"/>
              <w:spacing w:beforeLines="0" w:afterLines="0"/>
              <w:ind w:firstLine="422" w:firstLineChars="20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表</w:t>
            </w:r>
            <w:r>
              <w:rPr>
                <w:rFonts w:hint="eastAsia"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val="en-US" w:eastAsia="zh-CN"/>
              </w:rPr>
              <w:t xml:space="preserve">7 </w:t>
            </w:r>
            <w:r>
              <w:rPr>
                <w:rFonts w:ascii="Times New Roman" w:hAnsi="Times New Roman" w:eastAsia="宋体" w:cs="Times New Roman"/>
                <w:color w:val="auto"/>
                <w:sz w:val="21"/>
                <w:szCs w:val="21"/>
              </w:rPr>
              <w:t>项目与《建设项目竣工环境保护验收暂行办法》第八条规定对照情况一览表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3416"/>
              <w:gridCol w:w="3742"/>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序号</w:t>
                  </w:r>
                </w:p>
              </w:tc>
              <w:tc>
                <w:tcPr>
                  <w:tcW w:w="1951"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《办法》规定不得提出验收合格意见的情形</w:t>
                  </w:r>
                </w:p>
              </w:tc>
              <w:tc>
                <w:tcPr>
                  <w:tcW w:w="2137"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本项目实际建设情况</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是否存在不符合验收情形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p>
              </w:tc>
              <w:tc>
                <w:tcPr>
                  <w:tcW w:w="1951"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未按环境影响报告书（表）及其审批部门审批决定要求建成环境保护设施，或者环境保护设施不能与主体工程同时投产或者使用的；</w:t>
                  </w:r>
                </w:p>
              </w:tc>
              <w:tc>
                <w:tcPr>
                  <w:tcW w:w="2137"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项目按照建设项目环评及环评批复同时设计和建设了生活污水、废气、噪声、固废等污染防治设施，并同时投入试生产；</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w:t>
                  </w:r>
                </w:p>
              </w:tc>
              <w:tc>
                <w:tcPr>
                  <w:tcW w:w="1951"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污染物排放不符合国家和地方相关标准、环境影响报告书（表）及其审批部门审批决定或者重点污染物排放总量控制指标要求的；</w:t>
                  </w:r>
                </w:p>
              </w:tc>
              <w:tc>
                <w:tcPr>
                  <w:tcW w:w="2137"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根据监测</w:t>
                  </w:r>
                  <w:r>
                    <w:rPr>
                      <w:rFonts w:hint="eastAsia" w:ascii="Times New Roman" w:hAnsi="Times New Roman" w:eastAsia="宋体" w:cs="Times New Roman"/>
                      <w:color w:val="auto"/>
                      <w:sz w:val="21"/>
                      <w:szCs w:val="21"/>
                    </w:rPr>
                    <w:t>结果</w:t>
                  </w:r>
                  <w:r>
                    <w:rPr>
                      <w:rFonts w:ascii="Times New Roman" w:hAnsi="Times New Roman" w:eastAsia="宋体"/>
                      <w:color w:val="auto"/>
                      <w:sz w:val="21"/>
                      <w:szCs w:val="21"/>
                    </w:rPr>
                    <w:t>，项目废气、噪声监测结果均符合相关标准要求</w:t>
                  </w:r>
                  <w:r>
                    <w:rPr>
                      <w:rFonts w:ascii="Times New Roman" w:hAnsi="Times New Roman" w:eastAsia="宋体" w:cs="Times New Roman"/>
                      <w:color w:val="auto"/>
                      <w:sz w:val="21"/>
                      <w:szCs w:val="21"/>
                    </w:rPr>
                    <w:t>；</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w:t>
                  </w:r>
                </w:p>
              </w:tc>
              <w:tc>
                <w:tcPr>
                  <w:tcW w:w="1951"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2137"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本项目性质、规模、地点、采用的生产工艺和防治污染、防止生态破坏的措施均未发生重大变动。</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w:t>
                  </w:r>
                </w:p>
              </w:tc>
              <w:tc>
                <w:tcPr>
                  <w:tcW w:w="1951"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建设过程中造成重大环境污染未治理完成，或者造成重大生态破坏未恢复的；</w:t>
                  </w:r>
                </w:p>
              </w:tc>
              <w:tc>
                <w:tcPr>
                  <w:tcW w:w="2137"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项目建设过程中未造成重大环境污染，未造成重大生态破坏；</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w:t>
                  </w:r>
                </w:p>
              </w:tc>
              <w:tc>
                <w:tcPr>
                  <w:tcW w:w="1951"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纳入排污许可管理的建设项目，无证排污或者不按证排污的；</w:t>
                  </w:r>
                </w:p>
              </w:tc>
              <w:tc>
                <w:tcPr>
                  <w:tcW w:w="2137" w:type="pct"/>
                  <w:vAlign w:val="center"/>
                </w:tcPr>
                <w:p>
                  <w:pPr>
                    <w:spacing w:line="240" w:lineRule="auto"/>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已办理排污许可登记，登记编号为91350622589584634H001W</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w:t>
                  </w:r>
                </w:p>
              </w:tc>
              <w:tc>
                <w:tcPr>
                  <w:tcW w:w="1951"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分期建设、分期投入生产或者使用依法应当分期验收的建设项目，其分期建设、分期投入生产或者使用的环境保护设施防治环境污染和生态破坏的能力不能满足其相应主体工程需要的；</w:t>
                  </w:r>
                </w:p>
              </w:tc>
              <w:tc>
                <w:tcPr>
                  <w:tcW w:w="2137"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根据验收监测结果，项目配套建设的环境保护设施防治环境污染和生态破坏的能力可以满足主体工程需要；</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w:t>
                  </w:r>
                </w:p>
              </w:tc>
              <w:tc>
                <w:tcPr>
                  <w:tcW w:w="1951"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建设单位因该建设项目违反国家和地方环境保护法律法规受到处罚，被责令改正，尚未改正完成的；</w:t>
                  </w:r>
                </w:p>
              </w:tc>
              <w:tc>
                <w:tcPr>
                  <w:tcW w:w="2137" w:type="pct"/>
                  <w:vAlign w:val="center"/>
                </w:tcPr>
                <w:p>
                  <w:pPr>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本项目不存处罚情形</w:t>
                  </w:r>
                  <w:r>
                    <w:rPr>
                      <w:rFonts w:ascii="Times New Roman" w:hAnsi="Times New Roman" w:eastAsia="宋体" w:cs="Times New Roman"/>
                      <w:color w:val="auto"/>
                      <w:sz w:val="21"/>
                      <w:szCs w:val="21"/>
                    </w:rPr>
                    <w:t>；</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w:t>
                  </w:r>
                </w:p>
              </w:tc>
              <w:tc>
                <w:tcPr>
                  <w:tcW w:w="1951" w:type="pct"/>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验收报告的基础资料数据明显不实，内容存在重大缺项、遗漏，或者验收结论不明确、不合理的；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验收报告的基础资料来自企业提供以及</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厦门华厦学苑检测有限公司</w:t>
                  </w:r>
                  <w:r>
                    <w:rPr>
                      <w:rFonts w:ascii="Times New Roman" w:hAnsi="Times New Roman" w:eastAsia="宋体" w:cs="Times New Roman"/>
                      <w:color w:val="000000" w:themeColor="text1"/>
                      <w:sz w:val="21"/>
                      <w:szCs w:val="21"/>
                      <w14:textFill>
                        <w14:solidFill>
                          <w14:schemeClr w14:val="tx1"/>
                        </w14:solidFill>
                      </w14:textFill>
                    </w:rPr>
                    <w:t>采样检测所得数据，报告内容无重大缺项或遗漏，验收结论明确、合理；</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其他环境保护法律法规规章等规定不得通过环境保护验收的。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项目不存在其他环境保护法律法规规章等规定不得通过环境保护验收的。</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bl>
          <w:p>
            <w:pPr>
              <w:pStyle w:val="24"/>
              <w:widowControl w:val="0"/>
              <w:jc w:val="left"/>
              <w:rPr>
                <w:color w:val="0000FF"/>
              </w:rPr>
            </w:pP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9"/>
        <w:rPr>
          <w:rFonts w:ascii="Times New Roman" w:hAnsi="Times New Roman" w:eastAsia="宋体" w:cs="Times New Roman"/>
          <w:b/>
          <w:color w:val="0000FF"/>
          <w:sz w:val="21"/>
          <w:szCs w:val="21"/>
        </w:r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表三</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2" w:hRule="atLeast"/>
        </w:trPr>
        <w:tc>
          <w:tcPr>
            <w:tcW w:w="8522" w:type="dxa"/>
          </w:tcPr>
          <w:p>
            <w:pPr>
              <w:widowControl/>
              <w:numPr>
                <w:ilvl w:val="255"/>
                <w:numId w:val="0"/>
              </w:numPr>
              <w:spacing w:line="360" w:lineRule="auto"/>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主要污染源、污染物处理和排放：</w:t>
            </w:r>
          </w:p>
          <w:p>
            <w:pPr>
              <w:widowControl/>
              <w:numPr>
                <w:ilvl w:val="0"/>
                <w:numId w:val="4"/>
              </w:numPr>
              <w:spacing w:line="360" w:lineRule="auto"/>
              <w:ind w:left="0" w:leftChars="0" w:firstLine="480" w:firstLineChars="200"/>
              <w:jc w:val="both"/>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废水：</w:t>
            </w:r>
            <w:r>
              <w:rPr>
                <w:rFonts w:hint="eastAsia" w:ascii="Times New Roman" w:hAnsi="Times New Roman" w:eastAsia="宋体" w:cs="Times New Roman"/>
                <w:color w:val="000000" w:themeColor="text1"/>
                <w:sz w:val="24"/>
                <w:lang w:val="en-US" w:eastAsia="zh-CN"/>
                <w14:textFill>
                  <w14:solidFill>
                    <w14:schemeClr w14:val="tx1"/>
                  </w14:solidFill>
                </w14:textFill>
              </w:rPr>
              <w:t>本</w:t>
            </w:r>
            <w:r>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t>项目生产过程中</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产生的废水主要为生产废水</w:t>
            </w:r>
            <w:r>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t>。</w:t>
            </w:r>
          </w:p>
          <w:p>
            <w:pPr>
              <w:widowControl/>
              <w:numPr>
                <w:ilvl w:val="0"/>
                <w:numId w:val="0"/>
              </w:numPr>
              <w:spacing w:line="360" w:lineRule="auto"/>
              <w:ind w:firstLine="480" w:firstLineChars="200"/>
              <w:jc w:val="both"/>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t>无需新增员工，</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不新增生活废水</w:t>
            </w:r>
            <w:r>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t>，生产用水主要为锅炉用水及锅炉脱硫除尘用水，</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生产废水经沉淀后循环使用不外排。</w:t>
            </w:r>
          </w:p>
          <w:p>
            <w:pPr>
              <w:widowControl/>
              <w:spacing w:line="360" w:lineRule="auto"/>
              <w:ind w:firstLine="480" w:firstLineChars="200"/>
              <w:jc w:val="both"/>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2、废气</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lang w:val="en-US" w:eastAsia="zh-CN"/>
                <w14:textFill>
                  <w14:solidFill>
                    <w14:schemeClr w14:val="tx1"/>
                  </w14:solidFill>
                </w14:textFill>
              </w:rPr>
              <w:t>项目废气主要</w:t>
            </w:r>
            <w:r>
              <w:rPr>
                <w:rFonts w:hint="eastAsia" w:ascii="Times New Roman" w:hAnsi="Times New Roman" w:eastAsia="宋体" w:cs="Times New Roman"/>
                <w:color w:val="000000" w:themeColor="text1"/>
                <w:sz w:val="24"/>
                <w:lang w:val="en-US" w:eastAsia="zh-CN"/>
                <w14:textFill>
                  <w14:solidFill>
                    <w14:schemeClr w14:val="tx1"/>
                  </w14:solidFill>
                </w14:textFill>
              </w:rPr>
              <w:t>为锅炉废气</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pPr>
              <w:widowControl/>
              <w:numPr>
                <w:ilvl w:val="0"/>
                <w:numId w:val="0"/>
              </w:numPr>
              <w:spacing w:line="360" w:lineRule="auto"/>
              <w:ind w:firstLine="480" w:firstLineChars="20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项目</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锅炉尾气采用</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“袋式除尘器+碱液喷淋”处理后</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通过排气筒排放</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p>
          <w:p>
            <w:pPr>
              <w:widowControl/>
              <w:spacing w:line="360" w:lineRule="auto"/>
              <w:ind w:firstLine="480" w:firstLineChars="200"/>
              <w:jc w:val="both"/>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3、噪声：本项目主要噪声污染源主要来自机台设备运行时产生的噪声，主要通过合理布局，使高噪声设备远离厂界；对噪声值较高的设备基座底部安装减振垫等；定期检查并调整好运动机器部件的静平衡与动平衡的动力，加强设备维护，使其处于良好运行状态，以此来降低环境噪声污染。</w:t>
            </w:r>
          </w:p>
          <w:p>
            <w:pPr>
              <w:pStyle w:val="45"/>
              <w:pageBreakBefore w:val="0"/>
              <w:kinsoku/>
              <w:wordWrap/>
              <w:overflowPunct/>
              <w:topLinePunct w:val="0"/>
              <w:bidi w:val="0"/>
              <w:ind w:firstLine="480"/>
              <w:jc w:val="left"/>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4、固（液）体废物：</w:t>
            </w:r>
            <w:r>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产生的固体废物主要为一般固废</w:t>
            </w:r>
            <w:r>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t>。</w:t>
            </w:r>
          </w:p>
          <w:p>
            <w:pPr>
              <w:pStyle w:val="45"/>
              <w:pageBreakBefore w:val="0"/>
              <w:kinsoku/>
              <w:wordWrap/>
              <w:overflowPunct/>
              <w:topLinePunct w:val="0"/>
              <w:bidi w:val="0"/>
              <w:ind w:firstLine="480"/>
              <w:jc w:val="left"/>
              <w:rPr>
                <w:rFonts w:hint="eastAsia" w:eastAsia="楷体_GB2312"/>
                <w:color w:val="0000FF"/>
                <w:lang w:eastAsia="zh-CN"/>
              </w:rPr>
            </w:pP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 xml:space="preserve">项目生产中产生的一般工业固体废物为锅炉炉渣、除尘器收集的灰渣、湿法脱硫除尘产生的泥渣，均为一般工业固废，分类收集后由周边农户回收利用。 </w:t>
            </w:r>
          </w:p>
        </w:tc>
      </w:tr>
    </w:tbl>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表四</w:t>
      </w:r>
    </w:p>
    <w:tbl>
      <w:tblPr>
        <w:tblStyle w:val="26"/>
        <w:tblW w:w="8832"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5" w:hRule="atLeast"/>
        </w:trPr>
        <w:tc>
          <w:tcPr>
            <w:tcW w:w="8832" w:type="dxa"/>
          </w:tcPr>
          <w:p>
            <w:pPr>
              <w:widowControl/>
              <w:spacing w:line="360" w:lineRule="auto"/>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建设项目环境影响报告表主要结论及审批部门审批决定：</w:t>
            </w:r>
          </w:p>
          <w:p>
            <w:pPr>
              <w:widowControl/>
              <w:spacing w:line="360" w:lineRule="auto"/>
              <w:ind w:firstLine="482" w:firstLineChars="200"/>
              <w:jc w:val="both"/>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一、</w:t>
            </w:r>
            <w:r>
              <w:rPr>
                <w:rFonts w:ascii="Times New Roman" w:hAnsi="Times New Roman" w:eastAsia="宋体" w:cs="Times New Roman"/>
                <w:b/>
                <w:bCs/>
                <w:color w:val="auto"/>
                <w:sz w:val="24"/>
                <w:szCs w:val="24"/>
              </w:rPr>
              <w:t>环境影响报告表主要结论</w:t>
            </w:r>
          </w:p>
          <w:p>
            <w:pPr>
              <w:pStyle w:val="95"/>
              <w:keepNext w:val="0"/>
              <w:keepLines w:val="0"/>
              <w:pageBreakBefore w:val="0"/>
              <w:widowControl w:val="0"/>
              <w:kinsoku/>
              <w:wordWrap/>
              <w:overflowPunct/>
              <w:topLinePunct w:val="0"/>
              <w:autoSpaceDE/>
              <w:autoSpaceDN/>
              <w:bidi w:val="0"/>
              <w:snapToGrid w:val="0"/>
              <w:ind w:lef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1建设项目概况</w:t>
            </w:r>
          </w:p>
          <w:p>
            <w:pPr>
              <w:pStyle w:val="96"/>
              <w:keepNext w:val="0"/>
              <w:keepLines w:val="0"/>
              <w:pageBreakBefore w:val="0"/>
              <w:widowControl w:val="0"/>
              <w:kinsoku/>
              <w:wordWrap/>
              <w:overflowPunct/>
              <w:topLinePunct w:val="0"/>
              <w:autoSpaceDE/>
              <w:autoSpaceDN/>
              <w:bidi w:val="0"/>
              <w:snapToGrid w:val="0"/>
              <w:ind w:lef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福建乐华食品有限公司</w:t>
            </w:r>
            <w:r>
              <w:rPr>
                <w:rFonts w:hint="default" w:ascii="Times New Roman" w:hAnsi="Times New Roman" w:eastAsia="宋体" w:cs="Times New Roman"/>
                <w:color w:val="auto"/>
                <w:sz w:val="24"/>
                <w:szCs w:val="24"/>
              </w:rPr>
              <w:t>新增生物质颗粒燃料锅炉项目位于云霄县云陵工业开发区，项目总投资</w:t>
            </w:r>
            <w:r>
              <w:rPr>
                <w:rFonts w:hint="default" w:ascii="Times New Roman" w:hAnsi="Times New Roman" w:eastAsia="宋体" w:cs="Times New Roman"/>
                <w:color w:val="auto"/>
                <w:sz w:val="24"/>
                <w:szCs w:val="24"/>
                <w:lang w:val="en-US" w:eastAsia="zh-CN"/>
              </w:rPr>
              <w:t>100</w:t>
            </w:r>
            <w:r>
              <w:rPr>
                <w:rFonts w:hint="default" w:ascii="Times New Roman" w:hAnsi="Times New Roman" w:eastAsia="宋体" w:cs="Times New Roman"/>
                <w:color w:val="auto"/>
                <w:sz w:val="24"/>
                <w:szCs w:val="24"/>
              </w:rPr>
              <w:t>万，占地面积</w:t>
            </w:r>
            <w:r>
              <w:rPr>
                <w:rFonts w:hint="default" w:ascii="Times New Roman" w:hAnsi="Times New Roman" w:eastAsia="宋体" w:cs="Times New Roman"/>
                <w:color w:val="auto"/>
                <w:sz w:val="24"/>
                <w:szCs w:val="24"/>
                <w:lang w:val="en-US" w:eastAsia="zh-CN"/>
              </w:rPr>
              <w:t>100</w:t>
            </w:r>
            <w:r>
              <w:rPr>
                <w:rFonts w:hint="default" w:ascii="Times New Roman" w:hAnsi="Times New Roman" w:eastAsia="宋体" w:cs="Times New Roman"/>
                <w:color w:val="auto"/>
                <w:sz w:val="24"/>
                <w:szCs w:val="24"/>
              </w:rPr>
              <w:t>平方米、新</w:t>
            </w:r>
            <w:r>
              <w:rPr>
                <w:rFonts w:hint="default" w:ascii="Times New Roman" w:hAnsi="Times New Roman" w:eastAsia="宋体" w:cs="Times New Roman"/>
                <w:color w:val="auto"/>
                <w:sz w:val="24"/>
                <w:szCs w:val="24"/>
                <w:lang w:eastAsia="zh-CN"/>
              </w:rPr>
              <w:t>增</w:t>
            </w:r>
            <w:r>
              <w:rPr>
                <w:rFonts w:hint="default" w:ascii="Times New Roman" w:hAnsi="Times New Roman" w:eastAsia="宋体" w:cs="Times New Roman"/>
                <w:color w:val="auto"/>
                <w:sz w:val="24"/>
                <w:szCs w:val="24"/>
              </w:rPr>
              <w:t>1台生物质颗粒燃料锅炉，生产规模为每小时产生蒸汽</w:t>
            </w:r>
            <w:r>
              <w:rPr>
                <w:rFonts w:hint="default" w:ascii="Times New Roman" w:hAnsi="Times New Roman" w:eastAsia="宋体" w:cs="Times New Roman"/>
                <w:color w:val="auto"/>
                <w:sz w:val="24"/>
                <w:szCs w:val="24"/>
                <w:lang w:val="en-US" w:eastAsia="zh-CN"/>
              </w:rPr>
              <w:t>6t</w:t>
            </w:r>
            <w:r>
              <w:rPr>
                <w:rFonts w:hint="default" w:ascii="Times New Roman" w:hAnsi="Times New Roman" w:eastAsia="宋体" w:cs="Times New Roman"/>
                <w:color w:val="auto"/>
                <w:sz w:val="24"/>
                <w:szCs w:val="24"/>
              </w:rPr>
              <w:t>。</w:t>
            </w:r>
          </w:p>
          <w:p>
            <w:pPr>
              <w:pStyle w:val="95"/>
              <w:keepNext w:val="0"/>
              <w:keepLines w:val="0"/>
              <w:pageBreakBefore w:val="0"/>
              <w:widowControl w:val="0"/>
              <w:kinsoku/>
              <w:wordWrap/>
              <w:overflowPunct/>
              <w:topLinePunct w:val="0"/>
              <w:autoSpaceDE/>
              <w:autoSpaceDN/>
              <w:bidi w:val="0"/>
              <w:snapToGrid w:val="0"/>
              <w:ind w:lef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2环境质量现状</w:t>
            </w:r>
          </w:p>
          <w:p>
            <w:pPr>
              <w:pStyle w:val="96"/>
              <w:keepNext w:val="0"/>
              <w:keepLines w:val="0"/>
              <w:pageBreakBefore w:val="0"/>
              <w:widowControl w:val="0"/>
              <w:kinsoku/>
              <w:wordWrap/>
              <w:overflowPunct/>
              <w:topLinePunct w:val="0"/>
              <w:autoSpaceDE/>
              <w:autoSpaceDN/>
              <w:bidi w:val="0"/>
              <w:snapToGrid w:val="0"/>
              <w:ind w:lef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项目所在区域地表水、大气、声环境质量现状良好，能够符合环境规划要求。</w:t>
            </w:r>
          </w:p>
          <w:p>
            <w:pPr>
              <w:pStyle w:val="95"/>
              <w:keepNext w:val="0"/>
              <w:keepLines w:val="0"/>
              <w:pageBreakBefore w:val="0"/>
              <w:widowControl w:val="0"/>
              <w:kinsoku/>
              <w:wordWrap/>
              <w:overflowPunct/>
              <w:topLinePunct w:val="0"/>
              <w:autoSpaceDE/>
              <w:autoSpaceDN/>
              <w:bidi w:val="0"/>
              <w:snapToGrid w:val="0"/>
              <w:ind w:lef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3环境影响</w:t>
            </w:r>
            <w:r>
              <w:rPr>
                <w:rFonts w:hint="default" w:ascii="Times New Roman" w:hAnsi="Times New Roman" w:eastAsia="宋体" w:cs="Times New Roman"/>
                <w:color w:val="auto"/>
                <w:sz w:val="24"/>
                <w:szCs w:val="24"/>
                <w:lang w:eastAsia="zh-CN"/>
              </w:rPr>
              <w:t>可行性</w:t>
            </w:r>
            <w:r>
              <w:rPr>
                <w:rFonts w:hint="default" w:ascii="Times New Roman" w:hAnsi="Times New Roman" w:eastAsia="宋体" w:cs="Times New Roman"/>
                <w:color w:val="auto"/>
                <w:sz w:val="24"/>
                <w:szCs w:val="24"/>
              </w:rPr>
              <w:t>结论</w:t>
            </w:r>
          </w:p>
          <w:p>
            <w:pPr>
              <w:pStyle w:val="96"/>
              <w:keepNext w:val="0"/>
              <w:keepLines w:val="0"/>
              <w:pageBreakBefore w:val="0"/>
              <w:widowControl w:val="0"/>
              <w:kinsoku/>
              <w:wordWrap/>
              <w:overflowPunct/>
              <w:topLinePunct w:val="0"/>
              <w:autoSpaceDE/>
              <w:autoSpaceDN/>
              <w:bidi w:val="0"/>
              <w:snapToGrid w:val="0"/>
              <w:ind w:left="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eastAsia="zh-CN"/>
              </w:rPr>
              <w:t>在厂区现有范围内安装锅炉设备</w:t>
            </w:r>
            <w:r>
              <w:rPr>
                <w:rFonts w:hint="default" w:ascii="Times New Roman" w:hAnsi="Times New Roman" w:eastAsia="宋体" w:cs="Times New Roman"/>
                <w:color w:val="auto"/>
                <w:sz w:val="24"/>
                <w:szCs w:val="24"/>
              </w:rPr>
              <w:t>，施工期不涉及土建等内容，主要进行锅炉机台设备的安装，</w:t>
            </w:r>
            <w:r>
              <w:rPr>
                <w:rFonts w:hint="default" w:ascii="Times New Roman" w:hAnsi="Times New Roman" w:eastAsia="宋体" w:cs="Times New Roman"/>
                <w:color w:val="auto"/>
                <w:sz w:val="24"/>
                <w:szCs w:val="24"/>
                <w:lang w:eastAsia="zh-CN"/>
              </w:rPr>
              <w:t>评价不再对施工期的环境影响进行评价。</w:t>
            </w:r>
          </w:p>
          <w:p>
            <w:pPr>
              <w:pStyle w:val="97"/>
              <w:keepNext w:val="0"/>
              <w:keepLines w:val="0"/>
              <w:pageBreakBefore w:val="0"/>
              <w:widowControl w:val="0"/>
              <w:kinsoku/>
              <w:wordWrap/>
              <w:overflowPunct/>
              <w:topLinePunct w:val="0"/>
              <w:autoSpaceDE/>
              <w:autoSpaceDN/>
              <w:bidi w:val="0"/>
              <w:snapToGrid w:val="0"/>
              <w:ind w:lef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3.1水环境影响结论</w:t>
            </w:r>
          </w:p>
          <w:p>
            <w:pPr>
              <w:pStyle w:val="96"/>
              <w:keepNext w:val="0"/>
              <w:keepLines w:val="0"/>
              <w:pageBreakBefore w:val="0"/>
              <w:widowControl w:val="0"/>
              <w:kinsoku/>
              <w:wordWrap/>
              <w:overflowPunct/>
              <w:topLinePunct w:val="0"/>
              <w:autoSpaceDE/>
              <w:autoSpaceDN/>
              <w:bidi w:val="0"/>
              <w:snapToGrid w:val="0"/>
              <w:ind w:left="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项目运营期无需新增员工，锅炉运行过程中无废水外排，对周边水环境影响基本没有影响。</w:t>
            </w:r>
          </w:p>
          <w:p>
            <w:pPr>
              <w:pStyle w:val="97"/>
              <w:keepNext w:val="0"/>
              <w:keepLines w:val="0"/>
              <w:pageBreakBefore w:val="0"/>
              <w:widowControl w:val="0"/>
              <w:kinsoku/>
              <w:wordWrap/>
              <w:overflowPunct/>
              <w:topLinePunct w:val="0"/>
              <w:autoSpaceDE/>
              <w:autoSpaceDN/>
              <w:bidi w:val="0"/>
              <w:snapToGrid w:val="0"/>
              <w:ind w:lef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3.2大气环境影响结论</w:t>
            </w:r>
          </w:p>
          <w:p>
            <w:pPr>
              <w:keepNext w:val="0"/>
              <w:keepLines w:val="0"/>
              <w:pageBreakBefore w:val="0"/>
              <w:widowControl w:val="0"/>
              <w:kinsoku/>
              <w:wordWrap/>
              <w:overflowPunct/>
              <w:topLinePunct w:val="0"/>
              <w:autoSpaceDE/>
              <w:autoSpaceDN/>
              <w:bidi w:val="0"/>
              <w:snapToGrid w:val="0"/>
              <w:spacing w:line="360" w:lineRule="auto"/>
              <w:ind w:lef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锅炉废气</w:t>
            </w:r>
            <w:r>
              <w:rPr>
                <w:rFonts w:hint="default" w:ascii="Times New Roman" w:hAnsi="Times New Roman" w:eastAsia="宋体" w:cs="Times New Roman"/>
                <w:color w:val="auto"/>
                <w:sz w:val="24"/>
                <w:szCs w:val="24"/>
              </w:rPr>
              <w:t>拟采用</w:t>
            </w:r>
            <w:r>
              <w:rPr>
                <w:rFonts w:hint="default" w:ascii="Times New Roman" w:hAnsi="Times New Roman" w:eastAsia="宋体" w:cs="Times New Roman"/>
                <w:color w:val="auto"/>
                <w:sz w:val="24"/>
                <w:szCs w:val="24"/>
                <w:lang w:eastAsia="zh-CN"/>
              </w:rPr>
              <w:t>“袋式除尘器</w:t>
            </w:r>
            <w:r>
              <w:rPr>
                <w:rFonts w:hint="default" w:ascii="Times New Roman" w:hAnsi="Times New Roman" w:eastAsia="宋体" w:cs="Times New Roman"/>
                <w:color w:val="auto"/>
                <w:sz w:val="24"/>
                <w:szCs w:val="24"/>
                <w:lang w:val="en-US" w:eastAsia="zh-CN"/>
              </w:rPr>
              <w:t>+碱液喷淋</w:t>
            </w:r>
            <w:r>
              <w:rPr>
                <w:rFonts w:hint="default" w:ascii="Times New Roman" w:hAnsi="Times New Roman" w:eastAsia="宋体" w:cs="Times New Roman"/>
                <w:color w:val="auto"/>
                <w:sz w:val="24"/>
                <w:szCs w:val="24"/>
                <w:lang w:eastAsia="zh-CN"/>
              </w:rPr>
              <w:t>”处理后</w:t>
            </w:r>
            <w:r>
              <w:rPr>
                <w:rFonts w:hint="default" w:ascii="Times New Roman" w:hAnsi="Times New Roman" w:eastAsia="宋体" w:cs="Times New Roman"/>
                <w:color w:val="auto"/>
                <w:sz w:val="24"/>
                <w:szCs w:val="24"/>
              </w:rPr>
              <w:t>通过</w:t>
            </w:r>
            <w:r>
              <w:rPr>
                <w:rFonts w:hint="default" w:ascii="Times New Roman" w:hAnsi="Times New Roman" w:eastAsia="宋体" w:cs="Times New Roman"/>
                <w:color w:val="auto"/>
                <w:sz w:val="24"/>
                <w:szCs w:val="24"/>
                <w:lang w:val="en-US" w:eastAsia="zh-CN"/>
              </w:rPr>
              <w:t>35</w:t>
            </w:r>
            <w:r>
              <w:rPr>
                <w:rFonts w:hint="default" w:ascii="Times New Roman" w:hAnsi="Times New Roman" w:eastAsia="宋体" w:cs="Times New Roman"/>
                <w:color w:val="auto"/>
                <w:sz w:val="24"/>
                <w:szCs w:val="24"/>
              </w:rPr>
              <w:t>m高排气筒排放；</w:t>
            </w:r>
            <w:r>
              <w:rPr>
                <w:rFonts w:hint="default" w:ascii="Times New Roman" w:hAnsi="Times New Roman" w:eastAsia="宋体" w:cs="Times New Roman"/>
                <w:color w:val="auto"/>
                <w:sz w:val="24"/>
                <w:szCs w:val="24"/>
                <w:lang w:eastAsia="zh-CN"/>
              </w:rPr>
              <w:t>经处理锅炉废气</w:t>
            </w:r>
            <w:r>
              <w:rPr>
                <w:rFonts w:hint="default" w:ascii="Times New Roman" w:hAnsi="Times New Roman" w:eastAsia="宋体" w:cs="Times New Roman"/>
                <w:color w:val="auto"/>
                <w:sz w:val="24"/>
                <w:szCs w:val="24"/>
                <w:highlight w:val="none"/>
                <w:lang w:val="en-US" w:eastAsia="zh-CN"/>
              </w:rPr>
              <w:t>各污染物排放浓度均</w:t>
            </w:r>
            <w:r>
              <w:rPr>
                <w:rFonts w:hint="default" w:ascii="Times New Roman" w:hAnsi="Times New Roman" w:eastAsia="宋体" w:cs="Times New Roman"/>
                <w:color w:val="auto"/>
                <w:sz w:val="24"/>
                <w:szCs w:val="24"/>
                <w:highlight w:val="none"/>
              </w:rPr>
              <w:t>可符合GB13271-2014《锅炉大气污染物排放标准》</w:t>
            </w:r>
            <w:r>
              <w:rPr>
                <w:rFonts w:hint="default" w:ascii="Times New Roman" w:hAnsi="Times New Roman" w:eastAsia="宋体" w:cs="Times New Roman"/>
                <w:color w:val="auto"/>
                <w:sz w:val="24"/>
                <w:szCs w:val="24"/>
                <w:highlight w:val="none"/>
                <w:lang w:eastAsia="zh-CN"/>
              </w:rPr>
              <w:t>燃煤锅炉</w:t>
            </w:r>
            <w:r>
              <w:rPr>
                <w:rFonts w:hint="default" w:ascii="Times New Roman" w:hAnsi="Times New Roman" w:eastAsia="宋体" w:cs="Times New Roman"/>
                <w:color w:val="auto"/>
                <w:sz w:val="24"/>
                <w:szCs w:val="24"/>
                <w:highlight w:val="none"/>
              </w:rPr>
              <w:t>标准要求</w:t>
            </w:r>
            <w:r>
              <w:rPr>
                <w:rFonts w:hint="default" w:ascii="Times New Roman" w:hAnsi="Times New Roman" w:eastAsia="宋体" w:cs="Times New Roman"/>
                <w:color w:val="auto"/>
                <w:sz w:val="24"/>
                <w:szCs w:val="24"/>
                <w:highlight w:val="none"/>
                <w:lang w:eastAsia="zh-CN"/>
              </w:rPr>
              <w:t>，根据预测，锅炉</w:t>
            </w:r>
            <w:r>
              <w:rPr>
                <w:rFonts w:hint="default" w:ascii="Times New Roman" w:hAnsi="Times New Roman" w:eastAsia="宋体" w:cs="Times New Roman"/>
                <w:color w:val="auto"/>
                <w:sz w:val="24"/>
                <w:szCs w:val="24"/>
                <w:highlight w:val="none"/>
              </w:rPr>
              <w:t>废气在正常排放时，</w:t>
            </w:r>
            <w:r>
              <w:rPr>
                <w:rFonts w:hint="default" w:ascii="Times New Roman" w:hAnsi="Times New Roman" w:eastAsia="宋体" w:cs="Times New Roman"/>
                <w:snapToGrid w:val="0"/>
                <w:color w:val="auto"/>
                <w:kern w:val="0"/>
                <w:sz w:val="24"/>
                <w:szCs w:val="24"/>
                <w:highlight w:val="none"/>
                <w:lang w:val="en-US" w:eastAsia="zh-CN"/>
              </w:rPr>
              <w:t>TSP</w:t>
            </w:r>
            <w:r>
              <w:rPr>
                <w:rFonts w:hint="default" w:ascii="Times New Roman" w:hAnsi="Times New Roman" w:eastAsia="宋体" w:cs="Times New Roman"/>
                <w:color w:val="auto"/>
                <w:sz w:val="24"/>
                <w:szCs w:val="24"/>
                <w:highlight w:val="none"/>
              </w:rPr>
              <w:t>最大落地浓度为</w:t>
            </w:r>
            <w:r>
              <w:rPr>
                <w:rFonts w:hint="default" w:ascii="Times New Roman" w:hAnsi="Times New Roman" w:eastAsia="宋体" w:cs="Times New Roman"/>
                <w:color w:val="auto"/>
                <w:sz w:val="24"/>
                <w:szCs w:val="24"/>
                <w:highlight w:val="none"/>
                <w:lang w:val="en-US" w:eastAsia="zh-CN"/>
              </w:rPr>
              <w:t>9.803×10</w:t>
            </w:r>
            <w:r>
              <w:rPr>
                <w:rFonts w:hint="default" w:ascii="Times New Roman" w:hAnsi="Times New Roman" w:eastAsia="宋体" w:cs="Times New Roman"/>
                <w:color w:val="auto"/>
                <w:sz w:val="24"/>
                <w:szCs w:val="24"/>
                <w:highlight w:val="none"/>
                <w:vertAlign w:val="superscript"/>
                <w:lang w:val="en-US" w:eastAsia="zh-CN"/>
              </w:rPr>
              <w:t>-5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、占标率为</w:t>
            </w:r>
            <w:r>
              <w:rPr>
                <w:rFonts w:hint="default" w:ascii="Times New Roman" w:hAnsi="Times New Roman" w:eastAsia="宋体" w:cs="Times New Roman"/>
                <w:color w:val="auto"/>
                <w:sz w:val="24"/>
                <w:szCs w:val="24"/>
                <w:highlight w:val="none"/>
                <w:lang w:val="en-US" w:eastAsia="zh-CN"/>
              </w:rPr>
              <w:t>0.01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最大落地浓度为</w:t>
            </w:r>
            <w:r>
              <w:rPr>
                <w:rFonts w:hint="default" w:ascii="Times New Roman" w:hAnsi="Times New Roman" w:eastAsia="宋体" w:cs="Times New Roman"/>
                <w:color w:val="auto"/>
                <w:sz w:val="24"/>
                <w:szCs w:val="24"/>
                <w:highlight w:val="none"/>
                <w:lang w:val="en-US" w:eastAsia="zh-CN"/>
              </w:rPr>
              <w:t>0.006024m</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、占标率为</w:t>
            </w:r>
            <w:r>
              <w:rPr>
                <w:rFonts w:hint="default"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rPr>
              <w:t>x</w:t>
            </w:r>
            <w:r>
              <w:rPr>
                <w:rFonts w:hint="default" w:ascii="Times New Roman" w:hAnsi="Times New Roman" w:eastAsia="宋体" w:cs="Times New Roman"/>
                <w:color w:val="auto"/>
                <w:sz w:val="24"/>
                <w:szCs w:val="24"/>
                <w:highlight w:val="none"/>
              </w:rPr>
              <w:t>最大落地浓度为</w:t>
            </w:r>
            <w:r>
              <w:rPr>
                <w:rFonts w:hint="default" w:ascii="Times New Roman" w:hAnsi="Times New Roman" w:eastAsia="宋体" w:cs="Times New Roman"/>
                <w:color w:val="auto"/>
                <w:sz w:val="24"/>
                <w:szCs w:val="24"/>
                <w:highlight w:val="none"/>
                <w:lang w:val="en-US" w:eastAsia="zh-CN"/>
              </w:rPr>
              <w:t>0.01205m</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、占标率为</w:t>
            </w:r>
            <w:r>
              <w:rPr>
                <w:rFonts w:hint="default" w:ascii="Times New Roman" w:hAnsi="Times New Roman" w:eastAsia="宋体" w:cs="Times New Roman"/>
                <w:color w:val="auto"/>
                <w:sz w:val="24"/>
                <w:szCs w:val="24"/>
                <w:highlight w:val="none"/>
                <w:lang w:val="en-US" w:eastAsia="zh-CN"/>
              </w:rPr>
              <w:t>6.03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锅炉废气</w:t>
            </w:r>
            <w:r>
              <w:rPr>
                <w:rFonts w:hint="default" w:ascii="Times New Roman" w:hAnsi="Times New Roman" w:eastAsia="宋体" w:cs="Times New Roman"/>
                <w:b w:val="0"/>
                <w:bCs w:val="0"/>
                <w:color w:val="auto"/>
                <w:sz w:val="24"/>
                <w:szCs w:val="24"/>
                <w:highlight w:val="none"/>
                <w:lang w:val="en-US" w:eastAsia="zh-CN"/>
              </w:rPr>
              <w:t>各污染物排放浓度均可符合《锅炉大气污染物排放标准》（GB13271-2014）表2中燃煤锅炉标准限值，对周边环境影响不大。</w:t>
            </w:r>
          </w:p>
          <w:p>
            <w:pPr>
              <w:pStyle w:val="97"/>
              <w:keepNext w:val="0"/>
              <w:keepLines w:val="0"/>
              <w:pageBreakBefore w:val="0"/>
              <w:widowControl w:val="0"/>
              <w:kinsoku/>
              <w:wordWrap/>
              <w:overflowPunct/>
              <w:topLinePunct w:val="0"/>
              <w:autoSpaceDE/>
              <w:autoSpaceDN/>
              <w:bidi w:val="0"/>
              <w:snapToGrid w:val="0"/>
              <w:ind w:lef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3.3声环境影响结论</w:t>
            </w:r>
          </w:p>
          <w:p>
            <w:pPr>
              <w:pStyle w:val="96"/>
              <w:keepNext w:val="0"/>
              <w:keepLines w:val="0"/>
              <w:pageBreakBefore w:val="0"/>
              <w:widowControl w:val="0"/>
              <w:kinsoku/>
              <w:wordWrap/>
              <w:overflowPunct/>
              <w:topLinePunct w:val="0"/>
              <w:autoSpaceDE/>
              <w:autoSpaceDN/>
              <w:bidi w:val="0"/>
              <w:snapToGrid w:val="0"/>
              <w:ind w:lef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项目主要噪声源为</w:t>
            </w:r>
            <w:r>
              <w:rPr>
                <w:rFonts w:hint="default" w:ascii="Times New Roman" w:hAnsi="Times New Roman" w:eastAsia="宋体" w:cs="Times New Roman"/>
                <w:color w:val="auto"/>
                <w:sz w:val="24"/>
                <w:szCs w:val="24"/>
                <w:lang w:eastAsia="zh-CN"/>
              </w:rPr>
              <w:t>锅炉、风机运行时产生的噪声</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经</w:t>
            </w:r>
            <w:r>
              <w:rPr>
                <w:rFonts w:hint="default" w:ascii="Times New Roman" w:hAnsi="Times New Roman" w:eastAsia="宋体" w:cs="Times New Roman"/>
                <w:color w:val="auto"/>
                <w:sz w:val="24"/>
                <w:szCs w:val="24"/>
              </w:rPr>
              <w:t>隔</w:t>
            </w:r>
            <w:r>
              <w:rPr>
                <w:rFonts w:hint="default" w:ascii="Times New Roman" w:hAnsi="Times New Roman" w:eastAsia="宋体" w:cs="Times New Roman"/>
                <w:color w:val="auto"/>
                <w:sz w:val="24"/>
                <w:szCs w:val="24"/>
                <w:lang w:eastAsia="zh-CN"/>
              </w:rPr>
              <w:t>声、减振、消声及</w:t>
            </w:r>
            <w:r>
              <w:rPr>
                <w:rFonts w:hint="default" w:ascii="Times New Roman" w:hAnsi="Times New Roman" w:eastAsia="宋体" w:cs="Times New Roman"/>
                <w:color w:val="auto"/>
                <w:sz w:val="24"/>
                <w:szCs w:val="24"/>
              </w:rPr>
              <w:t>距离衰减等降噪措施后可以达到《工业企业厂界环境噪声排放标准》（GB12348-2008）中3类标准，对周围声环境影响较小。</w:t>
            </w:r>
          </w:p>
          <w:p>
            <w:pPr>
              <w:pStyle w:val="97"/>
              <w:keepNext w:val="0"/>
              <w:keepLines w:val="0"/>
              <w:pageBreakBefore w:val="0"/>
              <w:widowControl w:val="0"/>
              <w:kinsoku/>
              <w:wordWrap/>
              <w:overflowPunct/>
              <w:topLinePunct w:val="0"/>
              <w:autoSpaceDE/>
              <w:autoSpaceDN/>
              <w:bidi w:val="0"/>
              <w:snapToGrid w:val="0"/>
              <w:ind w:lef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3.4固体废物影响结论</w:t>
            </w:r>
          </w:p>
          <w:p>
            <w:pPr>
              <w:pStyle w:val="96"/>
              <w:keepNext w:val="0"/>
              <w:keepLines w:val="0"/>
              <w:pageBreakBefore w:val="0"/>
              <w:widowControl w:val="0"/>
              <w:kinsoku/>
              <w:wordWrap/>
              <w:overflowPunct/>
              <w:topLinePunct w:val="0"/>
              <w:autoSpaceDE/>
              <w:autoSpaceDN/>
              <w:bidi w:val="0"/>
              <w:snapToGrid w:val="0"/>
              <w:ind w:lef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项目运营中</w:t>
            </w:r>
            <w:r>
              <w:rPr>
                <w:rFonts w:hint="default" w:ascii="Times New Roman" w:hAnsi="Times New Roman" w:eastAsia="宋体" w:cs="Times New Roman"/>
                <w:color w:val="auto"/>
                <w:sz w:val="24"/>
                <w:szCs w:val="24"/>
                <w:lang w:eastAsia="zh-CN"/>
              </w:rPr>
              <w:t>无需新增员工，</w:t>
            </w:r>
            <w:r>
              <w:rPr>
                <w:rFonts w:hint="default" w:ascii="Times New Roman" w:hAnsi="Times New Roman" w:eastAsia="宋体" w:cs="Times New Roman"/>
                <w:color w:val="auto"/>
                <w:sz w:val="24"/>
                <w:szCs w:val="24"/>
              </w:rPr>
              <w:t>产生的一般固</w:t>
            </w:r>
            <w:r>
              <w:rPr>
                <w:rFonts w:hint="default" w:ascii="Times New Roman" w:hAnsi="Times New Roman" w:eastAsia="宋体" w:cs="Times New Roman"/>
                <w:color w:val="auto"/>
                <w:sz w:val="24"/>
                <w:szCs w:val="24"/>
                <w:lang w:eastAsia="zh-CN"/>
              </w:rPr>
              <w:t>固体废物</w:t>
            </w:r>
            <w:r>
              <w:rPr>
                <w:rFonts w:hint="default" w:ascii="Times New Roman" w:hAnsi="Times New Roman" w:eastAsia="宋体" w:cs="Times New Roman"/>
                <w:color w:val="auto"/>
                <w:sz w:val="24"/>
                <w:szCs w:val="24"/>
              </w:rPr>
              <w:t>为锅炉炉渣</w:t>
            </w:r>
            <w:r>
              <w:rPr>
                <w:rFonts w:hint="default" w:ascii="Times New Roman" w:hAnsi="Times New Roman" w:eastAsia="宋体" w:cs="Times New Roman"/>
                <w:color w:val="auto"/>
                <w:sz w:val="24"/>
                <w:szCs w:val="24"/>
                <w:lang w:eastAsia="zh-CN"/>
              </w:rPr>
              <w:t>、除尘器收集的灰渣以及湿法脱硫除尘产生的泥渣</w:t>
            </w:r>
            <w:r>
              <w:rPr>
                <w:rFonts w:hint="default" w:ascii="Times New Roman" w:hAnsi="Times New Roman" w:eastAsia="宋体" w:cs="Times New Roman"/>
                <w:color w:val="auto"/>
                <w:sz w:val="24"/>
                <w:szCs w:val="24"/>
              </w:rPr>
              <w:t>，经统一收集后由周边农户回收作为农用肥使用。</w:t>
            </w:r>
          </w:p>
          <w:p>
            <w:pPr>
              <w:pStyle w:val="96"/>
              <w:keepNext w:val="0"/>
              <w:keepLines w:val="0"/>
              <w:pageBreakBefore w:val="0"/>
              <w:widowControl w:val="0"/>
              <w:kinsoku/>
              <w:wordWrap/>
              <w:overflowPunct/>
              <w:topLinePunct w:val="0"/>
              <w:autoSpaceDE/>
              <w:autoSpaceDN/>
              <w:bidi w:val="0"/>
              <w:snapToGrid w:val="0"/>
              <w:ind w:lef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项目固废妥善处理后，不会对周围环境造成二次污染。</w:t>
            </w:r>
          </w:p>
          <w:p>
            <w:pPr>
              <w:pStyle w:val="95"/>
              <w:keepNext w:val="0"/>
              <w:keepLines w:val="0"/>
              <w:pageBreakBefore w:val="0"/>
              <w:widowControl w:val="0"/>
              <w:kinsoku/>
              <w:wordWrap/>
              <w:overflowPunct/>
              <w:topLinePunct w:val="0"/>
              <w:autoSpaceDE/>
              <w:autoSpaceDN/>
              <w:bidi w:val="0"/>
              <w:snapToGrid w:val="0"/>
              <w:ind w:lef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r>
              <w:rPr>
                <w:rFonts w:hint="default" w:ascii="Times New Roman" w:hAnsi="Times New Roman" w:eastAsia="宋体" w:cs="Times New Roman"/>
                <w:b/>
                <w:color w:val="auto"/>
                <w:sz w:val="24"/>
                <w:szCs w:val="24"/>
                <w:highlight w:val="none"/>
                <w:lang w:val="en-US" w:eastAsia="zh-CN"/>
              </w:rPr>
              <w:t>工程环境影响评估</w:t>
            </w:r>
          </w:p>
          <w:p>
            <w:pPr>
              <w:pStyle w:val="97"/>
              <w:keepNext w:val="0"/>
              <w:keepLines w:val="0"/>
              <w:pageBreakBefore w:val="0"/>
              <w:widowControl w:val="0"/>
              <w:kinsoku/>
              <w:wordWrap/>
              <w:overflowPunct/>
              <w:topLinePunct w:val="0"/>
              <w:autoSpaceDE/>
              <w:autoSpaceDN/>
              <w:bidi w:val="0"/>
              <w:snapToGrid w:val="0"/>
              <w:ind w:lef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4.1产业政策符合性结论</w:t>
            </w:r>
          </w:p>
          <w:p>
            <w:pPr>
              <w:pStyle w:val="58"/>
              <w:keepNext w:val="0"/>
              <w:keepLines w:val="0"/>
              <w:pageBreakBefore w:val="0"/>
              <w:widowControl w:val="0"/>
              <w:kinsoku/>
              <w:wordWrap/>
              <w:overflowPunct/>
              <w:topLinePunct w:val="0"/>
              <w:autoSpaceDE/>
              <w:autoSpaceDN/>
              <w:bidi w:val="0"/>
              <w:snapToGrid w:val="0"/>
              <w:ind w:lef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经检索2013年2月16日国家发展改革委第21号令公布的《产业结构调整指导目录（2011年本）（修正）》，</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属于允许类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vertAlign w:val="baseline"/>
                <w:lang w:val="en-US" w:eastAsia="zh-CN"/>
              </w:rPr>
              <w:t>云霄县发展和改革局以</w:t>
            </w:r>
            <w:r>
              <w:rPr>
                <w:rFonts w:hint="default" w:ascii="Times New Roman" w:hAnsi="Times New Roman" w:eastAsia="宋体" w:cs="Times New Roman"/>
                <w:color w:val="auto"/>
                <w:sz w:val="24"/>
                <w:szCs w:val="24"/>
              </w:rPr>
              <w:t>闽发改备[2019]E080</w:t>
            </w:r>
            <w:r>
              <w:rPr>
                <w:rFonts w:hint="default" w:ascii="Times New Roman" w:hAnsi="Times New Roman" w:eastAsia="宋体" w:cs="Times New Roman"/>
                <w:color w:val="auto"/>
                <w:sz w:val="24"/>
                <w:szCs w:val="24"/>
                <w:lang w:val="en-US" w:eastAsia="zh-CN"/>
              </w:rPr>
              <w:t>141</w:t>
            </w:r>
            <w:r>
              <w:rPr>
                <w:rFonts w:hint="default" w:ascii="Times New Roman" w:hAnsi="Times New Roman" w:eastAsia="宋体" w:cs="Times New Roman"/>
                <w:color w:val="auto"/>
                <w:sz w:val="24"/>
                <w:szCs w:val="24"/>
              </w:rPr>
              <w:t>号</w:t>
            </w:r>
            <w:r>
              <w:rPr>
                <w:rFonts w:hint="default" w:ascii="Times New Roman" w:hAnsi="Times New Roman" w:eastAsia="宋体" w:cs="Times New Roman"/>
                <w:color w:val="auto"/>
                <w:sz w:val="24"/>
                <w:szCs w:val="24"/>
                <w:lang w:eastAsia="zh-CN"/>
              </w:rPr>
              <w:t>同意项目建设</w:t>
            </w:r>
            <w:r>
              <w:rPr>
                <w:rFonts w:hint="default" w:ascii="Times New Roman" w:hAnsi="Times New Roman" w:eastAsia="宋体" w:cs="Times New Roman"/>
                <w:color w:val="auto"/>
                <w:sz w:val="24"/>
                <w:szCs w:val="24"/>
                <w:lang w:val="en-US" w:eastAsia="zh-CN"/>
              </w:rPr>
              <w:t>。</w:t>
            </w:r>
          </w:p>
          <w:p>
            <w:pPr>
              <w:pStyle w:val="74"/>
              <w:keepNext w:val="0"/>
              <w:keepLines w:val="0"/>
              <w:pageBreakBefore w:val="0"/>
              <w:widowControl w:val="0"/>
              <w:kinsoku/>
              <w:wordWrap/>
              <w:overflowPunct/>
              <w:topLinePunct w:val="0"/>
              <w:autoSpaceDE/>
              <w:autoSpaceDN/>
              <w:bidi w:val="0"/>
              <w:snapToGrid w:val="0"/>
              <w:ind w:lef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因此，项目的建设符合</w:t>
            </w:r>
            <w:r>
              <w:rPr>
                <w:rFonts w:hint="default" w:ascii="Times New Roman" w:hAnsi="Times New Roman" w:eastAsia="宋体" w:cs="Times New Roman"/>
                <w:color w:val="auto"/>
                <w:sz w:val="24"/>
                <w:szCs w:val="24"/>
                <w:lang w:eastAsia="zh-CN"/>
              </w:rPr>
              <w:t>国家、地方</w:t>
            </w:r>
            <w:r>
              <w:rPr>
                <w:rFonts w:hint="default" w:ascii="Times New Roman" w:hAnsi="Times New Roman" w:eastAsia="宋体" w:cs="Times New Roman"/>
                <w:color w:val="auto"/>
                <w:sz w:val="24"/>
                <w:szCs w:val="24"/>
              </w:rPr>
              <w:t>产业发展政策。</w:t>
            </w:r>
          </w:p>
          <w:p>
            <w:pPr>
              <w:pStyle w:val="97"/>
              <w:keepNext w:val="0"/>
              <w:keepLines w:val="0"/>
              <w:pageBreakBefore w:val="0"/>
              <w:widowControl w:val="0"/>
              <w:kinsoku/>
              <w:wordWrap/>
              <w:overflowPunct/>
              <w:topLinePunct w:val="0"/>
              <w:autoSpaceDE/>
              <w:autoSpaceDN/>
              <w:bidi w:val="0"/>
              <w:snapToGrid w:val="0"/>
              <w:ind w:lef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4.2选址合理性结论</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项目选址于</w:t>
            </w:r>
            <w:r>
              <w:rPr>
                <w:rFonts w:hint="default" w:ascii="Times New Roman" w:hAnsi="Times New Roman" w:eastAsia="宋体" w:cs="Times New Roman"/>
                <w:color w:val="auto"/>
                <w:sz w:val="24"/>
                <w:szCs w:val="24"/>
              </w:rPr>
              <w:t>云霄县云陵工业开发区</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选址符合用地规划</w:t>
            </w:r>
            <w:r>
              <w:rPr>
                <w:rFonts w:hint="default" w:ascii="Times New Roman" w:hAnsi="Times New Roman" w:eastAsia="宋体" w:cs="Times New Roman"/>
                <w:color w:val="auto"/>
                <w:sz w:val="24"/>
                <w:szCs w:val="24"/>
                <w:highlight w:val="none"/>
              </w:rPr>
              <w:t>；符合环境功能区划要求；项目建设各污染物经治理达标后排放，不会对周边环境产生不良影响，与周边环境相容，</w:t>
            </w:r>
            <w:r>
              <w:rPr>
                <w:rFonts w:hint="default" w:ascii="Times New Roman" w:hAnsi="Times New Roman" w:eastAsia="宋体" w:cs="Times New Roman"/>
                <w:color w:val="auto"/>
                <w:sz w:val="24"/>
                <w:szCs w:val="24"/>
                <w:highlight w:val="none"/>
                <w:lang w:eastAsia="zh-CN"/>
              </w:rPr>
              <w:t>符合“三线一单”的管控要求</w:t>
            </w:r>
            <w:r>
              <w:rPr>
                <w:rFonts w:hint="default" w:ascii="Times New Roman" w:hAnsi="Times New Roman" w:eastAsia="宋体" w:cs="Times New Roman"/>
                <w:color w:val="auto"/>
                <w:sz w:val="24"/>
                <w:szCs w:val="24"/>
                <w:highlight w:val="none"/>
              </w:rPr>
              <w:t>项目选址合理可行。</w:t>
            </w:r>
          </w:p>
          <w:p>
            <w:pPr>
              <w:pStyle w:val="97"/>
              <w:keepNext w:val="0"/>
              <w:keepLines w:val="0"/>
              <w:pageBreakBefore w:val="0"/>
              <w:widowControl w:val="0"/>
              <w:kinsoku/>
              <w:wordWrap/>
              <w:overflowPunct/>
              <w:topLinePunct w:val="0"/>
              <w:autoSpaceDE/>
              <w:autoSpaceDN/>
              <w:bidi w:val="0"/>
              <w:snapToGrid w:val="0"/>
              <w:ind w:lef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4.3总量控制符合性结论</w:t>
            </w:r>
          </w:p>
          <w:p>
            <w:pPr>
              <w:keepNext w:val="0"/>
              <w:keepLines w:val="0"/>
              <w:pageBreakBefore w:val="0"/>
              <w:widowControl w:val="0"/>
              <w:kinsoku/>
              <w:wordWrap/>
              <w:overflowPunct/>
              <w:topLinePunct w:val="0"/>
              <w:autoSpaceDE/>
              <w:autoSpaceDN/>
              <w:bidi w:val="0"/>
              <w:snapToGrid w:val="0"/>
              <w:spacing w:line="360" w:lineRule="auto"/>
              <w:ind w:lef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运行过程中无废水外排，</w:t>
            </w:r>
            <w:r>
              <w:rPr>
                <w:rFonts w:hint="default" w:ascii="Times New Roman" w:hAnsi="Times New Roman" w:eastAsia="宋体" w:cs="Times New Roman"/>
                <w:color w:val="auto"/>
                <w:sz w:val="24"/>
                <w:szCs w:val="24"/>
              </w:rPr>
              <w:t>本项目需购买废气总量控制指标为SO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lang w:val="en-US" w:eastAsia="zh-CN"/>
              </w:rPr>
              <w:t>1.22</w:t>
            </w:r>
            <w:r>
              <w:rPr>
                <w:rFonts w:hint="default" w:ascii="Times New Roman" w:hAnsi="Times New Roman" w:eastAsia="宋体" w:cs="Times New Roman"/>
                <w:color w:val="auto"/>
                <w:sz w:val="24"/>
                <w:szCs w:val="24"/>
              </w:rPr>
              <w:t>t/a、NOx</w:t>
            </w:r>
            <w:r>
              <w:rPr>
                <w:rFonts w:hint="default" w:ascii="Times New Roman" w:hAnsi="Times New Roman" w:eastAsia="宋体" w:cs="Times New Roman"/>
                <w:color w:val="auto"/>
                <w:sz w:val="24"/>
                <w:szCs w:val="24"/>
                <w:lang w:val="en-US" w:eastAsia="zh-CN"/>
              </w:rPr>
              <w:t>2.31</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项目最终的总量控制指标以本报告表报批环保行政主管部门后核定的总量为准。</w:t>
            </w:r>
          </w:p>
          <w:p>
            <w:pPr>
              <w:pStyle w:val="97"/>
              <w:keepNext w:val="0"/>
              <w:keepLines w:val="0"/>
              <w:pageBreakBefore w:val="0"/>
              <w:widowControl w:val="0"/>
              <w:kinsoku/>
              <w:wordWrap/>
              <w:overflowPunct/>
              <w:topLinePunct w:val="0"/>
              <w:autoSpaceDE/>
              <w:autoSpaceDN/>
              <w:bidi w:val="0"/>
              <w:snapToGrid w:val="0"/>
              <w:ind w:lef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4.4达标排放可行性结论</w:t>
            </w:r>
          </w:p>
          <w:p>
            <w:pPr>
              <w:pStyle w:val="96"/>
              <w:keepNext w:val="0"/>
              <w:keepLines w:val="0"/>
              <w:pageBreakBefore w:val="0"/>
              <w:widowControl w:val="0"/>
              <w:kinsoku/>
              <w:wordWrap/>
              <w:overflowPunct/>
              <w:topLinePunct w:val="0"/>
              <w:autoSpaceDE/>
              <w:autoSpaceDN/>
              <w:bidi w:val="0"/>
              <w:snapToGrid w:val="0"/>
              <w:ind w:lef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运行过程中无废水外排</w:t>
            </w:r>
            <w:r>
              <w:rPr>
                <w:rFonts w:hint="default" w:ascii="Times New Roman" w:hAnsi="Times New Roman" w:eastAsia="宋体" w:cs="Times New Roman"/>
                <w:color w:val="auto"/>
                <w:sz w:val="24"/>
                <w:szCs w:val="24"/>
              </w:rPr>
              <w:t>；项目锅炉烟气采用</w:t>
            </w:r>
            <w:r>
              <w:rPr>
                <w:rFonts w:hint="default" w:ascii="Times New Roman" w:hAnsi="Times New Roman" w:eastAsia="宋体" w:cs="Times New Roman"/>
                <w:color w:val="auto"/>
                <w:sz w:val="24"/>
                <w:szCs w:val="24"/>
                <w:lang w:eastAsia="zh-CN"/>
              </w:rPr>
              <w:t>袋式除尘器</w:t>
            </w:r>
            <w:r>
              <w:rPr>
                <w:rFonts w:hint="default" w:ascii="Times New Roman" w:hAnsi="Times New Roman" w:eastAsia="宋体" w:cs="Times New Roman"/>
                <w:color w:val="auto"/>
                <w:sz w:val="24"/>
                <w:szCs w:val="24"/>
              </w:rPr>
              <w:t>净化后通过</w:t>
            </w:r>
            <w:r>
              <w:rPr>
                <w:rFonts w:hint="default" w:ascii="Times New Roman" w:hAnsi="Times New Roman" w:eastAsia="宋体" w:cs="Times New Roman"/>
                <w:color w:val="auto"/>
                <w:sz w:val="24"/>
                <w:szCs w:val="24"/>
                <w:lang w:val="en-US" w:eastAsia="zh-CN"/>
              </w:rPr>
              <w:t>35</w:t>
            </w:r>
            <w:r>
              <w:rPr>
                <w:rFonts w:hint="default" w:ascii="Times New Roman" w:hAnsi="Times New Roman" w:eastAsia="宋体" w:cs="Times New Roman"/>
                <w:color w:val="auto"/>
                <w:sz w:val="24"/>
                <w:szCs w:val="24"/>
              </w:rPr>
              <w:t>m高排气筒高空排放，排放符合《锅炉大气污染物排放标准》（GB13271-2014）表2的燃煤锅炉排放控制要求；项目噪声通过厂房隔音、距离衰减等降噪措施后可以达到《工业企业厂界环境噪声排放标准》（GB12348-2008）中3类标准；锅炉炉渣</w:t>
            </w:r>
            <w:r>
              <w:rPr>
                <w:rFonts w:hint="default" w:ascii="Times New Roman" w:hAnsi="Times New Roman" w:eastAsia="宋体" w:cs="Times New Roman"/>
                <w:color w:val="auto"/>
                <w:sz w:val="24"/>
                <w:szCs w:val="24"/>
                <w:lang w:eastAsia="zh-CN"/>
              </w:rPr>
              <w:t>、除尘器收集的灰渣分类</w:t>
            </w:r>
            <w:r>
              <w:rPr>
                <w:rFonts w:hint="default" w:ascii="Times New Roman" w:hAnsi="Times New Roman" w:eastAsia="宋体" w:cs="Times New Roman"/>
                <w:color w:val="auto"/>
                <w:sz w:val="24"/>
                <w:szCs w:val="24"/>
              </w:rPr>
              <w:t>收集后由周边农户回收利用，</w:t>
            </w:r>
            <w:r>
              <w:rPr>
                <w:rFonts w:hint="default" w:ascii="Times New Roman" w:hAnsi="Times New Roman" w:eastAsia="宋体" w:cs="Times New Roman"/>
                <w:color w:val="auto"/>
                <w:sz w:val="24"/>
                <w:szCs w:val="24"/>
                <w:lang w:eastAsia="zh-CN"/>
              </w:rPr>
              <w:t>不外排</w:t>
            </w:r>
            <w:r>
              <w:rPr>
                <w:rFonts w:hint="default" w:ascii="Times New Roman" w:hAnsi="Times New Roman" w:eastAsia="宋体" w:cs="Times New Roman"/>
                <w:color w:val="auto"/>
                <w:sz w:val="24"/>
                <w:szCs w:val="24"/>
              </w:rPr>
              <w:t>。因此项目污染物均达标排放。</w:t>
            </w:r>
          </w:p>
          <w:p>
            <w:pPr>
              <w:pStyle w:val="95"/>
              <w:keepNext w:val="0"/>
              <w:keepLines w:val="0"/>
              <w:pageBreakBefore w:val="0"/>
              <w:widowControl w:val="0"/>
              <w:kinsoku/>
              <w:wordWrap/>
              <w:overflowPunct/>
              <w:topLinePunct w:val="0"/>
              <w:autoSpaceDE/>
              <w:autoSpaceDN/>
              <w:bidi w:val="0"/>
              <w:snapToGrid w:val="0"/>
              <w:ind w:lef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5环境影响评价总结论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lang w:eastAsia="zh-CN"/>
              </w:rPr>
              <w:t>福建乐华食品有限公司</w:t>
            </w:r>
            <w:r>
              <w:rPr>
                <w:rFonts w:hint="default" w:ascii="Times New Roman" w:hAnsi="Times New Roman" w:eastAsia="宋体" w:cs="Times New Roman"/>
                <w:color w:val="auto"/>
                <w:sz w:val="24"/>
                <w:szCs w:val="24"/>
              </w:rPr>
              <w:t>新增生物质颗粒燃料锅炉</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位于云霄县云陵工业开发区，总投资</w:t>
            </w:r>
            <w:r>
              <w:rPr>
                <w:rFonts w:hint="default" w:ascii="Times New Roman" w:hAnsi="Times New Roman" w:eastAsia="宋体" w:cs="Times New Roman"/>
                <w:color w:val="auto"/>
                <w:sz w:val="24"/>
                <w:szCs w:val="24"/>
                <w:lang w:val="en-US" w:eastAsia="zh-CN"/>
              </w:rPr>
              <w:t>100</w:t>
            </w:r>
            <w:r>
              <w:rPr>
                <w:rFonts w:hint="default" w:ascii="Times New Roman" w:hAnsi="Times New Roman" w:eastAsia="宋体" w:cs="Times New Roman"/>
                <w:color w:val="auto"/>
                <w:sz w:val="24"/>
                <w:szCs w:val="24"/>
              </w:rPr>
              <w:t>万，新</w:t>
            </w:r>
            <w:r>
              <w:rPr>
                <w:rFonts w:hint="default" w:ascii="Times New Roman" w:hAnsi="Times New Roman" w:eastAsia="宋体" w:cs="Times New Roman"/>
                <w:color w:val="auto"/>
                <w:sz w:val="24"/>
                <w:szCs w:val="24"/>
                <w:lang w:eastAsia="zh-CN"/>
              </w:rPr>
              <w:t>增</w:t>
            </w:r>
            <w:r>
              <w:rPr>
                <w:rFonts w:hint="default" w:ascii="Times New Roman" w:hAnsi="Times New Roman" w:eastAsia="宋体" w:cs="Times New Roman"/>
                <w:color w:val="auto"/>
                <w:sz w:val="24"/>
                <w:szCs w:val="24"/>
              </w:rPr>
              <w:t>1台</w:t>
            </w:r>
            <w:r>
              <w:rPr>
                <w:rFonts w:hint="default" w:ascii="Times New Roman" w:hAnsi="Times New Roman" w:eastAsia="宋体" w:cs="Times New Roman"/>
                <w:color w:val="auto"/>
                <w:sz w:val="24"/>
                <w:szCs w:val="24"/>
                <w:lang w:val="en-US" w:eastAsia="zh-CN"/>
              </w:rPr>
              <w:t>6t/h的</w:t>
            </w:r>
            <w:r>
              <w:rPr>
                <w:rFonts w:hint="default" w:ascii="Times New Roman" w:hAnsi="Times New Roman" w:eastAsia="宋体" w:cs="Times New Roman"/>
                <w:color w:val="auto"/>
                <w:sz w:val="24"/>
                <w:szCs w:val="24"/>
              </w:rPr>
              <w:t>生物质颗粒燃料锅炉</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的建设</w:t>
            </w:r>
            <w:r>
              <w:rPr>
                <w:rFonts w:hint="default" w:ascii="Times New Roman" w:hAnsi="Times New Roman" w:eastAsia="宋体" w:cs="Times New Roman"/>
                <w:color w:val="auto"/>
                <w:sz w:val="24"/>
                <w:szCs w:val="24"/>
                <w:highlight w:val="none"/>
              </w:rPr>
              <w:t>符合国家产业政策；选址</w:t>
            </w:r>
            <w:r>
              <w:rPr>
                <w:rFonts w:hint="default" w:ascii="Times New Roman" w:hAnsi="Times New Roman" w:eastAsia="宋体" w:cs="Times New Roman"/>
                <w:color w:val="auto"/>
                <w:sz w:val="24"/>
                <w:szCs w:val="24"/>
                <w:highlight w:val="none"/>
                <w:lang w:eastAsia="zh-CN"/>
              </w:rPr>
              <w:t>符合规划、符合环境功能区划、符合“三线一单”要求</w:t>
            </w:r>
            <w:r>
              <w:rPr>
                <w:rFonts w:hint="default" w:ascii="Times New Roman" w:hAnsi="Times New Roman" w:eastAsia="宋体" w:cs="Times New Roman"/>
                <w:color w:val="auto"/>
                <w:sz w:val="24"/>
                <w:szCs w:val="24"/>
                <w:highlight w:val="none"/>
              </w:rPr>
              <w:t>；经采取环保措施后，污染物能够达标排放，并符合总量控制的要求；项目所在区域的环境功能区能够达标；同时项目区域环境容量满足项目建设的需要。因此,该项目的建设从环境保护的角度分析是可行的。</w:t>
            </w:r>
          </w:p>
          <w:p>
            <w:pPr>
              <w:widowControl/>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二</w:t>
            </w:r>
            <w:r>
              <w:rPr>
                <w:rFonts w:hint="eastAsia" w:ascii="Times New Roman" w:hAnsi="Times New Roman" w:eastAsia="宋体" w:cs="Times New Roman"/>
                <w:b/>
                <w:bCs/>
                <w:color w:val="000000" w:themeColor="text1"/>
                <w:sz w:val="24"/>
                <w:szCs w:val="24"/>
                <w14:textFill>
                  <w14:solidFill>
                    <w14:schemeClr w14:val="tx1"/>
                  </w14:solidFill>
                </w14:textFill>
              </w:rPr>
              <w:t>、</w:t>
            </w:r>
            <w:r>
              <w:rPr>
                <w:rFonts w:ascii="Times New Roman" w:hAnsi="Times New Roman" w:eastAsia="宋体" w:cs="Times New Roman"/>
                <w:b/>
                <w:bCs/>
                <w:color w:val="000000" w:themeColor="text1"/>
                <w:sz w:val="24"/>
                <w:szCs w:val="24"/>
                <w14:textFill>
                  <w14:solidFill>
                    <w14:schemeClr w14:val="tx1"/>
                  </w14:solidFill>
                </w14:textFill>
              </w:rPr>
              <w:t>审批部门审批决定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漳州市云霄生态环境局文件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福建乐华食品有限公司</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你单位报送的《新增生物质颗粒燃料锅炉项目环境影响报告表》(以下简称《报告表》)收悉，经研究，批复如下</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福建乐华食品有限公司新增生物质颗粒燃料锅炉项目符合国家产业发展政策，根据《报告表》评价结论，在严格落实《报告表》提出的各项污染防治措施，确保污染物稳定达标排放的前提下，从环境保护的角度，原则同意该项目按照《报告表》所列地点、性质、规模、采用的工艺及环境保护措施建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建设内容及规模:项目位于云霄县云陵工业开发区，项目建设性质为扩建。项目原有一台2吨/小时燃生物质颗粒蒸汽锅炉，现拟在厂区内新增1台6吨/小时燃生物质颗粒蒸汽锅炉，项目占地面积100平方米，总投资100万元，其中环保投资10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二、在项目设计、建设和环境管理中要认真落实《报告表》提出的各项环保要求，严格执行环保“三同时”制度，确保各类污染物稳定达标排放，并达到以下要求;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加强施工期的环境保护工作，落实各项生态保护和污染防治措施。合理安排工期,制定合理的施工方案，确保施工期扬尘、噪声等达标排放，避免对周围环境敏感点的影响。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按要求做好大气污染防治工作。锅炉烟气经“袋式除尘器+碱液喷淋”处理后通过不低于35米高的排气筒达标排放。燃气锅炉废气排放执行《锅炉大气污染物排放标准》(GB13271-2014)表2规定燃气锅炉排放浓度限值。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3.项目应采取有效的减振、降噪、隔声等措施来治理噪声污染，确保厂界噪声达标排放。运营期厂界噪声排放执行《工业企业厂界环境噪声排放标准》(GB12348-2008)3类标准。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4.遵循“减量化、无害化、资源化”的原则妥善处理固体废物:生活固废分类收集，及时清运;一般工业固废统一收集，综合回收利用。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三、主要污染物总量控制要求:二氧化硫(SO2)≤1.22吨/年，氮氧化物(NOz)≤2.31吨/年。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四、建设单位应建立切实可行的环境风险防范与应急管理体系，认真落实环境风险防范和应急措施，杜绝环境风险事故的发生，有效防范环境风险。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sz w:val="24"/>
                <w:szCs w:val="24"/>
              </w:rPr>
              <w:t>五、全面落实本报告表和批复提出的各项环境保护措施，建设单位应根据《建设项目竣工环境保护验收暂行办法》实施环境保护设施竣工验收并向我局报送相关信息，接受监督检查。验收合格后，方可正式投入运营。项目的性质、规模、地点或者防治污染、防止生态破坏的措施发生重大变动的，建设单位应当重新报批环境影响评价文件，否则不得实施建设。自环评批复文件批准之日起，如工程超过5年未开工建设，环境影响评价文件应当报我局重新审核批准。</w:t>
            </w:r>
          </w:p>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三</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、环境影响报告表及批复意见落实情况调查</w:t>
            </w:r>
          </w:p>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表4-1 环境影响报告表批复意见落实一览表</w:t>
            </w:r>
          </w:p>
          <w:tbl>
            <w:tblPr>
              <w:tblStyle w:val="26"/>
              <w:tblW w:w="863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
              <w:gridCol w:w="4870"/>
              <w:gridCol w:w="33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429"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序号</w:t>
                  </w:r>
                </w:p>
              </w:tc>
              <w:tc>
                <w:tcPr>
                  <w:tcW w:w="4870"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批复情况</w:t>
                  </w:r>
                </w:p>
              </w:tc>
              <w:tc>
                <w:tcPr>
                  <w:tcW w:w="3340"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实际执行情况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429"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4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按要求做好大气污染防治工作。锅炉烟气经“袋式除尘器+碱液喷淋”处理后通过不低于35米高的排气筒达标排放。燃气锅炉废气排放执行《锅炉大气污染物排放标准》(GB13271-2014)表2规定燃气锅炉排放浓度限值。</w:t>
                  </w:r>
                </w:p>
              </w:tc>
              <w:tc>
                <w:tcPr>
                  <w:tcW w:w="33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项目</w:t>
                  </w: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锅炉尾气采用</w:t>
                  </w: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“袋式除尘器+碱液喷淋”处理后</w:t>
                  </w: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通过排气筒排放</w:t>
                  </w: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；经处理后的锅炉废气对周边环境不会产生影响。</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29"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2</w:t>
                  </w:r>
                </w:p>
              </w:tc>
              <w:tc>
                <w:tcPr>
                  <w:tcW w:w="4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项目应采取有效的减振、降噪、隔声等措施来治理噪声污染，确保厂界噪声达标排放。运营期厂界噪声排放执行《工业企业厂界环境噪声排放标准》(GB12348-2008)3类标准。</w:t>
                  </w:r>
                </w:p>
              </w:tc>
              <w:tc>
                <w:tcPr>
                  <w:tcW w:w="33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本项目主要噪声污染源主要来自机台设备运行时产生的噪声，主要通过合理布局，使高噪声设备远离厂界；对噪声值较高的设备基座底部安装减振垫等；定期检查并调整好运动机器部件的静平衡与动平衡的动力，加强设备维护，使其处于良好运行状态，以此来降低环境噪声污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29"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w:t>
                  </w:r>
                </w:p>
              </w:tc>
              <w:tc>
                <w:tcPr>
                  <w:tcW w:w="4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遵循“减量化、无害化、资源化”的原则妥善处理固体废物:生活固废分类收集，及时清运;一般工业固废统一收集，综合回收利用。</w:t>
                  </w:r>
                </w:p>
              </w:tc>
              <w:tc>
                <w:tcPr>
                  <w:tcW w:w="33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项目生产中产生的一般工业固体废物为锅炉炉渣、除尘器收集的灰渣、湿法脱硫除尘产生的泥渣，均为一般工业固废，分类收集后由周边农户回收利用。</w:t>
                  </w:r>
                </w:p>
              </w:tc>
            </w:tr>
          </w:tbl>
          <w:p>
            <w:pPr>
              <w:pStyle w:val="36"/>
              <w:spacing w:line="360" w:lineRule="auto"/>
              <w:jc w:val="both"/>
              <w:rPr>
                <w:rFonts w:ascii="Times New Roman" w:hAnsi="Times New Roman" w:cs="Times New Roman"/>
                <w:color w:val="0000FF"/>
              </w:rPr>
            </w:pPr>
          </w:p>
        </w:tc>
      </w:tr>
    </w:tbl>
    <w:p>
      <w:pPr>
        <w:spacing w:line="360" w:lineRule="auto"/>
        <w:rPr>
          <w:rFonts w:ascii="Times New Roman" w:hAnsi="Times New Roman" w:eastAsia="宋体" w:cs="Times New Roman"/>
          <w:color w:val="0000FF"/>
          <w:sz w:val="21"/>
          <w:szCs w:val="21"/>
        </w:rPr>
        <w:sectPr>
          <w:footerReference r:id="rId5" w:type="default"/>
          <w:pgSz w:w="11906" w:h="16838"/>
          <w:pgMar w:top="1440" w:right="1440" w:bottom="1440" w:left="1701" w:header="709" w:footer="709" w:gutter="0"/>
          <w:pgBorders>
            <w:top w:val="none" w:sz="0" w:space="0"/>
            <w:left w:val="none" w:sz="0" w:space="0"/>
            <w:bottom w:val="none" w:sz="0" w:space="0"/>
            <w:right w:val="none" w:sz="0" w:space="0"/>
          </w:pgBorders>
          <w:cols w:space="0" w:num="1"/>
          <w:docGrid w:linePitch="360" w:charSpace="0"/>
        </w:sect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表五</w:t>
      </w:r>
    </w:p>
    <w:tbl>
      <w:tblPr>
        <w:tblStyle w:val="26"/>
        <w:tblW w:w="8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2" w:hRule="atLeast"/>
        </w:trPr>
        <w:tc>
          <w:tcPr>
            <w:tcW w:w="8797" w:type="dxa"/>
          </w:tcPr>
          <w:p>
            <w:pPr>
              <w:widowControl/>
              <w:spacing w:line="360" w:lineRule="auto"/>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验收监测质量保证及质量控制：</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1、监测分析方法</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此次验收监测的分析方法按环境要素说明各项监测因子监测分析方法名称、方法标准号或方法来源、分析方法的最低检出限，详见下表。</w:t>
            </w:r>
          </w:p>
          <w:p>
            <w:pPr>
              <w:keepNext w:val="0"/>
              <w:keepLines w:val="0"/>
              <w:pageBreakBefore w:val="0"/>
              <w:widowControl w:val="0"/>
              <w:kinsoku/>
              <w:wordWrap/>
              <w:overflowPunct/>
              <w:topLinePunct w:val="0"/>
              <w:autoSpaceDE/>
              <w:autoSpaceDN/>
              <w:bidi w:val="0"/>
              <w:adjustRightInd/>
              <w:snapToGrid w:val="0"/>
              <w:spacing w:line="240" w:lineRule="auto"/>
              <w:ind w:firstLine="422" w:firstLineChars="20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bookmarkStart w:id="2" w:name="_Toc1961"/>
            <w:r>
              <w:rPr>
                <w:rFonts w:ascii="Times New Roman" w:hAnsi="Times New Roman" w:eastAsia="宋体" w:cs="Times New Roman"/>
                <w:b/>
                <w:bCs/>
                <w:color w:val="000000" w:themeColor="text1"/>
                <w:sz w:val="21"/>
                <w:szCs w:val="21"/>
                <w14:textFill>
                  <w14:solidFill>
                    <w14:schemeClr w14:val="tx1"/>
                  </w14:solidFill>
                </w14:textFill>
              </w:rPr>
              <w:t>表5-1 监测分析方法</w:t>
            </w:r>
            <w:bookmarkEnd w:id="2"/>
            <w:r>
              <w:rPr>
                <w:rFonts w:ascii="Times New Roman" w:hAnsi="Times New Roman" w:eastAsia="宋体" w:cs="Times New Roman"/>
                <w:b/>
                <w:bCs/>
                <w:color w:val="000000" w:themeColor="text1"/>
                <w:sz w:val="21"/>
                <w:szCs w:val="21"/>
                <w14:textFill>
                  <w14:solidFill>
                    <w14:schemeClr w14:val="tx1"/>
                  </w14:solidFill>
                </w14:textFill>
              </w:rPr>
              <w:t>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001"/>
              <w:gridCol w:w="1097"/>
              <w:gridCol w:w="3591"/>
              <w:gridCol w:w="1587"/>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51" w:hRule="atLeast"/>
                <w:tblHeader/>
                <w:jc w:val="center"/>
              </w:trPr>
              <w:tc>
                <w:tcPr>
                  <w:tcW w:w="584" w:type="pct"/>
                  <w:shd w:val="clear" w:color="auto" w:fill="FFFFFF"/>
                  <w:noWrap w:val="0"/>
                  <w:vAlign w:val="center"/>
                </w:tcPr>
                <w:p>
                  <w:pPr>
                    <w:adjustRightInd w:val="0"/>
                    <w:snapToGrid w:val="0"/>
                    <w:jc w:val="center"/>
                    <w:rPr>
                      <w:rFonts w:ascii="Times New Roman" w:hAnsi="Times New Roman" w:eastAsia="宋体" w:cs="Times New Roman"/>
                      <w:color w:val="000000" w:themeColor="text1"/>
                      <w:kern w:val="1"/>
                      <w:szCs w:val="21"/>
                      <w14:textFill>
                        <w14:solidFill>
                          <w14:schemeClr w14:val="tx1"/>
                        </w14:solidFill>
                      </w14:textFill>
                    </w:rPr>
                  </w:pPr>
                  <w:r>
                    <w:rPr>
                      <w:rFonts w:ascii="Times New Roman" w:hAnsi="Times New Roman" w:eastAsia="宋体" w:cs="Times New Roman"/>
                      <w:color w:val="000000" w:themeColor="text1"/>
                      <w:kern w:val="1"/>
                      <w:szCs w:val="21"/>
                      <w14:textFill>
                        <w14:solidFill>
                          <w14:schemeClr w14:val="tx1"/>
                        </w14:solidFill>
                      </w14:textFill>
                    </w:rPr>
                    <w:t>项目类别</w:t>
                  </w:r>
                </w:p>
              </w:tc>
              <w:tc>
                <w:tcPr>
                  <w:tcW w:w="640" w:type="pct"/>
                  <w:shd w:val="clear" w:color="auto" w:fill="FFFFFF"/>
                  <w:noWrap w:val="0"/>
                  <w:vAlign w:val="center"/>
                </w:tcPr>
                <w:p>
                  <w:pPr>
                    <w:adjustRightInd w:val="0"/>
                    <w:snapToGrid w:val="0"/>
                    <w:jc w:val="center"/>
                    <w:rPr>
                      <w:rFonts w:ascii="Times New Roman" w:hAnsi="Times New Roman" w:eastAsia="宋体" w:cs="Times New Roman"/>
                      <w:color w:val="000000" w:themeColor="text1"/>
                      <w:kern w:val="1"/>
                      <w:szCs w:val="21"/>
                      <w14:textFill>
                        <w14:solidFill>
                          <w14:schemeClr w14:val="tx1"/>
                        </w14:solidFill>
                      </w14:textFill>
                    </w:rPr>
                  </w:pPr>
                  <w:r>
                    <w:rPr>
                      <w:rFonts w:ascii="Times New Roman" w:hAnsi="Times New Roman" w:eastAsia="宋体" w:cs="Times New Roman"/>
                      <w:color w:val="000000" w:themeColor="text1"/>
                      <w:kern w:val="1"/>
                      <w:szCs w:val="21"/>
                      <w14:textFill>
                        <w14:solidFill>
                          <w14:schemeClr w14:val="tx1"/>
                        </w14:solidFill>
                      </w14:textFill>
                    </w:rPr>
                    <w:t>检测项目</w:t>
                  </w:r>
                </w:p>
              </w:tc>
              <w:tc>
                <w:tcPr>
                  <w:tcW w:w="2095" w:type="pct"/>
                  <w:shd w:val="clear" w:color="auto" w:fill="FFFFFF"/>
                  <w:noWrap w:val="0"/>
                  <w:vAlign w:val="center"/>
                </w:tcPr>
                <w:p>
                  <w:pPr>
                    <w:adjustRightInd w:val="0"/>
                    <w:snapToGrid w:val="0"/>
                    <w:jc w:val="center"/>
                    <w:rPr>
                      <w:rFonts w:ascii="Times New Roman" w:hAnsi="Times New Roman" w:eastAsia="宋体" w:cs="Times New Roman"/>
                      <w:color w:val="000000" w:themeColor="text1"/>
                      <w:kern w:val="1"/>
                      <w:szCs w:val="21"/>
                      <w14:textFill>
                        <w14:solidFill>
                          <w14:schemeClr w14:val="tx1"/>
                        </w14:solidFill>
                      </w14:textFill>
                    </w:rPr>
                  </w:pPr>
                  <w:r>
                    <w:rPr>
                      <w:rFonts w:ascii="Times New Roman" w:hAnsi="Times New Roman" w:eastAsia="宋体" w:cs="Times New Roman"/>
                      <w:color w:val="000000" w:themeColor="text1"/>
                      <w:kern w:val="1"/>
                      <w:szCs w:val="21"/>
                      <w14:textFill>
                        <w14:solidFill>
                          <w14:schemeClr w14:val="tx1"/>
                        </w14:solidFill>
                      </w14:textFill>
                    </w:rPr>
                    <w:t>检测方法</w:t>
                  </w:r>
                </w:p>
              </w:tc>
              <w:tc>
                <w:tcPr>
                  <w:tcW w:w="926" w:type="pct"/>
                  <w:shd w:val="clear" w:color="auto" w:fill="FFFFFF"/>
                  <w:noWrap w:val="0"/>
                  <w:vAlign w:val="center"/>
                </w:tcPr>
                <w:p>
                  <w:pPr>
                    <w:adjustRightInd w:val="0"/>
                    <w:snapToGrid w:val="0"/>
                    <w:jc w:val="center"/>
                    <w:rPr>
                      <w:rFonts w:hint="eastAsia" w:ascii="Times New Roman" w:hAnsi="Times New Roman" w:eastAsia="宋体" w:cs="Times New Roman"/>
                      <w:color w:val="000000" w:themeColor="text1"/>
                      <w:kern w:val="1"/>
                      <w:szCs w:val="21"/>
                      <w14:textFill>
                        <w14:solidFill>
                          <w14:schemeClr w14:val="tx1"/>
                        </w14:solidFill>
                      </w14:textFill>
                    </w:rPr>
                  </w:pPr>
                  <w:r>
                    <w:rPr>
                      <w:rFonts w:ascii="Times New Roman" w:hAnsi="Times New Roman" w:eastAsia="宋体" w:cs="Times New Roman"/>
                      <w:color w:val="000000" w:themeColor="text1"/>
                      <w:kern w:val="1"/>
                      <w:szCs w:val="21"/>
                      <w14:textFill>
                        <w14:solidFill>
                          <w14:schemeClr w14:val="tx1"/>
                        </w14:solidFill>
                      </w14:textFill>
                    </w:rPr>
                    <w:t>使用仪器</w:t>
                  </w:r>
                </w:p>
                <w:p>
                  <w:pPr>
                    <w:adjustRightInd w:val="0"/>
                    <w:snapToGrid w:val="0"/>
                    <w:jc w:val="center"/>
                    <w:rPr>
                      <w:rFonts w:ascii="Times New Roman" w:hAnsi="Times New Roman" w:eastAsia="宋体" w:cs="Times New Roman"/>
                      <w:color w:val="000000" w:themeColor="text1"/>
                      <w:kern w:val="1"/>
                      <w:szCs w:val="21"/>
                      <w14:textFill>
                        <w14:solidFill>
                          <w14:schemeClr w14:val="tx1"/>
                        </w14:solidFill>
                      </w14:textFill>
                    </w:rPr>
                  </w:pPr>
                  <w:r>
                    <w:rPr>
                      <w:rFonts w:ascii="Times New Roman" w:hAnsi="Times New Roman" w:eastAsia="宋体" w:cs="Times New Roman"/>
                      <w:color w:val="000000" w:themeColor="text1"/>
                      <w:kern w:val="1"/>
                      <w:szCs w:val="21"/>
                      <w14:textFill>
                        <w14:solidFill>
                          <w14:schemeClr w14:val="tx1"/>
                        </w14:solidFill>
                      </w14:textFill>
                    </w:rPr>
                    <w:t>及型号</w:t>
                  </w:r>
                </w:p>
              </w:tc>
              <w:tc>
                <w:tcPr>
                  <w:tcW w:w="753" w:type="pct"/>
                  <w:shd w:val="clear" w:color="auto" w:fill="FFFFFF"/>
                  <w:noWrap w:val="0"/>
                  <w:vAlign w:val="center"/>
                </w:tcPr>
                <w:p>
                  <w:pPr>
                    <w:adjustRightInd w:val="0"/>
                    <w:snapToGrid w:val="0"/>
                    <w:jc w:val="center"/>
                    <w:rPr>
                      <w:rFonts w:ascii="Times New Roman" w:hAnsi="Times New Roman" w:eastAsia="宋体" w:cs="Times New Roman"/>
                      <w:color w:val="000000" w:themeColor="text1"/>
                      <w:kern w:val="1"/>
                      <w:szCs w:val="21"/>
                      <w14:textFill>
                        <w14:solidFill>
                          <w14:schemeClr w14:val="tx1"/>
                        </w14:solidFill>
                      </w14:textFill>
                    </w:rPr>
                  </w:pPr>
                  <w:r>
                    <w:rPr>
                      <w:rFonts w:ascii="Times New Roman" w:hAnsi="Times New Roman" w:eastAsia="宋体" w:cs="Times New Roman"/>
                      <w:color w:val="000000" w:themeColor="text1"/>
                      <w:kern w:val="1"/>
                      <w:szCs w:val="21"/>
                      <w14:textFill>
                        <w14:solidFill>
                          <w14:schemeClr w14:val="tx1"/>
                        </w14:solidFill>
                      </w14:textFill>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64" w:hRule="atLeast"/>
                <w:tblHeader/>
                <w:jc w:val="center"/>
              </w:trPr>
              <w:tc>
                <w:tcPr>
                  <w:tcW w:w="584" w:type="pct"/>
                  <w:vMerge w:val="restart"/>
                  <w:shd w:val="clear" w:color="auto" w:fill="FFFFFF"/>
                  <w:noWrap w:val="0"/>
                  <w:vAlign w:val="center"/>
                </w:tcPr>
                <w:p>
                  <w:pPr>
                    <w:jc w:val="center"/>
                    <w:rPr>
                      <w:rFonts w:hint="eastAsia" w:ascii="Times New Roman" w:hAnsi="Times New Roman" w:eastAsia="宋体" w:cs="Times New Roman"/>
                      <w:color w:val="000000" w:themeColor="text1"/>
                      <w:kern w:val="1"/>
                      <w:szCs w:val="21"/>
                      <w14:textFill>
                        <w14:solidFill>
                          <w14:schemeClr w14:val="tx1"/>
                        </w14:solidFill>
                      </w14:textFill>
                    </w:rPr>
                  </w:pPr>
                  <w:r>
                    <w:rPr>
                      <w:rFonts w:hint="eastAsia" w:ascii="Times New Roman" w:hAnsi="Times New Roman" w:eastAsia="宋体" w:cs="Times New Roman"/>
                      <w:color w:val="000000" w:themeColor="text1"/>
                      <w:kern w:val="1"/>
                      <w:szCs w:val="21"/>
                      <w14:textFill>
                        <w14:solidFill>
                          <w14:schemeClr w14:val="tx1"/>
                        </w14:solidFill>
                      </w14:textFill>
                    </w:rPr>
                    <w:t>废气</w:t>
                  </w:r>
                </w:p>
              </w:tc>
              <w:tc>
                <w:tcPr>
                  <w:tcW w:w="640" w:type="pct"/>
                  <w:shd w:val="clear" w:color="auto" w:fill="FFFFFF"/>
                  <w:noWrap w:val="0"/>
                  <w:vAlign w:val="center"/>
                </w:tcPr>
                <w:p>
                  <w:pPr>
                    <w:widowControl/>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二氧化硫</w:t>
                  </w:r>
                </w:p>
              </w:tc>
              <w:tc>
                <w:tcPr>
                  <w:tcW w:w="2095" w:type="pct"/>
                  <w:shd w:val="clear" w:color="auto" w:fill="FFFFFF"/>
                  <w:noWrap w:val="0"/>
                  <w:vAlign w:val="center"/>
                </w:tcPr>
                <w:p>
                  <w:pPr>
                    <w:jc w:val="center"/>
                    <w:rPr>
                      <w:rFonts w:hint="eastAsia"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固定污染源废气 二氧化硫的测定 定电位电解法 HJ 57-2017</w:t>
                  </w:r>
                </w:p>
              </w:tc>
              <w:tc>
                <w:tcPr>
                  <w:tcW w:w="926" w:type="pct"/>
                  <w:shd w:val="clear" w:color="auto" w:fill="FFFFFF"/>
                  <w:noWrap w:val="0"/>
                  <w:vAlign w:val="center"/>
                </w:tcPr>
                <w:p>
                  <w:pPr>
                    <w:jc w:val="center"/>
                    <w:rPr>
                      <w:rFonts w:hint="eastAsia"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烟气烟尘颗粒 物浓度测试仪 MH3300</w:t>
                  </w:r>
                </w:p>
              </w:tc>
              <w:tc>
                <w:tcPr>
                  <w:tcW w:w="753" w:type="pct"/>
                  <w:shd w:val="clear" w:color="auto" w:fill="FFFFFF"/>
                  <w:noWrap w:val="0"/>
                  <w:vAlign w:val="center"/>
                </w:tcPr>
                <w:p>
                  <w:pPr>
                    <w:jc w:val="center"/>
                    <w:rPr>
                      <w:rFonts w:ascii="Times New Roman" w:hAnsi="Times New Roman" w:eastAsia="宋体" w:cs="Times New Roman"/>
                      <w:color w:val="000000" w:themeColor="text1"/>
                      <w:kern w:val="1"/>
                      <w:szCs w:val="21"/>
                      <w14:textFill>
                        <w14:solidFill>
                          <w14:schemeClr w14:val="tx1"/>
                        </w14:solidFill>
                      </w14:textFill>
                    </w:rPr>
                  </w:pPr>
                  <w:r>
                    <w:rPr>
                      <w:rFonts w:hint="eastAsia" w:ascii="Times New Roman" w:hAnsi="Times New Roman" w:eastAsia="宋体" w:cs="Times New Roman"/>
                      <w:color w:val="000000" w:themeColor="text1"/>
                      <w:kern w:val="1"/>
                      <w:szCs w:val="21"/>
                      <w14:textFill>
                        <w14:solidFill>
                          <w14:schemeClr w14:val="tx1"/>
                        </w14:solidFill>
                      </w14:textFill>
                    </w:rPr>
                    <w:t>3mg/m</w:t>
                  </w:r>
                  <w:r>
                    <w:rPr>
                      <w:rFonts w:hint="eastAsia" w:ascii="Times New Roman" w:hAnsi="Times New Roman" w:eastAsia="宋体" w:cs="Times New Roman"/>
                      <w:color w:val="000000" w:themeColor="text1"/>
                      <w:kern w:val="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64" w:hRule="atLeast"/>
                <w:tblHeader/>
                <w:jc w:val="center"/>
              </w:trPr>
              <w:tc>
                <w:tcPr>
                  <w:tcW w:w="584" w:type="pct"/>
                  <w:vMerge w:val="continue"/>
                  <w:shd w:val="clear" w:color="auto" w:fill="FFFFFF"/>
                  <w:noWrap w:val="0"/>
                  <w:vAlign w:val="center"/>
                </w:tcPr>
                <w:p>
                  <w:pPr>
                    <w:jc w:val="center"/>
                    <w:rPr>
                      <w:rFonts w:hint="eastAsia" w:ascii="Times New Roman" w:hAnsi="Times New Roman" w:eastAsia="宋体" w:cs="Times New Roman"/>
                      <w:color w:val="000000" w:themeColor="text1"/>
                      <w:kern w:val="1"/>
                      <w:szCs w:val="21"/>
                      <w14:textFill>
                        <w14:solidFill>
                          <w14:schemeClr w14:val="tx1"/>
                        </w14:solidFill>
                      </w14:textFill>
                    </w:rPr>
                  </w:pPr>
                </w:p>
              </w:tc>
              <w:tc>
                <w:tcPr>
                  <w:tcW w:w="640" w:type="pct"/>
                  <w:shd w:val="clear" w:color="auto" w:fill="FFFFFF"/>
                  <w:noWrap w:val="0"/>
                  <w:vAlign w:val="center"/>
                </w:tcPr>
                <w:p>
                  <w:pPr>
                    <w:widowControl/>
                    <w:jc w:val="center"/>
                    <w:rPr>
                      <w:rFonts w:hint="eastAsia"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二氧化硫</w:t>
                  </w:r>
                </w:p>
              </w:tc>
              <w:tc>
                <w:tcPr>
                  <w:tcW w:w="2095" w:type="pct"/>
                  <w:shd w:val="clear" w:color="auto" w:fill="FFFFFF"/>
                  <w:noWrap w:val="0"/>
                  <w:vAlign w:val="center"/>
                </w:tcPr>
                <w:p>
                  <w:pPr>
                    <w:jc w:val="center"/>
                    <w:rPr>
                      <w:rFonts w:hint="default" w:ascii="Times New Roman" w:hAnsi="Times New Roman" w:eastAsia="宋体" w:cs="Times New Roman"/>
                      <w:color w:val="000000" w:themeColor="text1"/>
                      <w:kern w:val="1"/>
                      <w:sz w:val="22"/>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固定污染源废气 二氧化硫的测定 定电位电解法 HJ 57-2017</w:t>
                  </w:r>
                </w:p>
              </w:tc>
              <w:tc>
                <w:tcPr>
                  <w:tcW w:w="926" w:type="pct"/>
                  <w:shd w:val="clear" w:color="auto" w:fill="FFFFFF"/>
                  <w:noWrap w:val="0"/>
                  <w:vAlign w:val="center"/>
                </w:tcPr>
                <w:p>
                  <w:pPr>
                    <w:jc w:val="center"/>
                    <w:rPr>
                      <w:rFonts w:hint="eastAsia" w:ascii="Times New Roman" w:hAnsi="Times New Roman" w:eastAsia="宋体" w:cs="Times New Roman"/>
                      <w:color w:val="000000" w:themeColor="text1"/>
                      <w:kern w:val="1"/>
                      <w:sz w:val="22"/>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烟气烟尘颗粒 物浓度测试仪 MH3300</w:t>
                  </w:r>
                </w:p>
              </w:tc>
              <w:tc>
                <w:tcPr>
                  <w:tcW w:w="753" w:type="pct"/>
                  <w:shd w:val="clear" w:color="auto" w:fill="FFFFFF"/>
                  <w:noWrap w:val="0"/>
                  <w:vAlign w:val="center"/>
                </w:tcPr>
                <w:p>
                  <w:pPr>
                    <w:jc w:val="center"/>
                    <w:rPr>
                      <w:rFonts w:ascii="Times New Roman" w:hAnsi="Times New Roman" w:eastAsia="宋体" w:cs="Times New Roman"/>
                      <w:color w:val="000000" w:themeColor="text1"/>
                      <w:kern w:val="1"/>
                      <w:sz w:val="22"/>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Cs w:val="21"/>
                      <w14:textFill>
                        <w14:solidFill>
                          <w14:schemeClr w14:val="tx1"/>
                        </w14:solidFill>
                      </w14:textFill>
                    </w:rPr>
                    <w:t>3mg/m</w:t>
                  </w:r>
                  <w:r>
                    <w:rPr>
                      <w:rFonts w:hint="eastAsia" w:ascii="Times New Roman" w:hAnsi="Times New Roman" w:eastAsia="宋体" w:cs="Times New Roman"/>
                      <w:color w:val="000000" w:themeColor="text1"/>
                      <w:kern w:val="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64" w:hRule="atLeast"/>
                <w:tblHeader/>
                <w:jc w:val="center"/>
              </w:trPr>
              <w:tc>
                <w:tcPr>
                  <w:tcW w:w="584" w:type="pct"/>
                  <w:vMerge w:val="continue"/>
                  <w:shd w:val="clear" w:color="auto" w:fill="FFFFFF"/>
                  <w:noWrap w:val="0"/>
                  <w:vAlign w:val="center"/>
                </w:tcPr>
                <w:p>
                  <w:pPr>
                    <w:jc w:val="center"/>
                    <w:rPr>
                      <w:rFonts w:hint="eastAsia" w:ascii="Times New Roman" w:hAnsi="Times New Roman" w:eastAsia="宋体" w:cs="Times New Roman"/>
                      <w:color w:val="000000" w:themeColor="text1"/>
                      <w:kern w:val="1"/>
                      <w:szCs w:val="21"/>
                      <w14:textFill>
                        <w14:solidFill>
                          <w14:schemeClr w14:val="tx1"/>
                        </w14:solidFill>
                      </w14:textFill>
                    </w:rPr>
                  </w:pPr>
                </w:p>
              </w:tc>
              <w:tc>
                <w:tcPr>
                  <w:tcW w:w="640" w:type="pct"/>
                  <w:shd w:val="clear" w:color="auto" w:fill="FFFFFF"/>
                  <w:noWrap w:val="0"/>
                  <w:vAlign w:val="center"/>
                </w:tcPr>
                <w:p>
                  <w:pPr>
                    <w:widowControl/>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氮氧化物</w:t>
                  </w:r>
                </w:p>
              </w:tc>
              <w:tc>
                <w:tcPr>
                  <w:tcW w:w="2095" w:type="pct"/>
                  <w:shd w:val="clear" w:color="auto" w:fill="FFFFFF"/>
                  <w:noWrap w:val="0"/>
                  <w:vAlign w:val="center"/>
                </w:tcPr>
                <w:p>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固定污染源废气 氮氧化物的测定 定电位电解法 HJ 693-2014</w:t>
                  </w:r>
                </w:p>
              </w:tc>
              <w:tc>
                <w:tcPr>
                  <w:tcW w:w="926" w:type="pct"/>
                  <w:shd w:val="clear" w:color="auto" w:fill="FFFFFF"/>
                  <w:noWrap w:val="0"/>
                  <w:vAlign w:val="center"/>
                </w:tcPr>
                <w:p>
                  <w:pPr>
                    <w:jc w:val="center"/>
                    <w:rPr>
                      <w:rFonts w:hint="eastAsia"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烟气烟尘颗粒 物浓度测试仪 MH3300</w:t>
                  </w:r>
                </w:p>
              </w:tc>
              <w:tc>
                <w:tcPr>
                  <w:tcW w:w="753" w:type="pct"/>
                  <w:shd w:val="clear" w:color="auto" w:fill="FFFFFF"/>
                  <w:noWrap w:val="0"/>
                  <w:vAlign w:val="center"/>
                </w:tcPr>
                <w:p>
                  <w:pPr>
                    <w:jc w:val="center"/>
                    <w:rPr>
                      <w:rFonts w:ascii="Times New Roman" w:hAnsi="Times New Roman" w:eastAsia="宋体" w:cs="Times New Roman"/>
                      <w:color w:val="000000" w:themeColor="text1"/>
                      <w:kern w:val="1"/>
                      <w:sz w:val="22"/>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Cs w:val="21"/>
                      <w14:textFill>
                        <w14:solidFill>
                          <w14:schemeClr w14:val="tx1"/>
                        </w14:solidFill>
                      </w14:textFill>
                    </w:rPr>
                    <w:t>3mg/m</w:t>
                  </w:r>
                  <w:r>
                    <w:rPr>
                      <w:rFonts w:hint="eastAsia" w:ascii="Times New Roman" w:hAnsi="Times New Roman" w:eastAsia="宋体" w:cs="Times New Roman"/>
                      <w:color w:val="000000" w:themeColor="text1"/>
                      <w:kern w:val="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blHeader/>
                <w:jc w:val="center"/>
              </w:trPr>
              <w:tc>
                <w:tcPr>
                  <w:tcW w:w="584" w:type="pct"/>
                  <w:vMerge w:val="continue"/>
                  <w:shd w:val="clear" w:color="auto" w:fill="FFFFFF"/>
                  <w:noWrap w:val="0"/>
                  <w:vAlign w:val="center"/>
                </w:tcPr>
                <w:p>
                  <w:pPr>
                    <w:jc w:val="center"/>
                    <w:rPr>
                      <w:rFonts w:hint="eastAsia" w:ascii="Times New Roman" w:hAnsi="Times New Roman" w:eastAsia="宋体" w:cs="Times New Roman"/>
                      <w:color w:val="000000" w:themeColor="text1"/>
                      <w:kern w:val="1"/>
                      <w:szCs w:val="21"/>
                      <w14:textFill>
                        <w14:solidFill>
                          <w14:schemeClr w14:val="tx1"/>
                        </w14:solidFill>
                      </w14:textFill>
                    </w:rPr>
                  </w:pPr>
                </w:p>
              </w:tc>
              <w:tc>
                <w:tcPr>
                  <w:tcW w:w="640" w:type="pct"/>
                  <w:shd w:val="clear" w:color="auto" w:fill="FFFFFF"/>
                  <w:noWrap w:val="0"/>
                  <w:vAlign w:val="center"/>
                </w:tcPr>
                <w:p>
                  <w:pPr>
                    <w:widowControl/>
                    <w:jc w:val="center"/>
                    <w:rPr>
                      <w:rFonts w:hint="eastAsia"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氮氧化物</w:t>
                  </w:r>
                </w:p>
              </w:tc>
              <w:tc>
                <w:tcPr>
                  <w:tcW w:w="2095" w:type="pct"/>
                  <w:shd w:val="clear" w:color="auto" w:fill="FFFFFF"/>
                  <w:noWrap w:val="0"/>
                  <w:vAlign w:val="center"/>
                </w:tcPr>
                <w:p>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固定污染源废气 氮氧化物的测定 定电位电解法 HJ 693-2014</w:t>
                  </w:r>
                </w:p>
              </w:tc>
              <w:tc>
                <w:tcPr>
                  <w:tcW w:w="926" w:type="pct"/>
                  <w:shd w:val="clear" w:color="auto" w:fill="FFFFFF"/>
                  <w:noWrap w:val="0"/>
                  <w:vAlign w:val="center"/>
                </w:tcPr>
                <w:p>
                  <w:pPr>
                    <w:jc w:val="center"/>
                    <w:rPr>
                      <w:rFonts w:hint="eastAsia"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烟气烟尘颗粒 物浓度测试仪 MH3300</w:t>
                  </w:r>
                </w:p>
              </w:tc>
              <w:tc>
                <w:tcPr>
                  <w:tcW w:w="753" w:type="pct"/>
                  <w:shd w:val="clear" w:color="auto" w:fill="FFFFFF"/>
                  <w:noWrap w:val="0"/>
                  <w:vAlign w:val="center"/>
                </w:tcPr>
                <w:p>
                  <w:pPr>
                    <w:jc w:val="center"/>
                    <w:rPr>
                      <w:rFonts w:ascii="Times New Roman" w:hAnsi="Times New Roman" w:eastAsia="宋体" w:cs="Times New Roman"/>
                      <w:color w:val="000000" w:themeColor="text1"/>
                      <w:kern w:val="1"/>
                      <w:sz w:val="22"/>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1"/>
                      <w:szCs w:val="21"/>
                      <w14:textFill>
                        <w14:solidFill>
                          <w14:schemeClr w14:val="tx1"/>
                        </w14:solidFill>
                      </w14:textFill>
                    </w:rPr>
                    <w:t>3mg/m</w:t>
                  </w:r>
                  <w:r>
                    <w:rPr>
                      <w:rFonts w:hint="eastAsia" w:ascii="Times New Roman" w:hAnsi="Times New Roman" w:eastAsia="宋体" w:cs="Times New Roman"/>
                      <w:color w:val="000000" w:themeColor="text1"/>
                      <w:kern w:val="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blHeader/>
                <w:jc w:val="center"/>
              </w:trPr>
              <w:tc>
                <w:tcPr>
                  <w:tcW w:w="584" w:type="pct"/>
                  <w:vMerge w:val="continue"/>
                  <w:shd w:val="clear" w:color="auto" w:fill="FFFFFF"/>
                  <w:noWrap w:val="0"/>
                  <w:vAlign w:val="center"/>
                </w:tcPr>
                <w:p>
                  <w:pPr>
                    <w:jc w:val="center"/>
                    <w:rPr>
                      <w:rFonts w:hint="eastAsia" w:ascii="Times New Roman" w:hAnsi="Times New Roman" w:eastAsia="宋体" w:cs="Times New Roman"/>
                      <w:color w:val="000000" w:themeColor="text1"/>
                      <w:kern w:val="1"/>
                      <w:szCs w:val="21"/>
                      <w14:textFill>
                        <w14:solidFill>
                          <w14:schemeClr w14:val="tx1"/>
                        </w14:solidFill>
                      </w14:textFill>
                    </w:rPr>
                  </w:pPr>
                </w:p>
              </w:tc>
              <w:tc>
                <w:tcPr>
                  <w:tcW w:w="640" w:type="pct"/>
                  <w:shd w:val="clear" w:color="auto" w:fill="FFFFFF"/>
                  <w:noWrap w:val="0"/>
                  <w:vAlign w:val="center"/>
                </w:tcPr>
                <w:p>
                  <w:pPr>
                    <w:widowControl/>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颗粒物</w:t>
                  </w:r>
                </w:p>
              </w:tc>
              <w:tc>
                <w:tcPr>
                  <w:tcW w:w="2095" w:type="pct"/>
                  <w:shd w:val="clear" w:color="auto" w:fill="FFFFFF"/>
                  <w:noWrap w:val="0"/>
                  <w:vAlign w:val="center"/>
                </w:tcPr>
                <w:p>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固定污染源排气中颗粒物测定与 气态污染物采样方法 GB/T 16157-1996 及其修改单</w:t>
                  </w:r>
                </w:p>
              </w:tc>
              <w:tc>
                <w:tcPr>
                  <w:tcW w:w="926" w:type="pct"/>
                  <w:shd w:val="clear" w:color="auto" w:fill="FFFFFF"/>
                  <w:noWrap w:val="0"/>
                  <w:vAlign w:val="center"/>
                </w:tcPr>
                <w:p>
                  <w:pPr>
                    <w:jc w:val="center"/>
                    <w:rPr>
                      <w:rFonts w:hint="eastAsia"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电子天平 ME55/02</w:t>
                  </w:r>
                </w:p>
              </w:tc>
              <w:tc>
                <w:tcPr>
                  <w:tcW w:w="753" w:type="pct"/>
                  <w:shd w:val="clear" w:color="auto" w:fill="FFFFFF"/>
                  <w:noWrap w:val="0"/>
                  <w:vAlign w:val="center"/>
                </w:tcPr>
                <w:p>
                  <w:pPr>
                    <w:jc w:val="center"/>
                    <w:rPr>
                      <w:rFonts w:hint="eastAsia"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blHeader/>
                <w:jc w:val="center"/>
              </w:trPr>
              <w:tc>
                <w:tcPr>
                  <w:tcW w:w="584" w:type="pct"/>
                  <w:vMerge w:val="continue"/>
                  <w:shd w:val="clear" w:color="auto" w:fill="FFFFFF"/>
                  <w:noWrap w:val="0"/>
                  <w:vAlign w:val="center"/>
                </w:tcPr>
                <w:p>
                  <w:pPr>
                    <w:jc w:val="center"/>
                    <w:rPr>
                      <w:rFonts w:hint="eastAsia" w:ascii="Times New Roman" w:hAnsi="Times New Roman" w:eastAsia="宋体" w:cs="Times New Roman"/>
                      <w:color w:val="000000" w:themeColor="text1"/>
                      <w:kern w:val="1"/>
                      <w:szCs w:val="21"/>
                      <w14:textFill>
                        <w14:solidFill>
                          <w14:schemeClr w14:val="tx1"/>
                        </w14:solidFill>
                      </w14:textFill>
                    </w:rPr>
                  </w:pPr>
                </w:p>
              </w:tc>
              <w:tc>
                <w:tcPr>
                  <w:tcW w:w="640" w:type="pct"/>
                  <w:shd w:val="clear" w:color="auto" w:fill="FFFFFF"/>
                  <w:noWrap w:val="0"/>
                  <w:vAlign w:val="center"/>
                </w:tcPr>
                <w:p>
                  <w:pPr>
                    <w:widowControl/>
                    <w:jc w:val="center"/>
                    <w:rPr>
                      <w:rFonts w:hint="eastAsia"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颗粒物</w:t>
                  </w:r>
                </w:p>
              </w:tc>
              <w:tc>
                <w:tcPr>
                  <w:tcW w:w="2095" w:type="pct"/>
                  <w:shd w:val="clear" w:color="auto" w:fill="FFFFFF"/>
                  <w:noWrap w:val="0"/>
                  <w:vAlign w:val="center"/>
                </w:tcPr>
                <w:p>
                  <w:pPr>
                    <w:jc w:val="center"/>
                    <w:rPr>
                      <w:rFonts w:hint="default" w:ascii="Times New Roman" w:hAnsi="Times New Roman" w:eastAsia="宋体" w:cs="Times New Roman"/>
                      <w:color w:val="000000" w:themeColor="text1"/>
                      <w:kern w:val="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1"/>
                      <w:szCs w:val="21"/>
                      <w:lang w:val="en-US" w:eastAsia="zh-CN"/>
                      <w14:textFill>
                        <w14:solidFill>
                          <w14:schemeClr w14:val="tx1"/>
                        </w14:solidFill>
                      </w14:textFill>
                    </w:rPr>
                    <w:t>固定污染源废气 低浓度颗粒物的 测定 重量法 HJ 836-2017</w:t>
                  </w:r>
                </w:p>
              </w:tc>
              <w:tc>
                <w:tcPr>
                  <w:tcW w:w="926" w:type="pct"/>
                  <w:shd w:val="clear" w:color="auto" w:fill="FFFFFF"/>
                  <w:noWrap w:val="0"/>
                  <w:vAlign w:val="center"/>
                </w:tcPr>
                <w:p>
                  <w:pPr>
                    <w:jc w:val="center"/>
                    <w:rPr>
                      <w:rFonts w:hint="eastAsia" w:ascii="Times New Roman" w:hAnsi="Times New Roman" w:eastAsia="宋体" w:cs="Times New Roman"/>
                      <w:color w:val="000000" w:themeColor="text1"/>
                      <w:kern w:val="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电子天平 ME55/02</w:t>
                  </w:r>
                </w:p>
              </w:tc>
              <w:tc>
                <w:tcPr>
                  <w:tcW w:w="753" w:type="pct"/>
                  <w:shd w:val="clear" w:color="auto" w:fill="FFFFFF"/>
                  <w:noWrap w:val="0"/>
                  <w:vAlign w:val="center"/>
                </w:tcPr>
                <w:p>
                  <w:pPr>
                    <w:jc w:val="center"/>
                    <w:rPr>
                      <w:rFonts w:ascii="Times New Roman" w:hAnsi="Times New Roman" w:eastAsia="宋体" w:cs="Times New Roman"/>
                      <w:color w:val="000000" w:themeColor="text1"/>
                      <w:kern w:val="1"/>
                      <w:szCs w:val="21"/>
                      <w14:textFill>
                        <w14:solidFill>
                          <w14:schemeClr w14:val="tx1"/>
                        </w14:solidFill>
                      </w14:textFill>
                    </w:rPr>
                  </w:pPr>
                  <w:r>
                    <w:rPr>
                      <w:rFonts w:hint="eastAsia" w:ascii="Times New Roman" w:hAnsi="Times New Roman" w:eastAsia="宋体" w:cs="Times New Roman"/>
                      <w:color w:val="000000" w:themeColor="text1"/>
                      <w:kern w:val="1"/>
                      <w:szCs w:val="21"/>
                      <w:lang w:val="en-US" w:eastAsia="zh-CN"/>
                      <w14:textFill>
                        <w14:solidFill>
                          <w14:schemeClr w14:val="tx1"/>
                        </w14:solidFill>
                      </w14:textFill>
                    </w:rPr>
                    <w:t>1.0</w:t>
                  </w:r>
                  <w:r>
                    <w:rPr>
                      <w:rFonts w:hint="eastAsia" w:ascii="Times New Roman" w:hAnsi="Times New Roman" w:eastAsia="宋体" w:cs="Times New Roman"/>
                      <w:color w:val="000000" w:themeColor="text1"/>
                      <w:kern w:val="1"/>
                      <w:szCs w:val="21"/>
                      <w14:textFill>
                        <w14:solidFill>
                          <w14:schemeClr w14:val="tx1"/>
                        </w14:solidFill>
                      </w14:textFill>
                    </w:rPr>
                    <w:t>mg/m</w:t>
                  </w:r>
                  <w:r>
                    <w:rPr>
                      <w:rFonts w:hint="eastAsia" w:ascii="Times New Roman" w:hAnsi="Times New Roman" w:eastAsia="宋体" w:cs="Times New Roman"/>
                      <w:color w:val="000000" w:themeColor="text1"/>
                      <w:kern w:val="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blHeader/>
                <w:jc w:val="center"/>
              </w:trPr>
              <w:tc>
                <w:tcPr>
                  <w:tcW w:w="584" w:type="pct"/>
                  <w:shd w:val="clear" w:color="auto" w:fill="FFFFFF"/>
                  <w:noWrap w:val="0"/>
                  <w:vAlign w:val="center"/>
                </w:tcPr>
                <w:p>
                  <w:pPr>
                    <w:jc w:val="center"/>
                    <w:rPr>
                      <w:rFonts w:ascii="Times New Roman" w:hAnsi="Times New Roman" w:eastAsia="宋体" w:cs="Times New Roman"/>
                      <w:color w:val="000000" w:themeColor="text1"/>
                      <w:szCs w:val="21"/>
                      <w:lang w:bidi="ar"/>
                      <w14:textFill>
                        <w14:solidFill>
                          <w14:schemeClr w14:val="tx1"/>
                        </w14:solidFill>
                      </w14:textFill>
                    </w:rPr>
                  </w:pPr>
                  <w:r>
                    <w:rPr>
                      <w:rFonts w:ascii="Times New Roman" w:hAnsi="Times New Roman" w:eastAsia="宋体" w:cs="Times New Roman"/>
                      <w:color w:val="000000" w:themeColor="text1"/>
                      <w:szCs w:val="21"/>
                      <w:lang w:bidi="ar"/>
                      <w14:textFill>
                        <w14:solidFill>
                          <w14:schemeClr w14:val="tx1"/>
                        </w14:solidFill>
                      </w14:textFill>
                    </w:rPr>
                    <w:t>噪声</w:t>
                  </w:r>
                </w:p>
              </w:tc>
              <w:tc>
                <w:tcPr>
                  <w:tcW w:w="640" w:type="pct"/>
                  <w:shd w:val="clear" w:color="auto" w:fill="FFFFFF"/>
                  <w:noWrap w:val="0"/>
                  <w:vAlign w:val="center"/>
                </w:tcPr>
                <w:p>
                  <w:pPr>
                    <w:widowControl/>
                    <w:jc w:val="center"/>
                    <w:rPr>
                      <w:rFonts w:ascii="Times New Roman" w:hAnsi="Times New Roman" w:eastAsia="宋体" w:cs="Times New Roman"/>
                      <w:color w:val="000000" w:themeColor="text1"/>
                      <w:kern w:val="1"/>
                      <w:szCs w:val="21"/>
                      <w14:textFill>
                        <w14:solidFill>
                          <w14:schemeClr w14:val="tx1"/>
                        </w14:solidFill>
                      </w14:textFill>
                    </w:rPr>
                  </w:pPr>
                  <w:r>
                    <w:rPr>
                      <w:rFonts w:ascii="Times New Roman" w:hAnsi="Times New Roman" w:eastAsia="宋体" w:cs="Times New Roman"/>
                      <w:color w:val="000000" w:themeColor="text1"/>
                      <w:kern w:val="1"/>
                      <w:szCs w:val="21"/>
                      <w14:textFill>
                        <w14:solidFill>
                          <w14:schemeClr w14:val="tx1"/>
                        </w14:solidFill>
                      </w14:textFill>
                    </w:rPr>
                    <w:t>厂界噪声</w:t>
                  </w:r>
                </w:p>
              </w:tc>
              <w:tc>
                <w:tcPr>
                  <w:tcW w:w="2095" w:type="pct"/>
                  <w:shd w:val="clear" w:color="auto" w:fill="FFFFFF"/>
                  <w:noWrap w:val="0"/>
                  <w:vAlign w:val="center"/>
                </w:tcPr>
                <w:p>
                  <w:pPr>
                    <w:adjustRightInd w:val="0"/>
                    <w:snapToGrid w:val="0"/>
                    <w:jc w:val="center"/>
                    <w:rPr>
                      <w:rFonts w:ascii="Times New Roman" w:hAnsi="Times New Roman" w:eastAsia="宋体" w:cs="Times New Roman"/>
                      <w:color w:val="000000" w:themeColor="text1"/>
                      <w:kern w:val="1"/>
                      <w:szCs w:val="21"/>
                      <w14:textFill>
                        <w14:solidFill>
                          <w14:schemeClr w14:val="tx1"/>
                        </w14:solidFill>
                      </w14:textFill>
                    </w:rPr>
                  </w:pPr>
                  <w:r>
                    <w:rPr>
                      <w:rFonts w:ascii="Times New Roman" w:hAnsi="Times New Roman" w:eastAsia="宋体" w:cs="Times New Roman"/>
                      <w:color w:val="000000" w:themeColor="text1"/>
                      <w:kern w:val="1"/>
                      <w:szCs w:val="21"/>
                      <w14:textFill>
                        <w14:solidFill>
                          <w14:schemeClr w14:val="tx1"/>
                        </w14:solidFill>
                      </w14:textFill>
                    </w:rPr>
                    <w:t>《工业企业厂界环境噪声排放标准》</w:t>
                  </w:r>
                </w:p>
                <w:p>
                  <w:pPr>
                    <w:adjustRightInd w:val="0"/>
                    <w:snapToGrid w:val="0"/>
                    <w:jc w:val="center"/>
                    <w:rPr>
                      <w:rFonts w:ascii="Times New Roman" w:hAnsi="Times New Roman" w:eastAsia="宋体" w:cs="Times New Roman"/>
                      <w:color w:val="000000" w:themeColor="text1"/>
                      <w:kern w:val="1"/>
                      <w:szCs w:val="21"/>
                      <w14:textFill>
                        <w14:solidFill>
                          <w14:schemeClr w14:val="tx1"/>
                        </w14:solidFill>
                      </w14:textFill>
                    </w:rPr>
                  </w:pPr>
                  <w:r>
                    <w:rPr>
                      <w:rFonts w:ascii="Times New Roman" w:hAnsi="Times New Roman" w:eastAsia="宋体" w:cs="Times New Roman"/>
                      <w:color w:val="000000" w:themeColor="text1"/>
                      <w:kern w:val="1"/>
                      <w:szCs w:val="21"/>
                      <w14:textFill>
                        <w14:solidFill>
                          <w14:schemeClr w14:val="tx1"/>
                        </w14:solidFill>
                      </w14:textFill>
                    </w:rPr>
                    <w:t>GB 12348-2008</w:t>
                  </w:r>
                </w:p>
              </w:tc>
              <w:tc>
                <w:tcPr>
                  <w:tcW w:w="926" w:type="pct"/>
                  <w:shd w:val="clear" w:color="auto" w:fill="FFFFFF"/>
                  <w:noWrap w:val="0"/>
                  <w:vAlign w:val="center"/>
                </w:tcPr>
                <w:p>
                  <w:pPr>
                    <w:pStyle w:val="36"/>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1"/>
                      <w:sz w:val="21"/>
                      <w:szCs w:val="21"/>
                      <w14:textFill>
                        <w14:solidFill>
                          <w14:schemeClr w14:val="tx1"/>
                        </w14:solidFill>
                      </w14:textFill>
                    </w:rPr>
                    <w:t>多功能声级计AWA</w:t>
                  </w:r>
                  <w:r>
                    <w:rPr>
                      <w:rFonts w:hint="eastAsia" w:ascii="Times New Roman" w:hAnsi="Times New Roman" w:eastAsia="宋体" w:cs="Times New Roman"/>
                      <w:color w:val="000000" w:themeColor="text1"/>
                      <w:kern w:val="1"/>
                      <w:sz w:val="21"/>
                      <w:szCs w:val="21"/>
                      <w14:textFill>
                        <w14:solidFill>
                          <w14:schemeClr w14:val="tx1"/>
                        </w14:solidFill>
                      </w14:textFill>
                    </w:rPr>
                    <w:t>6228+</w:t>
                  </w:r>
                  <w:r>
                    <w:rPr>
                      <w:rFonts w:ascii="Times New Roman" w:hAnsi="Times New Roman" w:eastAsia="宋体" w:cs="Times New Roman"/>
                      <w:color w:val="000000" w:themeColor="text1"/>
                      <w:kern w:val="1"/>
                      <w:sz w:val="21"/>
                      <w:szCs w:val="21"/>
                      <w14:textFill>
                        <w14:solidFill>
                          <w14:schemeClr w14:val="tx1"/>
                        </w14:solidFill>
                      </w14:textFill>
                    </w:rPr>
                    <w:t>型</w:t>
                  </w:r>
                </w:p>
              </w:tc>
              <w:tc>
                <w:tcPr>
                  <w:tcW w:w="753" w:type="pct"/>
                  <w:shd w:val="clear" w:color="auto" w:fill="FFFFFF"/>
                  <w:noWrap w:val="0"/>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bl>
          <w:p>
            <w:pPr>
              <w:widowControl w:val="0"/>
              <w:adjustRightInd w:val="0"/>
              <w:snapToGrid w:val="0"/>
              <w:jc w:val="center"/>
              <w:rPr>
                <w:rFonts w:ascii="Times New Roman" w:hAnsi="Times New Roman" w:eastAsia="宋体" w:cs="Times New Roman"/>
                <w:b/>
                <w:bCs/>
                <w:color w:val="000000" w:themeColor="text1"/>
                <w:sz w:val="21"/>
                <w:szCs w:val="21"/>
                <w14:textFill>
                  <w14:solidFill>
                    <w14:schemeClr w14:val="tx1"/>
                  </w14:solidFill>
                </w14:textFill>
              </w:rPr>
            </w:pP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2、质控措施</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（1）人员：承担监测任务的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环境检测单位</w:t>
            </w:r>
            <w:r>
              <w:rPr>
                <w:rFonts w:ascii="Times New Roman" w:hAnsi="Times New Roman" w:eastAsia="宋体" w:cs="Times New Roman"/>
                <w:color w:val="000000" w:themeColor="text1"/>
                <w:sz w:val="24"/>
                <w:szCs w:val="24"/>
                <w14:textFill>
                  <w14:solidFill>
                    <w14:schemeClr w14:val="tx1"/>
                  </w14:solidFill>
                </w14:textFill>
              </w:rPr>
              <w:t>通过资质认定，监测人员持证上岗。</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设备：监测过程中使用的仪器设备符合国家有关标准和技术要求。《中华人民共和国强制检定的工作计量器具明细目录》里的仪器设备，经计量检定合格并在有效期内；不属于明细目录里的仪器设备，校准合格并在有效期内使用。</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（3）监测时的工况调查：监测在企业生产设备处于正常运行状态下进行，核查工况，在建设项目竣工环境保护验收技术规范要求的负荷下采样。</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4）采样：采样点位选取应考虑到合适性和代表性，采样严格按技术规范要求进行，采样点位若现场与方案布设的采样点位有出入，在现场记录表格中的右上角用红笔星号（※）做标记以示区别。废气采样时保证采样系统的密封性，测试前气密性检查、校零校标，并提供校准校标记录作为附件；废气采样采集平行样。噪声采样记录上反映监测时的风速，监测时加带风罩，监测前后用标准声源对仪器进行校准，校准结果不超过0.5dB 数据方认为有效。</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（5）样品的保存及运输：凡能做现场测定的项目，均应在现场测定；不能现场测定的，应加保存剂保存并在保存期内测定。</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6）实验室分析：保证实验室条件，实验室用水、使用试剂、器皿符合要求。分析现场采集水质密码样，实验室水质分析、样品分析能做平行双样的加测10%以上平行样。当平行双样测定合格率低于95%时，除对当批样品重新测定外再增加样品数10%～20%的平行样，直至平行双样测定合格率大于95%。平行双样最终结果以双样的平均值报出。有证环境标准样品的带有证环境标准样品进行分析。</w:t>
            </w:r>
          </w:p>
          <w:p>
            <w:pPr>
              <w:widowControl w:val="0"/>
              <w:adjustRightInd/>
              <w:spacing w:line="360" w:lineRule="auto"/>
              <w:ind w:firstLine="480" w:firstLineChars="200"/>
              <w:jc w:val="both"/>
              <w:rPr>
                <w:color w:val="000000" w:themeColor="text1"/>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（7）采样记录、分析结果、监测方案及报告均严格执行三级审核制度。</w:t>
            </w:r>
            <w:r>
              <w:rPr>
                <w:rFonts w:hint="eastAsia" w:ascii="Times New Roman" w:hAnsi="Times New Roman" w:eastAsia="宋体" w:cs="Times New Roman"/>
                <w:color w:val="000000" w:themeColor="text1"/>
                <w:sz w:val="24"/>
                <w:szCs w:val="24"/>
                <w14:textFill>
                  <w14:solidFill>
                    <w14:schemeClr w14:val="tx1"/>
                  </w14:solidFill>
                </w14:textFill>
              </w:rPr>
              <w:t>即所在检测科室的室主任、质控负责人和技术负责人逐级审核，发现问题及时解决，不得进入下一环节。</w:t>
            </w:r>
          </w:p>
          <w:p>
            <w:pPr>
              <w:keepNext w:val="0"/>
              <w:keepLines w:val="0"/>
              <w:pageBreakBefore w:val="0"/>
              <w:widowControl w:val="0"/>
              <w:kinsoku/>
              <w:wordWrap/>
              <w:overflowPunct/>
              <w:topLinePunct w:val="0"/>
              <w:autoSpaceDE/>
              <w:autoSpaceDN/>
              <w:bidi w:val="0"/>
              <w:spacing w:line="360" w:lineRule="auto"/>
              <w:ind w:firstLine="482" w:firstLineChars="200"/>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3</w:t>
            </w:r>
            <w:r>
              <w:rPr>
                <w:rFonts w:hint="eastAsia" w:ascii="宋体" w:hAnsi="宋体" w:eastAsia="宋体" w:cs="宋体"/>
                <w:b/>
                <w:bCs/>
                <w:color w:val="000000" w:themeColor="text1"/>
                <w:sz w:val="24"/>
                <w:szCs w:val="24"/>
                <w14:textFill>
                  <w14:solidFill>
                    <w14:schemeClr w14:val="tx1"/>
                  </w14:solidFill>
                </w14:textFill>
              </w:rPr>
              <w:t>、人员资质</w:t>
            </w:r>
          </w:p>
          <w:p>
            <w:pPr>
              <w:pStyle w:val="12"/>
              <w:keepNext w:val="0"/>
              <w:keepLines w:val="0"/>
              <w:pageBreakBefore w:val="0"/>
              <w:widowControl w:val="0"/>
              <w:numPr>
                <w:ilvl w:val="0"/>
                <w:numId w:val="0"/>
              </w:numPr>
              <w:kinsoku/>
              <w:wordWrap/>
              <w:overflowPunct/>
              <w:topLinePunct w:val="0"/>
              <w:autoSpaceDE/>
              <w:autoSpaceDN/>
              <w:bidi w:val="0"/>
              <w:spacing w:line="360" w:lineRule="auto"/>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①采样及分析人员</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6"/>
              <w:gridCol w:w="2287"/>
              <w:gridCol w:w="1445"/>
              <w:gridCol w:w="2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23"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姓名</w:t>
                  </w:r>
                </w:p>
              </w:tc>
              <w:tc>
                <w:tcPr>
                  <w:tcW w:w="1334"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承担项目</w:t>
                  </w:r>
                </w:p>
              </w:tc>
              <w:tc>
                <w:tcPr>
                  <w:tcW w:w="843"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上岗证号</w:t>
                  </w:r>
                </w:p>
              </w:tc>
              <w:tc>
                <w:tcPr>
                  <w:tcW w:w="1598"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上岗证（颁发部门）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2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高东福</w:t>
                  </w:r>
                </w:p>
              </w:tc>
              <w:tc>
                <w:tcPr>
                  <w:tcW w:w="1334"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采样</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厂界噪声</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二氧化硫</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氮氧化物</w:t>
                  </w:r>
                </w:p>
              </w:tc>
              <w:tc>
                <w:tcPr>
                  <w:tcW w:w="843"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kern w:val="2"/>
                      <w:sz w:val="21"/>
                      <w:szCs w:val="21"/>
                      <w:highlight w:val="yellow"/>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HXJC-2</w:t>
                  </w:r>
                  <w:r>
                    <w:rPr>
                      <w:rFonts w:hint="eastAsia" w:ascii="宋体" w:hAnsi="宋体" w:eastAsia="宋体" w:cs="宋体"/>
                      <w:color w:val="000000" w:themeColor="text1"/>
                      <w:sz w:val="21"/>
                      <w:szCs w:val="21"/>
                      <w:lang w:val="en-US" w:eastAsia="zh-CN"/>
                      <w14:textFill>
                        <w14:solidFill>
                          <w14:schemeClr w14:val="tx1"/>
                        </w14:solidFill>
                      </w14:textFill>
                    </w:rPr>
                    <w:t>02</w:t>
                  </w:r>
                </w:p>
              </w:tc>
              <w:tc>
                <w:tcPr>
                  <w:tcW w:w="1598"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厦门华厦学苑检测有限公司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2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14:textFill>
                        <w14:solidFill>
                          <w14:schemeClr w14:val="tx1"/>
                        </w14:solidFill>
                      </w14:textFill>
                    </w:rPr>
                    <w:t>戴金宝</w:t>
                  </w:r>
                </w:p>
              </w:tc>
              <w:tc>
                <w:tcPr>
                  <w:tcW w:w="1334"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采样</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厂界噪声</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二氧化硫</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氮氧化物</w:t>
                  </w:r>
                </w:p>
              </w:tc>
              <w:tc>
                <w:tcPr>
                  <w:tcW w:w="843"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kern w:val="2"/>
                      <w:sz w:val="21"/>
                      <w:szCs w:val="21"/>
                      <w:highlight w:val="yellow"/>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HXJC-2</w:t>
                  </w:r>
                  <w:r>
                    <w:rPr>
                      <w:rFonts w:hint="eastAsia" w:ascii="宋体" w:hAnsi="宋体" w:eastAsia="宋体" w:cs="宋体"/>
                      <w:color w:val="000000" w:themeColor="text1"/>
                      <w:sz w:val="21"/>
                      <w:szCs w:val="21"/>
                      <w:lang w:val="en-US" w:eastAsia="zh-CN"/>
                      <w14:textFill>
                        <w14:solidFill>
                          <w14:schemeClr w14:val="tx1"/>
                        </w14:solidFill>
                      </w14:textFill>
                    </w:rPr>
                    <w:t>26</w:t>
                  </w:r>
                </w:p>
              </w:tc>
              <w:tc>
                <w:tcPr>
                  <w:tcW w:w="1598"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厦门华厦学苑检测有限公司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2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蔡有岚</w:t>
                  </w:r>
                </w:p>
              </w:tc>
              <w:tc>
                <w:tcPr>
                  <w:tcW w:w="1334" w:type="pct"/>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颗粒物</w:t>
                  </w:r>
                </w:p>
              </w:tc>
              <w:tc>
                <w:tcPr>
                  <w:tcW w:w="843" w:type="pct"/>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eastAsia" w:ascii="宋体" w:hAnsi="宋体" w:eastAsia="宋体" w:cs="宋体"/>
                      <w:color w:val="000000" w:themeColor="text1"/>
                      <w:kern w:val="2"/>
                      <w:sz w:val="21"/>
                      <w:szCs w:val="21"/>
                      <w:highlight w:val="yellow"/>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HXJC-</w:t>
                  </w:r>
                  <w:r>
                    <w:rPr>
                      <w:rFonts w:hint="eastAsia" w:ascii="宋体" w:hAnsi="宋体" w:eastAsia="宋体" w:cs="宋体"/>
                      <w:color w:val="000000" w:themeColor="text1"/>
                      <w:sz w:val="21"/>
                      <w:szCs w:val="21"/>
                      <w:lang w:val="en-US" w:eastAsia="zh-CN"/>
                      <w14:textFill>
                        <w14:solidFill>
                          <w14:schemeClr w14:val="tx1"/>
                        </w14:solidFill>
                      </w14:textFill>
                    </w:rPr>
                    <w:t>319</w:t>
                  </w:r>
                </w:p>
              </w:tc>
              <w:tc>
                <w:tcPr>
                  <w:tcW w:w="1598"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厦门华厦学苑检测有限公司</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482" w:firstLineChars="200"/>
              <w:jc w:val="both"/>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4、</w:t>
            </w:r>
            <w:r>
              <w:rPr>
                <w:rFonts w:hint="eastAsia" w:ascii="宋体" w:hAnsi="宋体" w:eastAsia="宋体" w:cs="宋体"/>
                <w:b/>
                <w:bCs/>
                <w:color w:val="000000" w:themeColor="text1"/>
                <w:sz w:val="24"/>
                <w:szCs w:val="24"/>
                <w14:textFill>
                  <w14:solidFill>
                    <w14:schemeClr w14:val="tx1"/>
                  </w14:solidFill>
                </w14:textFill>
              </w:rPr>
              <w:t>仪器检定及校准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表一 现场采样仪器流量校准记录表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027"/>
              <w:gridCol w:w="1114"/>
              <w:gridCol w:w="1047"/>
              <w:gridCol w:w="826"/>
              <w:gridCol w:w="1353"/>
              <w:gridCol w:w="1311"/>
              <w:gridCol w:w="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4" w:hRule="atLeast"/>
                <w:jc w:val="center"/>
              </w:trPr>
              <w:tc>
                <w:tcPr>
                  <w:tcW w:w="740"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核查装置</w:t>
                  </w:r>
                </w:p>
              </w:tc>
              <w:tc>
                <w:tcPr>
                  <w:tcW w:w="1249" w:type="pct"/>
                  <w:gridSpan w:val="2"/>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AWA6021声校准器</w:t>
                  </w:r>
                </w:p>
              </w:tc>
              <w:tc>
                <w:tcPr>
                  <w:tcW w:w="1093" w:type="pct"/>
                  <w:gridSpan w:val="2"/>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仪器编号</w:t>
                  </w:r>
                </w:p>
              </w:tc>
              <w:tc>
                <w:tcPr>
                  <w:tcW w:w="1915" w:type="pct"/>
                  <w:gridSpan w:val="3"/>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HXJC-2058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40" w:type="pct"/>
                  <w:vMerge w:val="restar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仪器名称</w:t>
                  </w:r>
                </w:p>
              </w:tc>
              <w:tc>
                <w:tcPr>
                  <w:tcW w:w="599" w:type="pct"/>
                  <w:vMerge w:val="restar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仪器型号</w:t>
                  </w:r>
                </w:p>
              </w:tc>
              <w:tc>
                <w:tcPr>
                  <w:tcW w:w="650" w:type="pct"/>
                  <w:vMerge w:val="restar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管理编号</w:t>
                  </w:r>
                </w:p>
              </w:tc>
              <w:tc>
                <w:tcPr>
                  <w:tcW w:w="3009" w:type="pct"/>
                  <w:gridSpan w:val="5"/>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现场校准情况    示值（dB）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6" w:hRule="atLeast"/>
                <w:jc w:val="center"/>
              </w:trPr>
              <w:tc>
                <w:tcPr>
                  <w:tcW w:w="740"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p>
              </w:tc>
              <w:tc>
                <w:tcPr>
                  <w:tcW w:w="599"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p>
              </w:tc>
              <w:tc>
                <w:tcPr>
                  <w:tcW w:w="650"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p>
              </w:tc>
              <w:tc>
                <w:tcPr>
                  <w:tcW w:w="611"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时间</w:t>
                  </w:r>
                </w:p>
              </w:tc>
              <w:tc>
                <w:tcPr>
                  <w:tcW w:w="481"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标准值</w:t>
                  </w:r>
                </w:p>
              </w:tc>
              <w:tc>
                <w:tcPr>
                  <w:tcW w:w="78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检测前校准值</w:t>
                  </w:r>
                </w:p>
              </w:tc>
              <w:tc>
                <w:tcPr>
                  <w:tcW w:w="76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检测后校准值</w:t>
                  </w:r>
                </w:p>
              </w:tc>
              <w:tc>
                <w:tcPr>
                  <w:tcW w:w="36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9" w:hRule="atLeast"/>
                <w:jc w:val="center"/>
              </w:trPr>
              <w:tc>
                <w:tcPr>
                  <w:tcW w:w="740" w:type="pct"/>
                  <w:vMerge w:val="restar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多功能声级计</w:t>
                  </w:r>
                </w:p>
              </w:tc>
              <w:tc>
                <w:tcPr>
                  <w:tcW w:w="599" w:type="pct"/>
                  <w:vMerge w:val="restar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AWA</w:t>
                  </w:r>
                  <w:r>
                    <w:rPr>
                      <w:rFonts w:hint="eastAsia" w:ascii="宋体" w:hAnsi="宋体" w:eastAsia="宋体" w:cs="宋体"/>
                      <w:color w:val="000000" w:themeColor="text1"/>
                      <w:sz w:val="21"/>
                      <w:szCs w:val="21"/>
                      <w:lang w:val="en-US" w:eastAsia="zh-CN"/>
                      <w14:textFill>
                        <w14:solidFill>
                          <w14:schemeClr w14:val="tx1"/>
                        </w14:solidFill>
                      </w14:textFill>
                    </w:rPr>
                    <w:t>6228</w:t>
                  </w:r>
                </w:p>
              </w:tc>
              <w:tc>
                <w:tcPr>
                  <w:tcW w:w="650" w:type="pct"/>
                  <w:vMerge w:val="restar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HXJC-</w:t>
                  </w:r>
                  <w:r>
                    <w:rPr>
                      <w:rFonts w:hint="eastAsia" w:ascii="宋体" w:hAnsi="宋体" w:eastAsia="宋体" w:cs="宋体"/>
                      <w:color w:val="000000" w:themeColor="text1"/>
                      <w:sz w:val="21"/>
                      <w:szCs w:val="21"/>
                      <w:lang w:val="en-US" w:eastAsia="zh-CN"/>
                      <w14:textFill>
                        <w14:solidFill>
                          <w14:schemeClr w14:val="tx1"/>
                        </w14:solidFill>
                      </w14:textFill>
                    </w:rPr>
                    <w:t>113</w:t>
                  </w:r>
                </w:p>
              </w:tc>
              <w:tc>
                <w:tcPr>
                  <w:tcW w:w="611"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2022.03.29</w:t>
                  </w:r>
                </w:p>
              </w:tc>
              <w:tc>
                <w:tcPr>
                  <w:tcW w:w="481"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94.0</w:t>
                  </w:r>
                </w:p>
              </w:tc>
              <w:tc>
                <w:tcPr>
                  <w:tcW w:w="78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93.8</w:t>
                  </w:r>
                </w:p>
              </w:tc>
              <w:tc>
                <w:tcPr>
                  <w:tcW w:w="76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93.8</w:t>
                  </w:r>
                </w:p>
              </w:tc>
              <w:tc>
                <w:tcPr>
                  <w:tcW w:w="36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9" w:hRule="atLeast"/>
                <w:jc w:val="center"/>
              </w:trPr>
              <w:tc>
                <w:tcPr>
                  <w:tcW w:w="740"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p>
              </w:tc>
              <w:tc>
                <w:tcPr>
                  <w:tcW w:w="599"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p>
              </w:tc>
              <w:tc>
                <w:tcPr>
                  <w:tcW w:w="650"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p>
              </w:tc>
              <w:tc>
                <w:tcPr>
                  <w:tcW w:w="611"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2022.03.30</w:t>
                  </w:r>
                </w:p>
              </w:tc>
              <w:tc>
                <w:tcPr>
                  <w:tcW w:w="481"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94.0</w:t>
                  </w:r>
                </w:p>
              </w:tc>
              <w:tc>
                <w:tcPr>
                  <w:tcW w:w="78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93.8</w:t>
                  </w:r>
                </w:p>
              </w:tc>
              <w:tc>
                <w:tcPr>
                  <w:tcW w:w="76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93.8</w:t>
                  </w:r>
                </w:p>
              </w:tc>
              <w:tc>
                <w:tcPr>
                  <w:tcW w:w="36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合格</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（续）</w:t>
            </w:r>
            <w:r>
              <w:rPr>
                <w:rFonts w:hint="eastAsia" w:ascii="宋体" w:hAnsi="宋体" w:eastAsia="宋体" w:cs="宋体"/>
                <w:b/>
                <w:color w:val="000000" w:themeColor="text1"/>
                <w:sz w:val="21"/>
                <w:szCs w:val="21"/>
                <w14:textFill>
                  <w14:solidFill>
                    <w14:schemeClr w14:val="tx1"/>
                  </w14:solidFill>
                </w14:textFill>
              </w:rPr>
              <w:t>表</w:t>
            </w:r>
            <w:r>
              <w:rPr>
                <w:rFonts w:hint="eastAsia" w:ascii="宋体" w:hAnsi="宋体" w:eastAsia="宋体" w:cs="宋体"/>
                <w:b/>
                <w:color w:val="000000" w:themeColor="text1"/>
                <w:sz w:val="21"/>
                <w:szCs w:val="21"/>
                <w:lang w:val="en-US" w:eastAsia="zh-CN"/>
                <w14:textFill>
                  <w14:solidFill>
                    <w14:schemeClr w14:val="tx1"/>
                  </w14:solidFill>
                </w14:textFill>
              </w:rPr>
              <w:t>二</w:t>
            </w:r>
            <w:r>
              <w:rPr>
                <w:rFonts w:hint="eastAsia" w:ascii="宋体" w:hAnsi="宋体" w:eastAsia="宋体" w:cs="宋体"/>
                <w:b/>
                <w:color w:val="000000" w:themeColor="text1"/>
                <w:sz w:val="21"/>
                <w:szCs w:val="21"/>
                <w14:textFill>
                  <w14:solidFill>
                    <w14:schemeClr w14:val="tx1"/>
                  </w14:solidFill>
                </w14:textFill>
              </w:rPr>
              <w:t xml:space="preserve"> 现场采样仪器流量校准记录表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157"/>
              <w:gridCol w:w="1111"/>
              <w:gridCol w:w="823"/>
              <w:gridCol w:w="1164"/>
              <w:gridCol w:w="1078"/>
              <w:gridCol w:w="969"/>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926" w:type="pct"/>
                  <w:vMerge w:val="restar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仪器名称</w:t>
                  </w:r>
                </w:p>
              </w:tc>
              <w:tc>
                <w:tcPr>
                  <w:tcW w:w="675" w:type="pct"/>
                  <w:vMerge w:val="restar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仪器型号</w:t>
                  </w:r>
                </w:p>
              </w:tc>
              <w:tc>
                <w:tcPr>
                  <w:tcW w:w="648" w:type="pct"/>
                  <w:vMerge w:val="restar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管理编号</w:t>
                  </w:r>
                </w:p>
              </w:tc>
              <w:tc>
                <w:tcPr>
                  <w:tcW w:w="2749" w:type="pct"/>
                  <w:gridSpan w:val="5"/>
                  <w:tcBorders>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现场校准情况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26" w:type="pct"/>
                  <w:vMerge w:val="continue"/>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p>
              </w:tc>
              <w:tc>
                <w:tcPr>
                  <w:tcW w:w="675"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p>
              </w:tc>
              <w:tc>
                <w:tcPr>
                  <w:tcW w:w="648"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p>
              </w:tc>
              <w:tc>
                <w:tcPr>
                  <w:tcW w:w="480"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名称</w:t>
                  </w:r>
                </w:p>
              </w:tc>
              <w:tc>
                <w:tcPr>
                  <w:tcW w:w="679"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标准浓度（mg/m</w:t>
                  </w:r>
                  <w:r>
                    <w:rPr>
                      <w:rFonts w:hint="eastAsia" w:ascii="宋体" w:hAnsi="宋体" w:eastAsia="宋体" w:cs="宋体"/>
                      <w:color w:val="000000" w:themeColor="text1"/>
                      <w:sz w:val="21"/>
                      <w:szCs w:val="21"/>
                      <w:vertAlign w:val="superscript"/>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w:t>
                  </w:r>
                </w:p>
              </w:tc>
              <w:tc>
                <w:tcPr>
                  <w:tcW w:w="6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实测值（mg/m</w:t>
                  </w:r>
                  <w:r>
                    <w:rPr>
                      <w:rFonts w:hint="eastAsia" w:ascii="宋体" w:hAnsi="宋体" w:eastAsia="宋体" w:cs="宋体"/>
                      <w:color w:val="000000" w:themeColor="text1"/>
                      <w:sz w:val="21"/>
                      <w:szCs w:val="21"/>
                      <w:vertAlign w:val="superscript"/>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w:t>
                  </w:r>
                </w:p>
              </w:tc>
              <w:tc>
                <w:tcPr>
                  <w:tcW w:w="56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误差（%）</w:t>
                  </w:r>
                </w:p>
              </w:tc>
              <w:tc>
                <w:tcPr>
                  <w:tcW w:w="3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26" w:type="pct"/>
                  <w:vMerge w:val="restart"/>
                  <w:vAlign w:val="center"/>
                </w:tcPr>
                <w:p>
                  <w:pPr>
                    <w:pStyle w:val="12"/>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烟气烟尘颗粒物浓度测试仪</w:t>
                  </w:r>
                </w:p>
              </w:tc>
              <w:tc>
                <w:tcPr>
                  <w:tcW w:w="675" w:type="pct"/>
                  <w:vMerge w:val="restar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MH3300</w:t>
                  </w:r>
                </w:p>
              </w:tc>
              <w:tc>
                <w:tcPr>
                  <w:tcW w:w="648" w:type="pct"/>
                  <w:vMerge w:val="restar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HXJC-20</w:t>
                  </w:r>
                  <w:r>
                    <w:rPr>
                      <w:rFonts w:hint="eastAsia" w:ascii="宋体" w:hAnsi="宋体" w:eastAsia="宋体" w:cs="宋体"/>
                      <w:color w:val="000000" w:themeColor="text1"/>
                      <w:sz w:val="21"/>
                      <w:szCs w:val="21"/>
                      <w:lang w:val="en-US" w:eastAsia="zh-CN"/>
                      <w14:textFill>
                        <w14:solidFill>
                          <w14:schemeClr w14:val="tx1"/>
                        </w14:solidFill>
                      </w14:textFill>
                    </w:rPr>
                    <w:t>01</w:t>
                  </w:r>
                </w:p>
              </w:tc>
              <w:tc>
                <w:tcPr>
                  <w:tcW w:w="480"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SO</w:t>
                  </w:r>
                  <w:r>
                    <w:rPr>
                      <w:rFonts w:hint="eastAsia" w:ascii="宋体" w:hAnsi="宋体" w:eastAsia="宋体" w:cs="宋体"/>
                      <w:color w:val="000000" w:themeColor="text1"/>
                      <w:sz w:val="21"/>
                      <w:szCs w:val="21"/>
                      <w:vertAlign w:val="subscript"/>
                      <w:lang w:val="en-US" w:eastAsia="zh-CN"/>
                      <w14:textFill>
                        <w14:solidFill>
                          <w14:schemeClr w14:val="tx1"/>
                        </w14:solidFill>
                      </w14:textFill>
                    </w:rPr>
                    <w:t>2</w:t>
                  </w:r>
                </w:p>
              </w:tc>
              <w:tc>
                <w:tcPr>
                  <w:tcW w:w="679"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130</w:t>
                  </w:r>
                </w:p>
              </w:tc>
              <w:tc>
                <w:tcPr>
                  <w:tcW w:w="6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127</w:t>
                  </w:r>
                </w:p>
              </w:tc>
              <w:tc>
                <w:tcPr>
                  <w:tcW w:w="56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-2.31</w:t>
                  </w:r>
                </w:p>
              </w:tc>
              <w:tc>
                <w:tcPr>
                  <w:tcW w:w="395" w:type="pct"/>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926" w:type="pct"/>
                  <w:vMerge w:val="continue"/>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p>
              </w:tc>
              <w:tc>
                <w:tcPr>
                  <w:tcW w:w="675"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p>
              </w:tc>
              <w:tc>
                <w:tcPr>
                  <w:tcW w:w="648"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p>
              </w:tc>
              <w:tc>
                <w:tcPr>
                  <w:tcW w:w="480"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NO</w:t>
                  </w:r>
                </w:p>
              </w:tc>
              <w:tc>
                <w:tcPr>
                  <w:tcW w:w="679"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285</w:t>
                  </w:r>
                </w:p>
              </w:tc>
              <w:tc>
                <w:tcPr>
                  <w:tcW w:w="6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289</w:t>
                  </w:r>
                </w:p>
              </w:tc>
              <w:tc>
                <w:tcPr>
                  <w:tcW w:w="56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1.40</w:t>
                  </w:r>
                </w:p>
              </w:tc>
              <w:tc>
                <w:tcPr>
                  <w:tcW w:w="395"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926" w:type="pct"/>
                  <w:vMerge w:val="restart"/>
                  <w:vAlign w:val="center"/>
                </w:tcPr>
                <w:p>
                  <w:pPr>
                    <w:pStyle w:val="12"/>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智能烟尘烟气分析仪</w:t>
                  </w:r>
                </w:p>
              </w:tc>
              <w:tc>
                <w:tcPr>
                  <w:tcW w:w="675" w:type="pct"/>
                  <w:vMerge w:val="restar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EM3088 3.0</w:t>
                  </w:r>
                </w:p>
              </w:tc>
              <w:tc>
                <w:tcPr>
                  <w:tcW w:w="648" w:type="pct"/>
                  <w:vMerge w:val="restar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HXJC-20</w:t>
                  </w:r>
                  <w:r>
                    <w:rPr>
                      <w:rFonts w:hint="eastAsia" w:ascii="宋体" w:hAnsi="宋体" w:eastAsia="宋体" w:cs="宋体"/>
                      <w:color w:val="000000" w:themeColor="text1"/>
                      <w:sz w:val="21"/>
                      <w:szCs w:val="21"/>
                      <w:lang w:val="en-US" w:eastAsia="zh-CN"/>
                      <w14:textFill>
                        <w14:solidFill>
                          <w14:schemeClr w14:val="tx1"/>
                        </w14:solidFill>
                      </w14:textFill>
                    </w:rPr>
                    <w:t>32</w:t>
                  </w:r>
                </w:p>
              </w:tc>
              <w:tc>
                <w:tcPr>
                  <w:tcW w:w="480"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SO</w:t>
                  </w:r>
                  <w:r>
                    <w:rPr>
                      <w:rFonts w:hint="eastAsia" w:ascii="宋体" w:hAnsi="宋体" w:eastAsia="宋体" w:cs="宋体"/>
                      <w:color w:val="000000" w:themeColor="text1"/>
                      <w:sz w:val="21"/>
                      <w:szCs w:val="21"/>
                      <w:vertAlign w:val="subscript"/>
                      <w:lang w:val="en-US" w:eastAsia="zh-CN"/>
                      <w14:textFill>
                        <w14:solidFill>
                          <w14:schemeClr w14:val="tx1"/>
                        </w14:solidFill>
                      </w14:textFill>
                    </w:rPr>
                    <w:t>2</w:t>
                  </w:r>
                </w:p>
              </w:tc>
              <w:tc>
                <w:tcPr>
                  <w:tcW w:w="679"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130</w:t>
                  </w:r>
                </w:p>
              </w:tc>
              <w:tc>
                <w:tcPr>
                  <w:tcW w:w="6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135</w:t>
                  </w:r>
                </w:p>
              </w:tc>
              <w:tc>
                <w:tcPr>
                  <w:tcW w:w="56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3.85</w:t>
                  </w:r>
                </w:p>
              </w:tc>
              <w:tc>
                <w:tcPr>
                  <w:tcW w:w="395"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926"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p>
              </w:tc>
              <w:tc>
                <w:tcPr>
                  <w:tcW w:w="675"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p>
              </w:tc>
              <w:tc>
                <w:tcPr>
                  <w:tcW w:w="648"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p>
              </w:tc>
              <w:tc>
                <w:tcPr>
                  <w:tcW w:w="480"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NO</w:t>
                  </w:r>
                </w:p>
              </w:tc>
              <w:tc>
                <w:tcPr>
                  <w:tcW w:w="679"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285</w:t>
                  </w:r>
                </w:p>
              </w:tc>
              <w:tc>
                <w:tcPr>
                  <w:tcW w:w="6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295</w:t>
                  </w:r>
                </w:p>
              </w:tc>
              <w:tc>
                <w:tcPr>
                  <w:tcW w:w="56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3.51</w:t>
                  </w:r>
                </w:p>
              </w:tc>
              <w:tc>
                <w:tcPr>
                  <w:tcW w:w="395"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themeColor="text1"/>
                <w:kern w:val="0"/>
                <w:sz w:val="21"/>
                <w:szCs w:val="21"/>
                <w14:textFill>
                  <w14:solidFill>
                    <w14:schemeClr w14:val="tx1"/>
                  </w14:solidFill>
                </w14:textFill>
              </w:rPr>
            </w:pPr>
            <w:r>
              <w:rPr>
                <w:rFonts w:hint="eastAsia" w:ascii="宋体" w:hAnsi="宋体" w:eastAsia="宋体" w:cs="宋体"/>
                <w:b/>
                <w:color w:val="000000" w:themeColor="text1"/>
                <w:kern w:val="0"/>
                <w:sz w:val="21"/>
                <w:szCs w:val="21"/>
                <w14:textFill>
                  <w14:solidFill>
                    <w14:schemeClr w14:val="tx1"/>
                  </w14:solidFill>
                </w14:textFill>
              </w:rPr>
              <w:t>表</w:t>
            </w:r>
            <w:r>
              <w:rPr>
                <w:rFonts w:hint="eastAsia" w:ascii="宋体" w:hAnsi="宋体" w:eastAsia="宋体" w:cs="宋体"/>
                <w:b/>
                <w:color w:val="000000" w:themeColor="text1"/>
                <w:kern w:val="0"/>
                <w:sz w:val="21"/>
                <w:szCs w:val="21"/>
                <w:lang w:val="en-US" w:eastAsia="zh-CN"/>
                <w14:textFill>
                  <w14:solidFill>
                    <w14:schemeClr w14:val="tx1"/>
                  </w14:solidFill>
                </w14:textFill>
              </w:rPr>
              <w:t xml:space="preserve">三 </w:t>
            </w:r>
            <w:r>
              <w:rPr>
                <w:rFonts w:hint="eastAsia" w:ascii="宋体" w:hAnsi="宋体" w:eastAsia="宋体" w:cs="宋体"/>
                <w:b/>
                <w:color w:val="000000" w:themeColor="text1"/>
                <w:kern w:val="0"/>
                <w:sz w:val="21"/>
                <w:szCs w:val="21"/>
                <w14:textFill>
                  <w14:solidFill>
                    <w14:schemeClr w14:val="tx1"/>
                  </w14:solidFill>
                </w14:textFill>
              </w:rPr>
              <w:t>仪器检定/校准</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70"/>
              <w:gridCol w:w="1009"/>
              <w:gridCol w:w="1161"/>
              <w:gridCol w:w="1609"/>
              <w:gridCol w:w="736"/>
              <w:gridCol w:w="1336"/>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序号</w:t>
                  </w:r>
                </w:p>
              </w:tc>
              <w:tc>
                <w:tcPr>
                  <w:tcW w:w="5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仪器名称</w:t>
                  </w:r>
                </w:p>
              </w:tc>
              <w:tc>
                <w:tcPr>
                  <w:tcW w:w="5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型号</w:t>
                  </w:r>
                </w:p>
              </w:tc>
              <w:tc>
                <w:tcPr>
                  <w:tcW w:w="6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设备编号</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证书编号</w:t>
                  </w:r>
                </w:p>
              </w:tc>
              <w:tc>
                <w:tcPr>
                  <w:tcW w:w="4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有效期</w:t>
                  </w:r>
                </w:p>
              </w:tc>
              <w:tc>
                <w:tcPr>
                  <w:tcW w:w="77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检定日期</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检定单位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w:t>
                  </w:r>
                </w:p>
              </w:tc>
              <w:tc>
                <w:tcPr>
                  <w:tcW w:w="50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声校准器</w:t>
                  </w:r>
                </w:p>
              </w:tc>
              <w:tc>
                <w:tcPr>
                  <w:tcW w:w="58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AWA6221A</w:t>
                  </w:r>
                </w:p>
              </w:tc>
              <w:tc>
                <w:tcPr>
                  <w:tcW w:w="67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HXJC-</w:t>
                  </w:r>
                  <w:r>
                    <w:rPr>
                      <w:rFonts w:hint="eastAsia" w:ascii="宋体" w:hAnsi="宋体" w:eastAsia="宋体" w:cs="宋体"/>
                      <w:color w:val="000000" w:themeColor="text1"/>
                      <w:kern w:val="0"/>
                      <w:sz w:val="21"/>
                      <w:szCs w:val="21"/>
                      <w:lang w:val="en-US" w:eastAsia="zh-CN" w:bidi="ar"/>
                      <w14:textFill>
                        <w14:solidFill>
                          <w14:schemeClr w14:val="tx1"/>
                        </w14:solidFill>
                      </w14:textFill>
                    </w:rPr>
                    <w:t>2058</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21C1-05907</w:t>
                  </w:r>
                </w:p>
              </w:tc>
              <w:tc>
                <w:tcPr>
                  <w:tcW w:w="4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1年</w:t>
                  </w:r>
                </w:p>
              </w:tc>
              <w:tc>
                <w:tcPr>
                  <w:tcW w:w="77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2022.01.19</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福建省计量</w:t>
                  </w:r>
                </w:p>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科学研究院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w:t>
                  </w:r>
                </w:p>
              </w:tc>
              <w:tc>
                <w:tcPr>
                  <w:tcW w:w="5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多功能声级计</w:t>
                  </w:r>
                </w:p>
              </w:tc>
              <w:tc>
                <w:tcPr>
                  <w:tcW w:w="5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AWA6228</w:t>
                  </w:r>
                </w:p>
              </w:tc>
              <w:tc>
                <w:tcPr>
                  <w:tcW w:w="6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HXJC-</w:t>
                  </w:r>
                  <w:r>
                    <w:rPr>
                      <w:rFonts w:hint="eastAsia" w:ascii="宋体" w:hAnsi="宋体" w:eastAsia="宋体" w:cs="宋体"/>
                      <w:color w:val="000000" w:themeColor="text1"/>
                      <w:sz w:val="21"/>
                      <w:szCs w:val="21"/>
                      <w:lang w:val="en-US" w:eastAsia="zh-CN"/>
                      <w14:textFill>
                        <w14:solidFill>
                          <w14:schemeClr w14:val="tx1"/>
                        </w14:solidFill>
                      </w14:textFill>
                    </w:rPr>
                    <w:t>113</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JJT-20210901618</w:t>
                  </w:r>
                </w:p>
              </w:tc>
              <w:tc>
                <w:tcPr>
                  <w:tcW w:w="4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1年</w:t>
                  </w:r>
                </w:p>
              </w:tc>
              <w:tc>
                <w:tcPr>
                  <w:tcW w:w="77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2021.</w:t>
                  </w:r>
                  <w:r>
                    <w:rPr>
                      <w:rFonts w:hint="eastAsia" w:ascii="宋体" w:hAnsi="宋体" w:eastAsia="宋体" w:cs="宋体"/>
                      <w:bCs/>
                      <w:color w:val="000000" w:themeColor="text1"/>
                      <w:sz w:val="21"/>
                      <w:szCs w:val="21"/>
                      <w:lang w:val="en-US" w:eastAsia="zh-CN"/>
                      <w14:textFill>
                        <w14:solidFill>
                          <w14:schemeClr w14:val="tx1"/>
                        </w14:solidFill>
                      </w14:textFill>
                    </w:rPr>
                    <w:t>09.24</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浙江省计量</w:t>
                  </w:r>
                </w:p>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科学研究院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3</w:t>
                  </w:r>
                </w:p>
              </w:tc>
              <w:tc>
                <w:tcPr>
                  <w:tcW w:w="5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电子天平</w:t>
                  </w:r>
                </w:p>
              </w:tc>
              <w:tc>
                <w:tcPr>
                  <w:tcW w:w="58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ME55/02</w:t>
                  </w:r>
                </w:p>
              </w:tc>
              <w:tc>
                <w:tcPr>
                  <w:tcW w:w="6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HXJC-1009</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（SEPL)C/2</w:t>
                  </w: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-022</w:t>
                  </w:r>
                  <w:r>
                    <w:rPr>
                      <w:rFonts w:hint="eastAsia" w:ascii="宋体" w:hAnsi="宋体" w:eastAsia="宋体" w:cs="宋体"/>
                      <w:color w:val="000000" w:themeColor="text1"/>
                      <w:sz w:val="21"/>
                      <w:szCs w:val="21"/>
                      <w:lang w:val="en-US" w:eastAsia="zh-CN"/>
                      <w14:textFill>
                        <w14:solidFill>
                          <w14:schemeClr w14:val="tx1"/>
                        </w14:solidFill>
                      </w14:textFill>
                    </w:rPr>
                    <w:t>1001</w:t>
                  </w:r>
                </w:p>
              </w:tc>
              <w:tc>
                <w:tcPr>
                  <w:tcW w:w="4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1年</w:t>
                  </w:r>
                </w:p>
              </w:tc>
              <w:tc>
                <w:tcPr>
                  <w:tcW w:w="77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202</w:t>
                  </w:r>
                  <w:r>
                    <w:rPr>
                      <w:rFonts w:hint="eastAsia" w:ascii="宋体" w:hAnsi="宋体" w:eastAsia="宋体" w:cs="宋体"/>
                      <w:bCs/>
                      <w:color w:val="000000" w:themeColor="text1"/>
                      <w:sz w:val="21"/>
                      <w:szCs w:val="21"/>
                      <w:lang w:val="en-US" w:eastAsia="zh-CN"/>
                      <w14:textFill>
                        <w14:solidFill>
                          <w14:schemeClr w14:val="tx1"/>
                        </w14:solidFill>
                      </w14:textFill>
                    </w:rPr>
                    <w:t>2</w:t>
                  </w:r>
                  <w:r>
                    <w:rPr>
                      <w:rFonts w:hint="eastAsia" w:ascii="宋体" w:hAnsi="宋体" w:eastAsia="宋体" w:cs="宋体"/>
                      <w:bCs/>
                      <w:color w:val="000000" w:themeColor="text1"/>
                      <w:sz w:val="21"/>
                      <w:szCs w:val="21"/>
                      <w14:textFill>
                        <w14:solidFill>
                          <w14:schemeClr w14:val="tx1"/>
                        </w14:solidFill>
                      </w14:textFill>
                    </w:rPr>
                    <w:t>.02.2</w:t>
                  </w:r>
                  <w:r>
                    <w:rPr>
                      <w:rFonts w:hint="eastAsia" w:ascii="宋体" w:hAnsi="宋体" w:eastAsia="宋体" w:cs="宋体"/>
                      <w:bCs/>
                      <w:color w:val="000000" w:themeColor="text1"/>
                      <w:sz w:val="21"/>
                      <w:szCs w:val="21"/>
                      <w:lang w:val="en-US" w:eastAsia="zh-CN"/>
                      <w14:textFill>
                        <w14:solidFill>
                          <w14:schemeClr w14:val="tx1"/>
                        </w14:solidFill>
                      </w14:textFill>
                    </w:rPr>
                    <w:t>1</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海峡富民生质检技术服务有限公司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4</w:t>
                  </w:r>
                </w:p>
              </w:tc>
              <w:tc>
                <w:tcPr>
                  <w:tcW w:w="5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智能烟尘烟气分析仪</w:t>
                  </w:r>
                </w:p>
              </w:tc>
              <w:tc>
                <w:tcPr>
                  <w:tcW w:w="5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EM-3088 3.0</w:t>
                  </w:r>
                </w:p>
              </w:tc>
              <w:tc>
                <w:tcPr>
                  <w:tcW w:w="6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HXJC-20</w:t>
                  </w:r>
                  <w:r>
                    <w:rPr>
                      <w:rFonts w:hint="eastAsia" w:ascii="宋体" w:hAnsi="宋体" w:eastAsia="宋体" w:cs="宋体"/>
                      <w:color w:val="000000" w:themeColor="text1"/>
                      <w:sz w:val="21"/>
                      <w:szCs w:val="21"/>
                      <w:lang w:val="en-US" w:eastAsia="zh-CN"/>
                      <w14:textFill>
                        <w14:solidFill>
                          <w14:schemeClr w14:val="tx1"/>
                        </w14:solidFill>
                      </w14:textFill>
                    </w:rPr>
                    <w:t>32</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（SEPL）C/21-0524003   （SEPL）C/21-0524004</w:t>
                  </w:r>
                </w:p>
              </w:tc>
              <w:tc>
                <w:tcPr>
                  <w:tcW w:w="4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1年</w:t>
                  </w:r>
                </w:p>
              </w:tc>
              <w:tc>
                <w:tcPr>
                  <w:tcW w:w="77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2021.05.24</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海峡富民生质检技术服务有限公司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5</w:t>
                  </w:r>
                </w:p>
              </w:tc>
              <w:tc>
                <w:tcPr>
                  <w:tcW w:w="507" w:type="pct"/>
                  <w:vAlign w:val="center"/>
                </w:tcPr>
                <w:p>
                  <w:pPr>
                    <w:pStyle w:val="12"/>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烟气烟尘颗粒物浓度测试仪</w:t>
                  </w:r>
                </w:p>
              </w:tc>
              <w:tc>
                <w:tcPr>
                  <w:tcW w:w="588" w:type="pct"/>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MH3300</w:t>
                  </w:r>
                </w:p>
              </w:tc>
              <w:tc>
                <w:tcPr>
                  <w:tcW w:w="6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HXJC-20</w:t>
                  </w:r>
                  <w:r>
                    <w:rPr>
                      <w:rFonts w:hint="eastAsia" w:ascii="宋体" w:hAnsi="宋体" w:eastAsia="宋体" w:cs="宋体"/>
                      <w:color w:val="000000" w:themeColor="text1"/>
                      <w:sz w:val="21"/>
                      <w:szCs w:val="21"/>
                      <w:lang w:val="en-US" w:eastAsia="zh-CN"/>
                      <w14:textFill>
                        <w14:solidFill>
                          <w14:schemeClr w14:val="tx1"/>
                        </w14:solidFill>
                      </w14:textFill>
                    </w:rPr>
                    <w:t>01</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（SEPL）C/21-0222024&amp;（SEPL）C/21-0222021</w:t>
                  </w:r>
                </w:p>
              </w:tc>
              <w:tc>
                <w:tcPr>
                  <w:tcW w:w="4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1年</w:t>
                  </w:r>
                </w:p>
              </w:tc>
              <w:tc>
                <w:tcPr>
                  <w:tcW w:w="77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2021.02.23</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海峡富民生质检技术服务有限公司</w:t>
                  </w:r>
                </w:p>
              </w:tc>
            </w:tr>
          </w:tbl>
          <w:p>
            <w:pPr>
              <w:widowControl w:val="0"/>
              <w:tabs>
                <w:tab w:val="left" w:pos="935"/>
              </w:tabs>
              <w:bidi w:val="0"/>
              <w:jc w:val="left"/>
              <w:rPr>
                <w:rFonts w:hint="eastAsia" w:eastAsiaTheme="minorEastAsia"/>
                <w:color w:val="000000" w:themeColor="text1"/>
                <w:lang w:eastAsia="zh-CN"/>
                <w14:textFill>
                  <w14:solidFill>
                    <w14:schemeClr w14:val="tx1"/>
                  </w14:solidFill>
                </w14:textFill>
              </w:rPr>
            </w:pPr>
          </w:p>
          <w:p>
            <w:pPr>
              <w:pStyle w:val="24"/>
              <w:widowControl w:val="0"/>
              <w:rPr>
                <w:color w:val="000000" w:themeColor="text1"/>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9"/>
        <w:rPr>
          <w:rFonts w:ascii="Times New Roman" w:hAnsi="Times New Roman" w:eastAsia="宋体" w:cs="Times New Roman"/>
          <w:b/>
          <w:color w:val="0000FF"/>
          <w:sz w:val="21"/>
          <w:szCs w:val="21"/>
        </w:r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表六</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9" w:hRule="atLeast"/>
        </w:trPr>
        <w:tc>
          <w:tcPr>
            <w:tcW w:w="8522" w:type="dxa"/>
          </w:tcPr>
          <w:p>
            <w:pPr>
              <w:widowControl/>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验收监测内容：</w:t>
            </w:r>
          </w:p>
          <w:p>
            <w:pPr>
              <w:widowControl w:val="0"/>
              <w:adjustRightInd/>
              <w:snapToGrid/>
              <w:spacing w:line="360" w:lineRule="auto"/>
              <w:ind w:firstLine="480" w:firstLineChars="200"/>
              <w:jc w:val="both"/>
              <w:outlineLvl w:val="1"/>
              <w:rPr>
                <w:rFonts w:ascii="Times New Roman" w:hAnsi="Times New Roman" w:eastAsia="宋体" w:cs="Times New Roman"/>
                <w:bCs/>
                <w:color w:val="000000" w:themeColor="text1"/>
                <w:sz w:val="24"/>
                <w:szCs w:val="24"/>
                <w14:textFill>
                  <w14:solidFill>
                    <w14:schemeClr w14:val="tx1"/>
                  </w14:solidFill>
                </w14:textFill>
              </w:rPr>
            </w:pPr>
            <w:bookmarkStart w:id="3" w:name="_Toc24246"/>
            <w:bookmarkStart w:id="4" w:name="_Toc4084"/>
            <w:r>
              <w:rPr>
                <w:rFonts w:ascii="Times New Roman" w:hAnsi="Times New Roman" w:eastAsia="宋体" w:cs="Times New Roman"/>
                <w:bCs/>
                <w:color w:val="000000" w:themeColor="text1"/>
                <w:sz w:val="24"/>
                <w:szCs w:val="24"/>
                <w14:textFill>
                  <w14:solidFill>
                    <w14:schemeClr w14:val="tx1"/>
                  </w14:solidFill>
                </w14:textFill>
              </w:rPr>
              <w:t>1、环境保护设施调试效果</w:t>
            </w:r>
            <w:bookmarkEnd w:id="3"/>
            <w:bookmarkEnd w:id="4"/>
          </w:p>
          <w:p>
            <w:pPr>
              <w:widowControl w:val="0"/>
              <w:adjustRightInd/>
              <w:snapToGrid/>
              <w:spacing w:line="360" w:lineRule="auto"/>
              <w:ind w:firstLine="480" w:firstLineChars="200"/>
              <w:jc w:val="both"/>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通过对各类污染物达标排放排放及各类污染治理设施去除效率的监测，来说明环境保护设施调试效果，具体监测内容如下：</w:t>
            </w:r>
          </w:p>
          <w:p>
            <w:pPr>
              <w:pStyle w:val="3"/>
              <w:widowControl w:val="0"/>
              <w:numPr>
                <w:ilvl w:val="0"/>
                <w:numId w:val="0"/>
              </w:numPr>
              <w:spacing w:line="360" w:lineRule="auto"/>
              <w:ind w:firstLine="480" w:firstLineChars="200"/>
              <w:jc w:val="both"/>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（1）废气</w:t>
            </w:r>
          </w:p>
          <w:p>
            <w:pPr>
              <w:widowControl w:val="0"/>
              <w:adjustRightInd/>
              <w:snapToGrid/>
              <w:spacing w:line="360" w:lineRule="auto"/>
              <w:ind w:firstLine="480" w:firstLineChars="200"/>
              <w:jc w:val="both"/>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本次验收废气监测内容明细表见下表。</w:t>
            </w:r>
          </w:p>
          <w:p>
            <w:pPr>
              <w:widowControl w:val="0"/>
              <w:adjustRightInd/>
              <w:snapToGrid/>
              <w:spacing w:beforeLines="5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表6-</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 xml:space="preserve">2 </w:t>
            </w:r>
            <w:r>
              <w:rPr>
                <w:rFonts w:ascii="Times New Roman" w:hAnsi="Times New Roman" w:eastAsia="宋体" w:cs="Times New Roman"/>
                <w:b/>
                <w:color w:val="000000" w:themeColor="text1"/>
                <w:sz w:val="21"/>
                <w:szCs w:val="21"/>
                <w14:textFill>
                  <w14:solidFill>
                    <w14:schemeClr w14:val="tx1"/>
                  </w14:solidFill>
                </w14:textFill>
              </w:rPr>
              <w:t>废气监测明内容细</w:t>
            </w:r>
          </w:p>
          <w:tbl>
            <w:tblPr>
              <w:tblStyle w:val="26"/>
              <w:tblW w:w="8215"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2825"/>
              <w:gridCol w:w="2877"/>
              <w:gridCol w:w="141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103"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监测项目</w:t>
                  </w:r>
                </w:p>
              </w:tc>
              <w:tc>
                <w:tcPr>
                  <w:tcW w:w="2825"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监测点位</w:t>
                  </w:r>
                </w:p>
              </w:tc>
              <w:tc>
                <w:tcPr>
                  <w:tcW w:w="2877"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环保设施</w:t>
                  </w:r>
                </w:p>
              </w:tc>
              <w:tc>
                <w:tcPr>
                  <w:tcW w:w="1410"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3"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锅炉废气</w:t>
                  </w:r>
                </w:p>
              </w:tc>
              <w:tc>
                <w:tcPr>
                  <w:tcW w:w="2825"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锅炉废气处理设施进出口</w:t>
                  </w:r>
                </w:p>
              </w:tc>
              <w:tc>
                <w:tcPr>
                  <w:tcW w:w="2877"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袋式除尘器+碱液喷淋</w:t>
                  </w:r>
                </w:p>
              </w:tc>
              <w:tc>
                <w:tcPr>
                  <w:tcW w:w="14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3次/天，2天</w:t>
                  </w:r>
                </w:p>
              </w:tc>
            </w:tr>
          </w:tbl>
          <w:p>
            <w:pPr>
              <w:widowControl w:val="0"/>
              <w:adjustRightInd/>
              <w:spacing w:line="360" w:lineRule="auto"/>
              <w:ind w:firstLine="480" w:firstLineChars="200"/>
              <w:jc w:val="both"/>
              <w:outlineLvl w:val="2"/>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2</w:t>
            </w:r>
            <w:r>
              <w:rPr>
                <w:rFonts w:ascii="Times New Roman" w:hAnsi="Times New Roman" w:eastAsia="宋体" w:cs="Times New Roman"/>
                <w:bCs/>
                <w:color w:val="000000" w:themeColor="text1"/>
                <w:sz w:val="24"/>
                <w:szCs w:val="24"/>
                <w14:textFill>
                  <w14:solidFill>
                    <w14:schemeClr w14:val="tx1"/>
                  </w14:solidFill>
                </w14:textFill>
              </w:rPr>
              <w:t>）厂界噪声监测</w:t>
            </w:r>
          </w:p>
          <w:p>
            <w:pPr>
              <w:widowControl w:val="0"/>
              <w:adjustRightInd/>
              <w:spacing w:line="360" w:lineRule="auto"/>
              <w:ind w:firstLine="480" w:firstLineChars="200"/>
              <w:jc w:val="both"/>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本次验收厂界噪声监测明细表见下表。</w:t>
            </w:r>
          </w:p>
          <w:p>
            <w:pPr>
              <w:widowControl w:val="0"/>
              <w:adjustRightInd/>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表6-</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3</w:t>
            </w:r>
            <w:r>
              <w:rPr>
                <w:rFonts w:ascii="Times New Roman" w:hAnsi="Times New Roman" w:eastAsia="宋体" w:cs="Times New Roman"/>
                <w:b/>
                <w:color w:val="000000" w:themeColor="text1"/>
                <w:sz w:val="21"/>
                <w:szCs w:val="21"/>
                <w14:textFill>
                  <w14:solidFill>
                    <w14:schemeClr w14:val="tx1"/>
                  </w14:solidFill>
                </w14:textFill>
              </w:rPr>
              <w:t>厂界噪声监测内容明细</w:t>
            </w:r>
          </w:p>
          <w:tbl>
            <w:tblPr>
              <w:tblStyle w:val="26"/>
              <w:tblW w:w="7958"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761"/>
              <w:gridCol w:w="1955"/>
              <w:gridCol w:w="1415"/>
              <w:gridCol w:w="282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监测项目</w:t>
                  </w:r>
                </w:p>
              </w:tc>
              <w:tc>
                <w:tcPr>
                  <w:tcW w:w="1955"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监测点位</w:t>
                  </w:r>
                </w:p>
              </w:tc>
              <w:tc>
                <w:tcPr>
                  <w:tcW w:w="1415"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环保设施</w:t>
                  </w:r>
                </w:p>
              </w:tc>
              <w:tc>
                <w:tcPr>
                  <w:tcW w:w="2827"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restart"/>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厂界噪声</w:t>
                  </w:r>
                </w:p>
              </w:tc>
              <w:tc>
                <w:tcPr>
                  <w:tcW w:w="1955" w:type="dxa"/>
                  <w:tcBorders>
                    <w:tl2br w:val="nil"/>
                    <w:tr2bl w:val="nil"/>
                  </w:tcBorders>
                  <w:vAlign w:val="center"/>
                </w:tcPr>
                <w:p>
                  <w:pPr>
                    <w:widowControl/>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厂界1</w:t>
                  </w:r>
                </w:p>
              </w:tc>
              <w:tc>
                <w:tcPr>
                  <w:tcW w:w="1415" w:type="dxa"/>
                  <w:vMerge w:val="restart"/>
                  <w:tcBorders>
                    <w:tl2br w:val="nil"/>
                    <w:tr2bl w:val="nil"/>
                  </w:tcBorders>
                  <w:vAlign w:val="center"/>
                </w:tcPr>
                <w:p>
                  <w:pPr>
                    <w:widowControl w:val="0"/>
                    <w:adjustRightIn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隔声</w:t>
                  </w:r>
                  <w:r>
                    <w:rPr>
                      <w:rFonts w:hint="eastAsia" w:ascii="Times New Roman" w:hAnsi="Times New Roman" w:eastAsia="宋体" w:cs="Times New Roman"/>
                      <w:bCs/>
                      <w:color w:val="000000" w:themeColor="text1"/>
                      <w:sz w:val="21"/>
                      <w:szCs w:val="21"/>
                      <w14:textFill>
                        <w14:solidFill>
                          <w14:schemeClr w14:val="tx1"/>
                        </w14:solidFill>
                      </w14:textFill>
                    </w:rPr>
                    <w:t>、合理布局机台</w:t>
                  </w:r>
                </w:p>
              </w:tc>
              <w:tc>
                <w:tcPr>
                  <w:tcW w:w="2827" w:type="dxa"/>
                  <w:vMerge w:val="restart"/>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昼</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间</w:t>
                  </w:r>
                  <w:r>
                    <w:rPr>
                      <w:rFonts w:ascii="Times New Roman" w:hAnsi="Times New Roman" w:eastAsia="宋体" w:cs="Times New Roman"/>
                      <w:bCs/>
                      <w:color w:val="000000" w:themeColor="text1"/>
                      <w:sz w:val="21"/>
                      <w:szCs w:val="21"/>
                      <w14:textFill>
                        <w14:solidFill>
                          <w14:schemeClr w14:val="tx1"/>
                        </w14:solidFill>
                      </w14:textFill>
                    </w:rPr>
                    <w:t>1次/天，2天</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1955" w:type="dxa"/>
                  <w:tcBorders>
                    <w:tl2br w:val="nil"/>
                    <w:tr2bl w:val="nil"/>
                  </w:tcBorders>
                  <w:vAlign w:val="center"/>
                </w:tcPr>
                <w:p>
                  <w:pPr>
                    <w:widowControl/>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厂界2</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1955" w:type="dxa"/>
                  <w:tcBorders>
                    <w:tl2br w:val="nil"/>
                    <w:tr2bl w:val="nil"/>
                  </w:tcBorders>
                  <w:vAlign w:val="center"/>
                </w:tcPr>
                <w:p>
                  <w:pPr>
                    <w:widowControl/>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厂界3</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1955"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厂界</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r>
          </w:tbl>
          <w:p>
            <w:pPr>
              <w:pStyle w:val="24"/>
              <w:widowControl w:val="0"/>
              <w:ind w:left="0" w:leftChars="0" w:firstLine="0" w:firstLineChars="0"/>
              <w:jc w:val="both"/>
              <w:rPr>
                <w:rFonts w:hint="eastAsia"/>
                <w:color w:val="0000FF"/>
                <w:lang w:val="en-US" w:eastAsia="zh-CN"/>
              </w:rPr>
            </w:pPr>
          </w:p>
          <w:p>
            <w:pPr>
              <w:pStyle w:val="24"/>
              <w:widowControl w:val="0"/>
              <w:ind w:left="0" w:leftChars="0" w:firstLine="0" w:firstLineChars="0"/>
              <w:jc w:val="center"/>
              <w:rPr>
                <w:rFonts w:hint="default" w:eastAsia="楷体_GB2312"/>
                <w:color w:val="0000FF"/>
                <w:lang w:val="en-US" w:eastAsia="zh-CN"/>
              </w:rPr>
            </w:pPr>
          </w:p>
        </w:tc>
      </w:tr>
    </w:tbl>
    <w:p>
      <w:pPr>
        <w:spacing w:line="360" w:lineRule="auto"/>
        <w:outlineLvl w:val="0"/>
        <w:rPr>
          <w:rFonts w:ascii="Times New Roman" w:hAnsi="Times New Roman" w:eastAsia="宋体" w:cs="Times New Roman"/>
          <w:b/>
          <w:color w:val="0000FF"/>
          <w:sz w:val="21"/>
          <w:szCs w:val="21"/>
        </w:rPr>
        <w:sectPr>
          <w:pgSz w:w="11906" w:h="16838"/>
          <w:pgMar w:top="1440" w:right="1440" w:bottom="1440" w:left="1701" w:header="709" w:footer="709" w:gutter="0"/>
          <w:pgBorders>
            <w:top w:val="none" w:sz="0" w:space="0"/>
            <w:left w:val="none" w:sz="0" w:space="0"/>
            <w:bottom w:val="none" w:sz="0" w:space="0"/>
            <w:right w:val="none" w:sz="0" w:space="0"/>
          </w:pgBorders>
          <w:cols w:space="0" w:num="1"/>
          <w:docGrid w:linePitch="360" w:charSpace="0"/>
        </w:sectPr>
      </w:pPr>
    </w:p>
    <w:p>
      <w:pPr>
        <w:tabs>
          <w:tab w:val="left" w:pos="3960"/>
        </w:tabs>
        <w:spacing w:line="360" w:lineRule="auto"/>
        <w:outlineLvl w:val="0"/>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表七</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3" w:hRule="atLeast"/>
        </w:trPr>
        <w:tc>
          <w:tcPr>
            <w:tcW w:w="8522" w:type="dxa"/>
          </w:tcPr>
          <w:p>
            <w:pPr>
              <w:widowControl/>
              <w:numPr>
                <w:ilvl w:val="0"/>
                <w:numId w:val="0"/>
              </w:numPr>
              <w:spacing w:line="360" w:lineRule="auto"/>
              <w:jc w:val="both"/>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验收监测</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结果：</w:t>
            </w:r>
          </w:p>
          <w:p>
            <w:pPr>
              <w:pStyle w:val="2"/>
              <w:widowControl w:val="0"/>
              <w:numPr>
                <w:ilvl w:val="0"/>
                <w:numId w:val="0"/>
              </w:numPr>
              <w:ind w:leftChars="200"/>
              <w:jc w:val="both"/>
              <w:rPr>
                <w:rFonts w:hint="eastAsia" w:ascii="Times New Roman" w:hAnsi="Times New Roman" w:eastAsia="宋体" w:cs="Times New Roman"/>
                <w:color w:val="000000" w:themeColor="text1"/>
                <w:sz w:val="24"/>
                <w:szCs w:val="24"/>
                <w:shd w:val="clear"/>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shd w:val="clear"/>
                <w:lang w:val="en-US" w:eastAsia="zh-CN" w:bidi="ar-SA"/>
                <w14:textFill>
                  <w14:solidFill>
                    <w14:schemeClr w14:val="tx1"/>
                  </w14:solidFill>
                </w14:textFill>
              </w:rPr>
              <w:t>（1）废气</w:t>
            </w:r>
          </w:p>
          <w:p>
            <w:pPr>
              <w:pStyle w:val="3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表7-</w:t>
            </w:r>
            <w:r>
              <w:rPr>
                <w:rFonts w:hint="eastAsia" w:ascii="Times New Roman" w:hAnsi="Times New Roman" w:cs="Times New Roman"/>
                <w:b/>
                <w:bCs/>
                <w:color w:val="000000" w:themeColor="text1"/>
                <w:sz w:val="21"/>
                <w:szCs w:val="21"/>
                <w:lang w:val="en-US" w:eastAsia="zh-CN"/>
                <w14:textFill>
                  <w14:solidFill>
                    <w14:schemeClr w14:val="tx1"/>
                  </w14:solidFill>
                </w14:textFill>
              </w:rPr>
              <w:t>2</w:t>
            </w:r>
            <w:r>
              <w:rPr>
                <w:rFonts w:ascii="Times New Roman" w:hAnsi="Times New Roman" w:cs="Times New Roman"/>
                <w:b/>
                <w:bCs/>
                <w:color w:val="000000" w:themeColor="text1"/>
                <w:sz w:val="21"/>
                <w:szCs w:val="21"/>
                <w14:textFill>
                  <w14:solidFill>
                    <w14:schemeClr w14:val="tx1"/>
                  </w14:solidFill>
                </w14:textFill>
              </w:rPr>
              <w:t xml:space="preserve"> 废气监测结果</w:t>
            </w:r>
          </w:p>
          <w:tbl>
            <w:tblPr>
              <w:tblStyle w:val="26"/>
              <w:tblW w:w="8306"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6"/>
              <w:gridCol w:w="865"/>
              <w:gridCol w:w="810"/>
              <w:gridCol w:w="885"/>
              <w:gridCol w:w="1845"/>
              <w:gridCol w:w="1230"/>
              <w:gridCol w:w="1200"/>
              <w:gridCol w:w="84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vMerge w:val="restart"/>
                  <w:tcBorders>
                    <w:tl2br w:val="nil"/>
                    <w:tr2bl w:val="nil"/>
                  </w:tcBorders>
                  <w:vAlign w:val="center"/>
                </w:tcPr>
                <w:p>
                  <w:pPr>
                    <w:pStyle w:val="36"/>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项目</w:t>
                  </w:r>
                </w:p>
              </w:tc>
              <w:tc>
                <w:tcPr>
                  <w:tcW w:w="865" w:type="dxa"/>
                  <w:vMerge w:val="restart"/>
                  <w:tcBorders>
                    <w:tl2br w:val="nil"/>
                    <w:tr2bl w:val="nil"/>
                  </w:tcBorders>
                  <w:vAlign w:val="center"/>
                </w:tcPr>
                <w:p>
                  <w:pPr>
                    <w:pStyle w:val="36"/>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设施</w:t>
                  </w:r>
                </w:p>
                <w:p>
                  <w:pPr>
                    <w:pStyle w:val="36"/>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名称</w:t>
                  </w:r>
                </w:p>
              </w:tc>
              <w:tc>
                <w:tcPr>
                  <w:tcW w:w="3540" w:type="dxa"/>
                  <w:gridSpan w:val="3"/>
                  <w:vMerge w:val="restart"/>
                  <w:tcBorders>
                    <w:tl2br w:val="nil"/>
                    <w:tr2bl w:val="nil"/>
                  </w:tcBorders>
                  <w:vAlign w:val="center"/>
                </w:tcPr>
                <w:p>
                  <w:pPr>
                    <w:pStyle w:val="36"/>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-68580</wp:posOffset>
                            </wp:positionH>
                            <wp:positionV relativeFrom="paragraph">
                              <wp:posOffset>20955</wp:posOffset>
                            </wp:positionV>
                            <wp:extent cx="2266950" cy="338455"/>
                            <wp:effectExtent l="635" t="4445" r="18415" b="19050"/>
                            <wp:wrapNone/>
                            <wp:docPr id="67" name="直接连接符 67"/>
                            <wp:cNvGraphicFramePr/>
                            <a:graphic xmlns:a="http://schemas.openxmlformats.org/drawingml/2006/main">
                              <a:graphicData uri="http://schemas.microsoft.com/office/word/2010/wordprocessingShape">
                                <wps:wsp>
                                  <wps:cNvCnPr/>
                                  <wps:spPr>
                                    <a:xfrm>
                                      <a:off x="2165985" y="6535420"/>
                                      <a:ext cx="2266950" cy="338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4pt;margin-top:1.65pt;height:26.65pt;width:178.5pt;z-index:251659264;mso-width-relative:page;mso-height-relative:page;" filled="f" stroked="t" coordsize="21600,21600" o:gfxdata="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vACn7XAAAACAEAAA8AAAAAAAAAAQAgAAAAIgAAAGRycy9kb3ducmV2LnhtbFBLAQIU&#10;ABQAAAAIAIdO4kDYrpcs9AEAAMQDAAAOAAAAAAAAAAEAIAAAACYBAABkcnMvZTJvRG9jLnhtbFBL&#10;BQYAAAAABgAGAFkBAACMBQAAAAA=&#10;">
                            <v:fill on="f" focussize="0,0"/>
                            <v:stroke weight="0.5pt" color="#000000 [3213]" miterlimit="8" joinstyle="miter"/>
                            <v:imagedata o:title=""/>
                            <o:lock v:ext="edit" aspectratio="f"/>
                          </v:line>
                        </w:pict>
                      </mc:Fallback>
                    </mc:AlternateConten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监测内容</w:t>
                  </w:r>
                </w:p>
                <w:p>
                  <w:pPr>
                    <w:pStyle w:val="36"/>
                    <w:ind w:firstLine="422" w:firstLineChars="200"/>
                    <w:jc w:val="both"/>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监测点位</w:t>
                  </w:r>
                </w:p>
              </w:tc>
              <w:tc>
                <w:tcPr>
                  <w:tcW w:w="2430" w:type="dxa"/>
                  <w:gridSpan w:val="2"/>
                  <w:tcBorders>
                    <w:tl2br w:val="nil"/>
                    <w:tr2bl w:val="nil"/>
                  </w:tcBorders>
                  <w:vAlign w:val="center"/>
                </w:tcPr>
                <w:p>
                  <w:pPr>
                    <w:pStyle w:val="36"/>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监测结果</w:t>
                  </w:r>
                </w:p>
              </w:tc>
              <w:tc>
                <w:tcPr>
                  <w:tcW w:w="845" w:type="dxa"/>
                  <w:vMerge w:val="restart"/>
                  <w:tcBorders>
                    <w:tl2br w:val="nil"/>
                    <w:tr2bl w:val="nil"/>
                  </w:tcBorders>
                  <w:vAlign w:val="center"/>
                </w:tcPr>
                <w:p>
                  <w:pPr>
                    <w:pStyle w:val="36"/>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标准</w:t>
                  </w:r>
                </w:p>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限值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dxa"/>
                  <w:vMerge w:val="continue"/>
                  <w:tcBorders>
                    <w:tl2br w:val="nil"/>
                    <w:tr2bl w:val="nil"/>
                  </w:tcBorders>
                  <w:vAlign w:val="center"/>
                </w:tcPr>
                <w:p>
                  <w:pPr>
                    <w:pStyle w:val="36"/>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865" w:type="dxa"/>
                  <w:vMerge w:val="continue"/>
                  <w:tcBorders>
                    <w:tl2br w:val="nil"/>
                    <w:tr2bl w:val="nil"/>
                  </w:tcBorders>
                  <w:vAlign w:val="center"/>
                </w:tcPr>
                <w:p>
                  <w:pPr>
                    <w:pStyle w:val="36"/>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3540" w:type="dxa"/>
                  <w:gridSpan w:val="3"/>
                  <w:vMerge w:val="continue"/>
                  <w:tcBorders>
                    <w:tl2br w:val="nil"/>
                    <w:tr2bl w:val="nil"/>
                  </w:tcBorders>
                  <w:vAlign w:val="center"/>
                </w:tcPr>
                <w:p>
                  <w:pPr>
                    <w:pStyle w:val="36"/>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1230" w:type="dxa"/>
                  <w:tcBorders>
                    <w:tl2br w:val="nil"/>
                    <w:tr2bl w:val="nil"/>
                  </w:tcBorders>
                  <w:vAlign w:val="center"/>
                </w:tcPr>
                <w:p>
                  <w:pPr>
                    <w:pStyle w:val="36"/>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20220329</w:t>
                  </w:r>
                </w:p>
              </w:tc>
              <w:tc>
                <w:tcPr>
                  <w:tcW w:w="1200" w:type="dxa"/>
                  <w:tcBorders>
                    <w:tl2br w:val="nil"/>
                    <w:tr2bl w:val="nil"/>
                  </w:tcBorders>
                  <w:vAlign w:val="center"/>
                </w:tcPr>
                <w:p>
                  <w:pPr>
                    <w:pStyle w:val="36"/>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20220330</w:t>
                  </w:r>
                </w:p>
              </w:tc>
              <w:tc>
                <w:tcPr>
                  <w:tcW w:w="84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restart"/>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废气</w:t>
                  </w:r>
                </w:p>
              </w:tc>
              <w:tc>
                <w:tcPr>
                  <w:tcW w:w="865" w:type="dxa"/>
                  <w:vMerge w:val="restart"/>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脱硫塔+碱</w:t>
                  </w:r>
                </w:p>
              </w:tc>
              <w:tc>
                <w:tcPr>
                  <w:tcW w:w="810" w:type="dxa"/>
                  <w:vMerge w:val="restart"/>
                  <w:tcBorders>
                    <w:tl2br w:val="nil"/>
                    <w:tr2bl w:val="nil"/>
                  </w:tcBorders>
                  <w:vAlign w:val="center"/>
                </w:tcPr>
                <w:p>
                  <w:pPr>
                    <w:pStyle w:val="36"/>
                    <w:jc w:val="cente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vertAlign w:val="baseline"/>
                      <w:lang w:val="en-US" w:eastAsia="zh-CN" w:bidi="ar-SA"/>
                      <w14:textFill>
                        <w14:solidFill>
                          <w14:schemeClr w14:val="tx1"/>
                        </w14:solidFill>
                      </w14:textFill>
                    </w:rPr>
                    <w:t>锅炉废气进口</w:t>
                  </w:r>
                  <w:r>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w:t>
                  </w:r>
                  <w:r>
                    <w:rPr>
                      <w:rFonts w:hint="eastAsia" w:ascii="Times New Roman" w:hAnsi="Times New Roman" w:cs="Times New Roman"/>
                      <w:b w:val="0"/>
                      <w:bCs w:val="0"/>
                      <w:i w:val="0"/>
                      <w:iCs w:val="0"/>
                      <w:color w:val="000000" w:themeColor="text1"/>
                      <w:kern w:val="0"/>
                      <w:sz w:val="21"/>
                      <w:szCs w:val="21"/>
                      <w:vertAlign w:val="baseline"/>
                      <w:lang w:val="en-US" w:eastAsia="zh-CN" w:bidi="ar-SA"/>
                      <w14:textFill>
                        <w14:solidFill>
                          <w14:schemeClr w14:val="tx1"/>
                        </w14:solidFill>
                      </w14:textFill>
                    </w:rPr>
                    <w:t>1</w:t>
                  </w:r>
                </w:p>
              </w:tc>
              <w:tc>
                <w:tcPr>
                  <w:tcW w:w="2730" w:type="dxa"/>
                  <w:gridSpan w:val="2"/>
                  <w:tcBorders>
                    <w:tl2br w:val="nil"/>
                    <w:tr2bl w:val="nil"/>
                  </w:tcBorders>
                  <w:vAlign w:val="center"/>
                </w:tcPr>
                <w:p>
                  <w:pPr>
                    <w:pStyle w:val="36"/>
                    <w:jc w:val="center"/>
                    <w:rPr>
                      <w:rFonts w:hint="default" w:ascii="Times New Roman" w:hAnsi="Times New Roman" w:eastAsia="宋体" w:cs="Times New Roman"/>
                      <w:b w:val="0"/>
                      <w:bCs w:val="0"/>
                      <w:i w:val="0"/>
                      <w:i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vertAlign w:val="baseline"/>
                      <w:lang w:val="en-US" w:eastAsia="zh-CN"/>
                      <w14:textFill>
                        <w14:solidFill>
                          <w14:schemeClr w14:val="tx1"/>
                        </w14:solidFill>
                      </w14:textFill>
                    </w:rPr>
                    <w:t>标杆流量</w:t>
                  </w:r>
                  <w:r>
                    <w:rPr>
                      <w:rFonts w:hint="default" w:ascii="Times New Roman" w:hAnsi="Times New Roman" w:eastAsia="宋体" w:cs="Times New Roman"/>
                      <w:b w:val="0"/>
                      <w:bCs w:val="0"/>
                      <w:color w:val="000000" w:themeColor="text1"/>
                      <w:szCs w:val="21"/>
                      <w14:textFill>
                        <w14:solidFill>
                          <w14:schemeClr w14:val="tx1"/>
                        </w14:solidFill>
                      </w14:textFill>
                    </w:rPr>
                    <w:t>m</w:t>
                  </w:r>
                  <w:r>
                    <w:rPr>
                      <w:rFonts w:hint="default" w:ascii="Times New Roman" w:hAnsi="Times New Roman" w:eastAsia="宋体" w:cs="Times New Roman"/>
                      <w:b w:val="0"/>
                      <w:bCs w:val="0"/>
                      <w:color w:val="000000" w:themeColor="text1"/>
                      <w:szCs w:val="21"/>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Cs w:val="21"/>
                      <w14:textFill>
                        <w14:solidFill>
                          <w14:schemeClr w14:val="tx1"/>
                        </w14:solidFill>
                      </w14:textFill>
                    </w:rPr>
                    <w:t>/h</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6360</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6190</w:t>
                  </w:r>
                </w:p>
              </w:tc>
              <w:tc>
                <w:tcPr>
                  <w:tcW w:w="84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6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10" w:type="dxa"/>
                  <w:vMerge w:val="continue"/>
                  <w:tcBorders>
                    <w:tl2br w:val="nil"/>
                    <w:tr2bl w:val="nil"/>
                  </w:tcBorders>
                  <w:vAlign w:val="center"/>
                </w:tcPr>
                <w:p>
                  <w:pPr>
                    <w:pStyle w:val="36"/>
                    <w:jc w:val="cente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p>
              </w:tc>
              <w:tc>
                <w:tcPr>
                  <w:tcW w:w="8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vertAlign w:val="baseline"/>
                      <w:lang w:val="en-US" w:eastAsia="zh-CN"/>
                      <w14:textFill>
                        <w14:solidFill>
                          <w14:schemeClr w14:val="tx1"/>
                        </w14:solidFill>
                      </w14:textFill>
                    </w:rPr>
                    <w:t>颗粒物</w:t>
                  </w:r>
                </w:p>
              </w:tc>
              <w:tc>
                <w:tcPr>
                  <w:tcW w:w="18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实测浓度(mg/m³)</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23.3</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23.0</w:t>
                  </w:r>
                </w:p>
              </w:tc>
              <w:tc>
                <w:tcPr>
                  <w:tcW w:w="8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6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10" w:type="dxa"/>
                  <w:vMerge w:val="continue"/>
                  <w:tcBorders>
                    <w:tl2br w:val="nil"/>
                    <w:tr2bl w:val="nil"/>
                  </w:tcBorders>
                  <w:vAlign w:val="center"/>
                </w:tcPr>
                <w:p>
                  <w:pPr>
                    <w:pStyle w:val="36"/>
                    <w:jc w:val="cente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p>
              </w:tc>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sz w:val="21"/>
                      <w:szCs w:val="21"/>
                      <w:vertAlign w:val="baseline"/>
                      <w:lang w:val="en-US" w:eastAsia="zh-CN"/>
                      <w14:textFill>
                        <w14:solidFill>
                          <w14:schemeClr w14:val="tx1"/>
                        </w14:solidFill>
                      </w14:textFill>
                    </w:rPr>
                  </w:pPr>
                </w:p>
              </w:tc>
              <w:tc>
                <w:tcPr>
                  <w:tcW w:w="18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排放速率（kg/h）</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0.15</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0.14</w:t>
                  </w:r>
                </w:p>
              </w:tc>
              <w:tc>
                <w:tcPr>
                  <w:tcW w:w="8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626"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6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10" w:type="dxa"/>
                  <w:vMerge w:val="continue"/>
                  <w:tcBorders>
                    <w:tl2br w:val="nil"/>
                    <w:tr2bl w:val="nil"/>
                  </w:tcBorders>
                  <w:vAlign w:val="center"/>
                </w:tcPr>
                <w:p>
                  <w:pPr>
                    <w:pStyle w:val="36"/>
                    <w:jc w:val="cente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p>
              </w:tc>
              <w:tc>
                <w:tcPr>
                  <w:tcW w:w="8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vertAlign w:val="baseline"/>
                      <w:lang w:val="en-US" w:eastAsia="zh-CN"/>
                      <w14:textFill>
                        <w14:solidFill>
                          <w14:schemeClr w14:val="tx1"/>
                        </w14:solidFill>
                      </w14:textFill>
                    </w:rPr>
                    <w:t>二氧化硫</w:t>
                  </w:r>
                </w:p>
              </w:tc>
              <w:tc>
                <w:tcPr>
                  <w:tcW w:w="18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实测浓度(mg/m³)</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25</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27</w:t>
                  </w:r>
                </w:p>
              </w:tc>
              <w:tc>
                <w:tcPr>
                  <w:tcW w:w="8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6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10" w:type="dxa"/>
                  <w:vMerge w:val="continue"/>
                  <w:tcBorders>
                    <w:tl2br w:val="nil"/>
                    <w:tr2bl w:val="nil"/>
                  </w:tcBorders>
                  <w:vAlign w:val="center"/>
                </w:tcPr>
                <w:p>
                  <w:pPr>
                    <w:pStyle w:val="36"/>
                    <w:jc w:val="cente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p>
              </w:tc>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sz w:val="21"/>
                      <w:szCs w:val="21"/>
                      <w:vertAlign w:val="baseline"/>
                      <w:lang w:val="en-US" w:eastAsia="zh-CN"/>
                      <w14:textFill>
                        <w14:solidFill>
                          <w14:schemeClr w14:val="tx1"/>
                        </w14:solidFill>
                      </w14:textFill>
                    </w:rPr>
                  </w:pPr>
                </w:p>
              </w:tc>
              <w:tc>
                <w:tcPr>
                  <w:tcW w:w="18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排放速率（kg/h）</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0.16</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0.17</w:t>
                  </w:r>
                </w:p>
              </w:tc>
              <w:tc>
                <w:tcPr>
                  <w:tcW w:w="8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6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10" w:type="dxa"/>
                  <w:vMerge w:val="continue"/>
                  <w:tcBorders>
                    <w:tl2br w:val="nil"/>
                    <w:tr2bl w:val="nil"/>
                  </w:tcBorders>
                  <w:vAlign w:val="center"/>
                </w:tcPr>
                <w:p>
                  <w:pPr>
                    <w:pStyle w:val="36"/>
                    <w:jc w:val="cente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p>
              </w:tc>
              <w:tc>
                <w:tcPr>
                  <w:tcW w:w="8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vertAlign w:val="baseline"/>
                      <w:lang w:val="en-US" w:eastAsia="zh-CN"/>
                      <w14:textFill>
                        <w14:solidFill>
                          <w14:schemeClr w14:val="tx1"/>
                        </w14:solidFill>
                      </w14:textFill>
                    </w:rPr>
                    <w:t>氮氧化物</w:t>
                  </w:r>
                </w:p>
              </w:tc>
              <w:tc>
                <w:tcPr>
                  <w:tcW w:w="18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实测浓度(mg/m³)</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293</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293</w:t>
                  </w:r>
                </w:p>
              </w:tc>
              <w:tc>
                <w:tcPr>
                  <w:tcW w:w="8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626"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6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10" w:type="dxa"/>
                  <w:vMerge w:val="continue"/>
                  <w:tcBorders>
                    <w:tl2br w:val="nil"/>
                    <w:tr2bl w:val="nil"/>
                  </w:tcBorders>
                  <w:vAlign w:val="center"/>
                </w:tcPr>
                <w:p>
                  <w:pPr>
                    <w:pStyle w:val="36"/>
                    <w:jc w:val="cente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p>
              </w:tc>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p>
              </w:tc>
              <w:tc>
                <w:tcPr>
                  <w:tcW w:w="18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排放速率（kg/h）</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1.9</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1.8</w:t>
                  </w:r>
                </w:p>
              </w:tc>
              <w:tc>
                <w:tcPr>
                  <w:tcW w:w="8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6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10" w:type="dxa"/>
                  <w:vMerge w:val="restart"/>
                  <w:tcBorders>
                    <w:tl2br w:val="nil"/>
                    <w:tr2bl w:val="nil"/>
                  </w:tcBorders>
                  <w:vAlign w:val="center"/>
                </w:tcPr>
                <w:p>
                  <w:pPr>
                    <w:pStyle w:val="36"/>
                    <w:jc w:val="cente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vertAlign w:val="baseline"/>
                      <w:lang w:val="en-US" w:eastAsia="zh-CN" w:bidi="ar-SA"/>
                      <w14:textFill>
                        <w14:solidFill>
                          <w14:schemeClr w14:val="tx1"/>
                        </w14:solidFill>
                      </w14:textFill>
                    </w:rPr>
                    <w:t>锅炉废气进口</w:t>
                  </w:r>
                  <w:r>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w:t>
                  </w:r>
                  <w:r>
                    <w:rPr>
                      <w:rFonts w:hint="eastAsia" w:ascii="Times New Roman" w:hAnsi="Times New Roman" w:cs="Times New Roman"/>
                      <w:b w:val="0"/>
                      <w:bCs w:val="0"/>
                      <w:i w:val="0"/>
                      <w:iCs w:val="0"/>
                      <w:color w:val="000000" w:themeColor="text1"/>
                      <w:kern w:val="0"/>
                      <w:sz w:val="21"/>
                      <w:szCs w:val="21"/>
                      <w:vertAlign w:val="baseline"/>
                      <w:lang w:val="en-US" w:eastAsia="zh-CN" w:bidi="ar-SA"/>
                      <w14:textFill>
                        <w14:solidFill>
                          <w14:schemeClr w14:val="tx1"/>
                        </w14:solidFill>
                      </w14:textFill>
                    </w:rPr>
                    <w:t>2</w:t>
                  </w:r>
                </w:p>
              </w:tc>
              <w:tc>
                <w:tcPr>
                  <w:tcW w:w="2730" w:type="dxa"/>
                  <w:gridSpan w:val="2"/>
                  <w:tcBorders>
                    <w:tl2br w:val="nil"/>
                    <w:tr2bl w:val="nil"/>
                  </w:tcBorders>
                  <w:vAlign w:val="center"/>
                </w:tcPr>
                <w:p>
                  <w:pPr>
                    <w:pStyle w:val="36"/>
                    <w:jc w:val="cente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vertAlign w:val="baseline"/>
                      <w:lang w:val="en-US" w:eastAsia="zh-CN"/>
                      <w14:textFill>
                        <w14:solidFill>
                          <w14:schemeClr w14:val="tx1"/>
                        </w14:solidFill>
                      </w14:textFill>
                    </w:rPr>
                    <w:t>标杆流量</w:t>
                  </w:r>
                  <w:r>
                    <w:rPr>
                      <w:rFonts w:hint="default" w:ascii="Times New Roman" w:hAnsi="Times New Roman" w:eastAsia="宋体" w:cs="Times New Roman"/>
                      <w:b w:val="0"/>
                      <w:bCs w:val="0"/>
                      <w:color w:val="000000" w:themeColor="text1"/>
                      <w:szCs w:val="21"/>
                      <w14:textFill>
                        <w14:solidFill>
                          <w14:schemeClr w14:val="tx1"/>
                        </w14:solidFill>
                      </w14:textFill>
                    </w:rPr>
                    <w:t>m</w:t>
                  </w:r>
                  <w:r>
                    <w:rPr>
                      <w:rFonts w:hint="default" w:ascii="Times New Roman" w:hAnsi="Times New Roman" w:eastAsia="宋体" w:cs="Times New Roman"/>
                      <w:b w:val="0"/>
                      <w:bCs w:val="0"/>
                      <w:color w:val="000000" w:themeColor="text1"/>
                      <w:szCs w:val="21"/>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Cs w:val="21"/>
                      <w14:textFill>
                        <w14:solidFill>
                          <w14:schemeClr w14:val="tx1"/>
                        </w14:solidFill>
                      </w14:textFill>
                    </w:rPr>
                    <w:t>/h</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4740</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4210</w:t>
                  </w:r>
                </w:p>
              </w:tc>
              <w:tc>
                <w:tcPr>
                  <w:tcW w:w="8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6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10"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vertAlign w:val="baseline"/>
                      <w:lang w:val="en-US" w:eastAsia="zh-CN"/>
                      <w14:textFill>
                        <w14:solidFill>
                          <w14:schemeClr w14:val="tx1"/>
                        </w14:solidFill>
                      </w14:textFill>
                    </w:rPr>
                    <w:t>颗粒物</w:t>
                  </w:r>
                </w:p>
              </w:tc>
              <w:tc>
                <w:tcPr>
                  <w:tcW w:w="18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实测浓度(mg/m³)</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3.3</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3.4</w:t>
                  </w:r>
                </w:p>
              </w:tc>
              <w:tc>
                <w:tcPr>
                  <w:tcW w:w="8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6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10"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000000" w:themeColor="text1"/>
                      <w:sz w:val="21"/>
                      <w:szCs w:val="21"/>
                      <w:vertAlign w:val="baseline"/>
                      <w:lang w:val="en-US" w:eastAsia="zh-CN"/>
                      <w14:textFill>
                        <w14:solidFill>
                          <w14:schemeClr w14:val="tx1"/>
                        </w14:solidFill>
                      </w14:textFill>
                    </w:rPr>
                  </w:pPr>
                </w:p>
              </w:tc>
              <w:tc>
                <w:tcPr>
                  <w:tcW w:w="18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折算</w:t>
                  </w: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浓度(mg/m³)</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6.2</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6.6</w:t>
                  </w:r>
                </w:p>
              </w:tc>
              <w:tc>
                <w:tcPr>
                  <w:tcW w:w="8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626"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6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10"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p>
              </w:tc>
              <w:tc>
                <w:tcPr>
                  <w:tcW w:w="18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排放速率（kg/h）</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0.016</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0.014</w:t>
                  </w:r>
                </w:p>
              </w:tc>
              <w:tc>
                <w:tcPr>
                  <w:tcW w:w="8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626"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6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10"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vertAlign w:val="baseline"/>
                      <w:lang w:val="en-US" w:eastAsia="zh-CN"/>
                      <w14:textFill>
                        <w14:solidFill>
                          <w14:schemeClr w14:val="tx1"/>
                        </w14:solidFill>
                      </w14:textFill>
                    </w:rPr>
                    <w:t>二氧化硫</w:t>
                  </w:r>
                </w:p>
              </w:tc>
              <w:tc>
                <w:tcPr>
                  <w:tcW w:w="18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实测浓度(mg/m³)</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w:t>
                  </w:r>
                </w:p>
              </w:tc>
              <w:tc>
                <w:tcPr>
                  <w:tcW w:w="8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6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10"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000000" w:themeColor="text1"/>
                      <w:sz w:val="21"/>
                      <w:szCs w:val="21"/>
                      <w:vertAlign w:val="baseline"/>
                      <w:lang w:val="en-US" w:eastAsia="zh-CN"/>
                      <w14:textFill>
                        <w14:solidFill>
                          <w14:schemeClr w14:val="tx1"/>
                        </w14:solidFill>
                      </w14:textFill>
                    </w:rPr>
                  </w:pPr>
                </w:p>
              </w:tc>
              <w:tc>
                <w:tcPr>
                  <w:tcW w:w="18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折算</w:t>
                  </w: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浓度(mg/m³)</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13</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14</w:t>
                  </w:r>
                </w:p>
              </w:tc>
              <w:tc>
                <w:tcPr>
                  <w:tcW w:w="8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6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10"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p>
              </w:tc>
              <w:tc>
                <w:tcPr>
                  <w:tcW w:w="18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排放速率（kg/h）</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0.033</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0.029</w:t>
                  </w:r>
                </w:p>
              </w:tc>
              <w:tc>
                <w:tcPr>
                  <w:tcW w:w="8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626"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6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10"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vertAlign w:val="baseline"/>
                      <w:lang w:val="en-US" w:eastAsia="zh-CN"/>
                      <w14:textFill>
                        <w14:solidFill>
                          <w14:schemeClr w14:val="tx1"/>
                        </w14:solidFill>
                      </w14:textFill>
                    </w:rPr>
                    <w:t>氮氧化物</w:t>
                  </w:r>
                </w:p>
              </w:tc>
              <w:tc>
                <w:tcPr>
                  <w:tcW w:w="18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实测浓度(mg/m³)</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46</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46</w:t>
                  </w:r>
                </w:p>
              </w:tc>
              <w:tc>
                <w:tcPr>
                  <w:tcW w:w="8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6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10"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000000" w:themeColor="text1"/>
                      <w:sz w:val="21"/>
                      <w:szCs w:val="21"/>
                      <w:vertAlign w:val="baseline"/>
                      <w:lang w:val="en-US" w:eastAsia="zh-CN"/>
                      <w14:textFill>
                        <w14:solidFill>
                          <w14:schemeClr w14:val="tx1"/>
                        </w14:solidFill>
                      </w14:textFill>
                    </w:rPr>
                  </w:pPr>
                </w:p>
              </w:tc>
              <w:tc>
                <w:tcPr>
                  <w:tcW w:w="18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折算</w:t>
                  </w: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浓度(mg/m³)</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85</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90</w:t>
                  </w:r>
                </w:p>
              </w:tc>
              <w:tc>
                <w:tcPr>
                  <w:tcW w:w="8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6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10"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p>
              </w:tc>
              <w:tc>
                <w:tcPr>
                  <w:tcW w:w="18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排放速率（kg/h）</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0.22</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0.20</w:t>
                  </w:r>
                </w:p>
              </w:tc>
              <w:tc>
                <w:tcPr>
                  <w:tcW w:w="8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bl>
          <w:p>
            <w:pPr>
              <w:pStyle w:val="24"/>
              <w:widowControl w:val="0"/>
              <w:numPr>
                <w:ilvl w:val="0"/>
                <w:numId w:val="0"/>
              </w:numPr>
              <w:spacing w:after="60" w:line="360" w:lineRule="auto"/>
              <w:ind w:firstLine="480" w:firstLineChars="200"/>
              <w:jc w:val="both"/>
              <w:rPr>
                <w:rFonts w:hint="default" w:ascii="Times New Roman" w:hAnsi="Times New Roman" w:cs="Times New Roman"/>
                <w:b w:val="0"/>
                <w:bCs w:val="0"/>
                <w:color w:val="0000FF"/>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由上表7-</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监测结果可知</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项目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锅炉</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废气</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排放满足</w:t>
            </w:r>
            <w:r>
              <w:rPr>
                <w:rFonts w:hint="default" w:ascii="Times New Roman" w:hAnsi="Times New Roman" w:eastAsia="宋体" w:cs="Times New Roman"/>
                <w:color w:val="000000" w:themeColor="text1"/>
                <w:sz w:val="24"/>
                <w:szCs w:val="24"/>
                <w:shd w:val="clear" w:color="auto" w:fill="auto"/>
                <w:lang w:val="en-US" w:eastAsia="zh-CN"/>
                <w14:textFill>
                  <w14:solidFill>
                    <w14:schemeClr w14:val="tx1"/>
                  </w14:solidFill>
                </w14:textFill>
              </w:rPr>
              <w:t>《锅炉大气污染物排放标准》GB13271-2014表2的燃煤锅炉排放控制要求，即：</w:t>
            </w:r>
            <w:r>
              <w:rPr>
                <w:rFonts w:hint="eastAsia" w:ascii="Times New Roman" w:hAnsi="Times New Roman" w:eastAsia="宋体" w:cs="Times New Roman"/>
                <w:color w:val="000000" w:themeColor="text1"/>
                <w:sz w:val="24"/>
                <w:szCs w:val="24"/>
                <w:shd w:val="clear" w:color="auto" w:fill="auto"/>
                <w:lang w:val="en-US" w:eastAsia="zh-CN"/>
                <w14:textFill>
                  <w14:solidFill>
                    <w14:schemeClr w14:val="tx1"/>
                  </w14:solidFill>
                </w14:textFill>
              </w:rPr>
              <w:t>颗粒</w:t>
            </w:r>
            <w:r>
              <w:rPr>
                <w:rFonts w:hint="eastAsia" w:ascii="Times New Roman" w:hAnsi="Times New Roman" w:eastAsia="Times New Roman" w:cs="Times New Roman"/>
                <w:color w:val="000000" w:themeColor="text1"/>
                <w:sz w:val="24"/>
                <w:szCs w:val="24"/>
                <w:shd w:val="clear" w:color="auto" w:fill="auto"/>
                <w:lang w:val="en-US" w:eastAsia="zh-CN"/>
                <w14:textFill>
                  <w14:solidFill>
                    <w14:schemeClr w14:val="tx1"/>
                  </w14:solidFill>
                </w14:textFill>
              </w:rPr>
              <w:t>物</w:t>
            </w:r>
            <w:r>
              <w:rPr>
                <w:rFonts w:hint="default" w:ascii="Times New Roman" w:hAnsi="Times New Roman" w:eastAsia="Times New Roman" w:cs="Times New Roman"/>
                <w:color w:val="000000" w:themeColor="text1"/>
                <w:sz w:val="24"/>
                <w:szCs w:val="24"/>
                <w:shd w:val="clear" w:color="auto" w:fill="auto"/>
                <w:lang w:val="en-US" w:eastAsia="zh-CN"/>
                <w14:textFill>
                  <w14:solidFill>
                    <w14:schemeClr w14:val="tx1"/>
                  </w14:solidFill>
                </w14:textFill>
              </w:rPr>
              <w:t>≤</w:t>
            </w:r>
            <w:r>
              <w:rPr>
                <w:rFonts w:hint="eastAsia" w:ascii="Times New Roman" w:hAnsi="Times New Roman" w:eastAsia="Times New Roman" w:cs="Times New Roman"/>
                <w:color w:val="000000" w:themeColor="text1"/>
                <w:sz w:val="24"/>
                <w:szCs w:val="24"/>
                <w:shd w:val="clear" w:color="auto" w:fill="auto"/>
                <w:lang w:val="en-US" w:eastAsia="zh-CN"/>
                <w14:textFill>
                  <w14:solidFill>
                    <w14:schemeClr w14:val="tx1"/>
                  </w14:solidFill>
                </w14:textFill>
              </w:rPr>
              <w:t>5</w:t>
            </w:r>
            <w:r>
              <w:rPr>
                <w:rFonts w:hint="default" w:ascii="Times New Roman" w:hAnsi="Times New Roman" w:eastAsia="Times New Roman" w:cs="Times New Roman"/>
                <w:color w:val="000000" w:themeColor="text1"/>
                <w:sz w:val="24"/>
                <w:szCs w:val="24"/>
                <w:shd w:val="clear" w:color="auto" w:fill="auto"/>
                <w:lang w:val="en-US" w:eastAsia="zh-CN"/>
                <w14:textFill>
                  <w14:solidFill>
                    <w14:schemeClr w14:val="tx1"/>
                  </w14:solidFill>
                </w14:textFill>
              </w:rPr>
              <w:t>0</w:t>
            </w:r>
            <w:r>
              <w:rPr>
                <w:rFonts w:hint="default" w:ascii="Times New Roman" w:hAnsi="Times New Roman" w:eastAsia="Times New Roman" w:cs="Times New Roman"/>
                <w:color w:val="000000" w:themeColor="text1"/>
                <w:sz w:val="24"/>
                <w:szCs w:val="24"/>
                <w:shd w:val="clear" w:color="auto" w:fill="auto"/>
                <w14:textFill>
                  <w14:solidFill>
                    <w14:schemeClr w14:val="tx1"/>
                  </w14:solidFill>
                </w14:textFill>
              </w:rPr>
              <w:t>mg/m</w:t>
            </w:r>
            <w:r>
              <w:rPr>
                <w:rFonts w:hint="eastAsia" w:ascii="Times New Roman" w:hAnsi="Times New Roman" w:eastAsia="宋体" w:cs="Times New Roman"/>
                <w:color w:val="000000" w:themeColor="text1"/>
                <w:sz w:val="24"/>
                <w:szCs w:val="24"/>
                <w:shd w:val="clear" w:color="auto" w:fill="auto"/>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shd w:val="clear" w:color="auto" w:fill="auto"/>
                <w:lang w:eastAsia="zh-CN"/>
                <w14:textFill>
                  <w14:solidFill>
                    <w14:schemeClr w14:val="tx1"/>
                  </w14:solidFill>
                </w14:textFill>
              </w:rPr>
              <w:t>；</w:t>
            </w:r>
            <w:r>
              <w:rPr>
                <w:rFonts w:hint="eastAsia" w:ascii="Times New Roman" w:hAnsi="Times New Roman" w:eastAsia="宋体" w:cs="Times New Roman"/>
                <w:color w:val="000000" w:themeColor="text1"/>
                <w:sz w:val="24"/>
                <w:szCs w:val="24"/>
                <w:shd w:val="clear" w:color="auto" w:fill="auto"/>
                <w:lang w:val="en-US" w:eastAsia="zh-CN"/>
                <w14:textFill>
                  <w14:solidFill>
                    <w14:schemeClr w14:val="tx1"/>
                  </w14:solidFill>
                </w14:textFill>
              </w:rPr>
              <w:t>二氧化</w:t>
            </w:r>
            <w:r>
              <w:rPr>
                <w:rFonts w:hint="eastAsia" w:ascii="Times New Roman" w:hAnsi="Times New Roman" w:eastAsia="Times New Roman" w:cs="Times New Roman"/>
                <w:color w:val="000000" w:themeColor="text1"/>
                <w:sz w:val="24"/>
                <w:szCs w:val="24"/>
                <w:shd w:val="clear" w:color="auto" w:fill="auto"/>
                <w:lang w:val="en-US" w:eastAsia="zh-CN"/>
                <w14:textFill>
                  <w14:solidFill>
                    <w14:schemeClr w14:val="tx1"/>
                  </w14:solidFill>
                </w14:textFill>
              </w:rPr>
              <w:t>硫</w:t>
            </w:r>
            <w:r>
              <w:rPr>
                <w:rFonts w:hint="default" w:ascii="Times New Roman" w:hAnsi="Times New Roman" w:eastAsia="Times New Roman" w:cs="Times New Roman"/>
                <w:color w:val="000000" w:themeColor="text1"/>
                <w:sz w:val="24"/>
                <w:szCs w:val="24"/>
                <w:shd w:val="clear" w:color="auto" w:fill="auto"/>
                <w14:textFill>
                  <w14:solidFill>
                    <w14:schemeClr w14:val="tx1"/>
                  </w14:solidFill>
                </w14:textFill>
              </w:rPr>
              <w:t>≤</w:t>
            </w:r>
            <w:r>
              <w:rPr>
                <w:rFonts w:hint="eastAsia" w:ascii="Times New Roman" w:hAnsi="Times New Roman" w:eastAsia="Times New Roman" w:cs="Times New Roman"/>
                <w:color w:val="000000" w:themeColor="text1"/>
                <w:sz w:val="24"/>
                <w:szCs w:val="24"/>
                <w:shd w:val="clear" w:color="auto" w:fill="auto"/>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shd w:val="clear" w:color="auto" w:fill="auto"/>
                <w:lang w:val="en-US" w:eastAsia="zh-CN"/>
                <w14:textFill>
                  <w14:solidFill>
                    <w14:schemeClr w14:val="tx1"/>
                  </w14:solidFill>
                </w14:textFill>
              </w:rPr>
              <w:t>0</w:t>
            </w:r>
            <w:r>
              <w:rPr>
                <w:rFonts w:hint="default" w:ascii="Times New Roman" w:hAnsi="Times New Roman" w:eastAsia="Times New Roman" w:cs="Times New Roman"/>
                <w:color w:val="000000" w:themeColor="text1"/>
                <w:sz w:val="24"/>
                <w:szCs w:val="24"/>
                <w:shd w:val="clear" w:color="auto" w:fill="auto"/>
                <w14:textFill>
                  <w14:solidFill>
                    <w14:schemeClr w14:val="tx1"/>
                  </w14:solidFill>
                </w14:textFill>
              </w:rPr>
              <w:t>0mg/m</w:t>
            </w:r>
            <w:r>
              <w:rPr>
                <w:rFonts w:hint="eastAsia" w:ascii="Times New Roman" w:hAnsi="Times New Roman" w:eastAsia="宋体" w:cs="Times New Roman"/>
                <w:color w:val="000000" w:themeColor="text1"/>
                <w:sz w:val="24"/>
                <w:szCs w:val="24"/>
                <w:shd w:val="clear" w:color="auto" w:fill="auto"/>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shd w:val="clear" w:color="auto" w:fill="auto"/>
                <w:lang w:eastAsia="zh-CN"/>
                <w14:textFill>
                  <w14:solidFill>
                    <w14:schemeClr w14:val="tx1"/>
                  </w14:solidFill>
                </w14:textFill>
              </w:rPr>
              <w:t>；</w:t>
            </w:r>
            <w:r>
              <w:rPr>
                <w:rFonts w:hint="eastAsia" w:ascii="Times New Roman" w:hAnsi="Times New Roman" w:eastAsia="宋体" w:cs="Times New Roman"/>
                <w:color w:val="000000" w:themeColor="text1"/>
                <w:sz w:val="24"/>
                <w:szCs w:val="24"/>
                <w:shd w:val="clear" w:color="auto" w:fill="auto"/>
                <w:lang w:val="en-US" w:eastAsia="zh-CN"/>
                <w14:textFill>
                  <w14:solidFill>
                    <w14:schemeClr w14:val="tx1"/>
                  </w14:solidFill>
                </w14:textFill>
              </w:rPr>
              <w:t>氮氧化物</w:t>
            </w:r>
            <w:r>
              <w:rPr>
                <w:rFonts w:hint="default" w:ascii="Times New Roman" w:hAnsi="Times New Roman" w:eastAsia="Times New Roman" w:cs="Times New Roman"/>
                <w:color w:val="000000" w:themeColor="text1"/>
                <w:sz w:val="24"/>
                <w:szCs w:val="24"/>
                <w:shd w:val="clear" w:color="auto" w:fill="auto"/>
                <w14:textFill>
                  <w14:solidFill>
                    <w14:schemeClr w14:val="tx1"/>
                  </w14:solidFill>
                </w14:textFill>
              </w:rPr>
              <w:t>≤</w:t>
            </w:r>
            <w:r>
              <w:rPr>
                <w:rFonts w:hint="eastAsia" w:ascii="Times New Roman" w:hAnsi="Times New Roman" w:eastAsia="Times New Roman" w:cs="Times New Roman"/>
                <w:color w:val="000000" w:themeColor="text1"/>
                <w:sz w:val="24"/>
                <w:szCs w:val="24"/>
                <w:shd w:val="clear" w:color="auto" w:fill="auto"/>
                <w:lang w:val="en-US" w:eastAsia="zh-CN"/>
                <w14:textFill>
                  <w14:solidFill>
                    <w14:schemeClr w14:val="tx1"/>
                  </w14:solidFill>
                </w14:textFill>
              </w:rPr>
              <w:t>50</w:t>
            </w:r>
            <w:r>
              <w:rPr>
                <w:rFonts w:hint="default" w:ascii="Times New Roman" w:hAnsi="Times New Roman" w:eastAsia="Times New Roman" w:cs="Times New Roman"/>
                <w:color w:val="000000" w:themeColor="text1"/>
                <w:sz w:val="24"/>
                <w:szCs w:val="24"/>
                <w:shd w:val="clear" w:color="auto" w:fill="auto"/>
                <w14:textFill>
                  <w14:solidFill>
                    <w14:schemeClr w14:val="tx1"/>
                  </w14:solidFill>
                </w14:textFill>
              </w:rPr>
              <w:t>0mg/m</w:t>
            </w:r>
            <w:r>
              <w:rPr>
                <w:rFonts w:hint="eastAsia" w:ascii="Times New Roman" w:hAnsi="Times New Roman" w:eastAsia="宋体" w:cs="Times New Roman"/>
                <w:color w:val="000000" w:themeColor="text1"/>
                <w:sz w:val="24"/>
                <w:szCs w:val="24"/>
                <w:shd w:val="clear" w:color="auto" w:fill="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4"/>
                <w:szCs w:val="24"/>
                <w:shd w:val="clear" w:color="auto" w:fill="auto"/>
                <w:lang w:val="en-US" w:eastAsia="zh-CN" w:bidi="ar-SA"/>
                <w14:textFill>
                  <w14:solidFill>
                    <w14:schemeClr w14:val="tx1"/>
                  </w14:solidFill>
                </w14:textFill>
              </w:rPr>
              <w:t>。</w:t>
            </w:r>
          </w:p>
          <w:p>
            <w:pPr>
              <w:pStyle w:val="36"/>
              <w:numPr>
                <w:ilvl w:val="0"/>
                <w:numId w:val="0"/>
              </w:numPr>
              <w:spacing w:line="360" w:lineRule="auto"/>
              <w:ind w:left="440" w:leftChars="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噪声</w:t>
            </w:r>
          </w:p>
          <w:p>
            <w:pPr>
              <w:pStyle w:val="36"/>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厂界噪声监测结果见下表。</w:t>
            </w:r>
          </w:p>
          <w:p>
            <w:pPr>
              <w:pStyle w:val="36"/>
              <w:ind w:firstLine="422" w:firstLineChars="20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表7-</w:t>
            </w:r>
            <w:r>
              <w:rPr>
                <w:rFonts w:hint="eastAsia" w:ascii="Times New Roman" w:hAnsi="Times New Roman" w:cs="Times New Roman"/>
                <w:b/>
                <w:bCs/>
                <w:color w:val="000000" w:themeColor="text1"/>
                <w:sz w:val="21"/>
                <w:szCs w:val="21"/>
                <w:lang w:val="en-US" w:eastAsia="zh-CN"/>
                <w14:textFill>
                  <w14:solidFill>
                    <w14:schemeClr w14:val="tx1"/>
                  </w14:solidFill>
                </w14:textFill>
              </w:rPr>
              <w:t>3</w:t>
            </w:r>
            <w:r>
              <w:rPr>
                <w:rFonts w:ascii="Times New Roman" w:hAnsi="Times New Roman" w:cs="Times New Roman"/>
                <w:b/>
                <w:bCs/>
                <w:color w:val="000000" w:themeColor="text1"/>
                <w:sz w:val="21"/>
                <w:szCs w:val="21"/>
                <w14:textFill>
                  <w14:solidFill>
                    <w14:schemeClr w14:val="tx1"/>
                  </w14:solidFill>
                </w14:textFill>
              </w:rPr>
              <w:t xml:space="preserve"> 噪声监测结果</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926"/>
              <w:gridCol w:w="2326"/>
              <w:gridCol w:w="1161"/>
              <w:gridCol w:w="1374"/>
              <w:gridCol w:w="1271"/>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510" w:hRule="atLeast"/>
                <w:tblHeader/>
                <w:jc w:val="center"/>
              </w:trPr>
              <w:tc>
                <w:tcPr>
                  <w:tcW w:w="558" w:type="pct"/>
                  <w:shd w:val="clear" w:color="auto" w:fill="FFFFFF"/>
                  <w:noWrap w:val="0"/>
                  <w:vAlign w:val="center"/>
                </w:tcPr>
                <w:p>
                  <w:pPr>
                    <w:pStyle w:val="4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采样日期</w:t>
                  </w:r>
                </w:p>
              </w:tc>
              <w:tc>
                <w:tcPr>
                  <w:tcW w:w="1402" w:type="pct"/>
                  <w:shd w:val="clear" w:color="auto" w:fill="FFFFFF"/>
                  <w:noWrap w:val="0"/>
                  <w:vAlign w:val="center"/>
                </w:tcPr>
                <w:p>
                  <w:pPr>
                    <w:pStyle w:val="4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检测点位</w:t>
                  </w:r>
                </w:p>
              </w:tc>
              <w:tc>
                <w:tcPr>
                  <w:tcW w:w="700" w:type="pct"/>
                  <w:shd w:val="clear" w:color="auto" w:fill="FFFFFF"/>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主要声源</w:t>
                  </w:r>
                </w:p>
              </w:tc>
              <w:tc>
                <w:tcPr>
                  <w:tcW w:w="828" w:type="pct"/>
                  <w:shd w:val="clear" w:color="auto" w:fill="FFFFFF"/>
                  <w:noWrap w:val="0"/>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测量值</w:t>
                  </w:r>
                </w:p>
                <w:p>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Leq[dB(A)]</w:t>
                  </w:r>
                </w:p>
              </w:tc>
              <w:tc>
                <w:tcPr>
                  <w:tcW w:w="766"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背景值</w:t>
                  </w:r>
                  <w:r>
                    <w:rPr>
                      <w:rFonts w:hint="default" w:ascii="Times New Roman" w:hAnsi="Times New Roman" w:eastAsia="宋体" w:cs="Times New Roman"/>
                      <w:color w:val="000000" w:themeColor="text1"/>
                      <w:szCs w:val="21"/>
                      <w14:textFill>
                        <w14:solidFill>
                          <w14:schemeClr w14:val="tx1"/>
                        </w14:solidFill>
                      </w14:textFill>
                    </w:rPr>
                    <w:t>L</w:t>
                  </w:r>
                  <w:r>
                    <w:rPr>
                      <w:rFonts w:hint="default" w:ascii="Times New Roman" w:hAnsi="Times New Roman" w:eastAsia="宋体" w:cs="Times New Roman"/>
                      <w:color w:val="000000" w:themeColor="text1"/>
                      <w:szCs w:val="21"/>
                      <w:vertAlign w:val="subscript"/>
                      <w14:textFill>
                        <w14:solidFill>
                          <w14:schemeClr w14:val="tx1"/>
                        </w14:solidFill>
                      </w14:textFill>
                    </w:rPr>
                    <w:t>eq</w:t>
                  </w:r>
                  <w:r>
                    <w:rPr>
                      <w:rFonts w:hint="default" w:ascii="Times New Roman" w:hAnsi="Times New Roman" w:eastAsia="宋体" w:cs="Times New Roman"/>
                      <w:color w:val="000000" w:themeColor="text1"/>
                      <w:szCs w:val="21"/>
                      <w14:textFill>
                        <w14:solidFill>
                          <w14:schemeClr w14:val="tx1"/>
                        </w14:solidFill>
                      </w14:textFill>
                    </w:rPr>
                    <w:t>[dB(A)]</w:t>
                  </w:r>
                </w:p>
              </w:tc>
              <w:tc>
                <w:tcPr>
                  <w:tcW w:w="744" w:type="pct"/>
                  <w:shd w:val="clear" w:color="auto" w:fill="FFFFFF"/>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检测结果</w:t>
                  </w:r>
                </w:p>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L</w:t>
                  </w:r>
                  <w:r>
                    <w:rPr>
                      <w:rFonts w:hint="default" w:ascii="Times New Roman" w:hAnsi="Times New Roman" w:eastAsia="宋体" w:cs="Times New Roman"/>
                      <w:color w:val="000000" w:themeColor="text1"/>
                      <w:szCs w:val="21"/>
                      <w:vertAlign w:val="subscript"/>
                      <w14:textFill>
                        <w14:solidFill>
                          <w14:schemeClr w14:val="tx1"/>
                        </w14:solidFill>
                      </w14:textFill>
                    </w:rPr>
                    <w:t>eq</w:t>
                  </w:r>
                  <w:r>
                    <w:rPr>
                      <w:rFonts w:hint="default" w:ascii="Times New Roman" w:hAnsi="Times New Roman" w:eastAsia="宋体" w:cs="Times New Roman"/>
                      <w:color w:val="000000" w:themeColor="text1"/>
                      <w:szCs w:val="21"/>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558" w:type="pct"/>
                  <w:vMerge w:val="restart"/>
                  <w:shd w:val="clear" w:color="auto" w:fill="FFFFFF"/>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20220329</w:t>
                  </w:r>
                </w:p>
              </w:tc>
              <w:tc>
                <w:tcPr>
                  <w:tcW w:w="1402" w:type="pct"/>
                  <w:shd w:val="clear" w:color="auto" w:fill="FFFFFF"/>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东侧</w:t>
                  </w:r>
                  <w:r>
                    <w:rPr>
                      <w:rFonts w:hint="default" w:ascii="Times New Roman" w:hAnsi="Times New Roman" w:eastAsia="宋体" w:cs="Times New Roman"/>
                      <w:color w:val="000000" w:themeColor="text1"/>
                      <w:szCs w:val="21"/>
                      <w14:textFill>
                        <w14:solidFill>
                          <w14:schemeClr w14:val="tx1"/>
                        </w14:solidFill>
                      </w14:textFill>
                    </w:rPr>
                    <w:t>厂界外1米处1#</w:t>
                  </w:r>
                </w:p>
              </w:tc>
              <w:tc>
                <w:tcPr>
                  <w:tcW w:w="700" w:type="pct"/>
                  <w:shd w:val="clear" w:color="auto" w:fill="FFFFFF"/>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生产噪声</w:t>
                  </w:r>
                </w:p>
              </w:tc>
              <w:tc>
                <w:tcPr>
                  <w:tcW w:w="828"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60.3</w:t>
                  </w:r>
                </w:p>
              </w:tc>
              <w:tc>
                <w:tcPr>
                  <w:tcW w:w="766"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53.1</w:t>
                  </w:r>
                </w:p>
              </w:tc>
              <w:tc>
                <w:tcPr>
                  <w:tcW w:w="744"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558" w:type="pct"/>
                  <w:vMerge w:val="continue"/>
                  <w:shd w:val="clear" w:color="auto" w:fill="FFFFFF"/>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02" w:type="pct"/>
                  <w:shd w:val="clear" w:color="auto" w:fill="FFFFFF"/>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南侧</w:t>
                  </w:r>
                  <w:r>
                    <w:rPr>
                      <w:rFonts w:hint="default" w:ascii="Times New Roman" w:hAnsi="Times New Roman" w:eastAsia="宋体" w:cs="Times New Roman"/>
                      <w:color w:val="000000" w:themeColor="text1"/>
                      <w:szCs w:val="21"/>
                      <w14:textFill>
                        <w14:solidFill>
                          <w14:schemeClr w14:val="tx1"/>
                        </w14:solidFill>
                      </w14:textFill>
                    </w:rPr>
                    <w:t>厂界外1米处2#</w:t>
                  </w:r>
                </w:p>
              </w:tc>
              <w:tc>
                <w:tcPr>
                  <w:tcW w:w="700" w:type="pct"/>
                  <w:shd w:val="clear" w:color="auto" w:fill="FFFFFF"/>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生产噪声</w:t>
                  </w:r>
                </w:p>
              </w:tc>
              <w:tc>
                <w:tcPr>
                  <w:tcW w:w="828"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59.1</w:t>
                  </w:r>
                </w:p>
              </w:tc>
              <w:tc>
                <w:tcPr>
                  <w:tcW w:w="766"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52.1</w:t>
                  </w:r>
                </w:p>
              </w:tc>
              <w:tc>
                <w:tcPr>
                  <w:tcW w:w="744"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90" w:hRule="atLeast"/>
                <w:jc w:val="center"/>
              </w:trPr>
              <w:tc>
                <w:tcPr>
                  <w:tcW w:w="558" w:type="pct"/>
                  <w:vMerge w:val="continue"/>
                  <w:shd w:val="clear" w:color="auto" w:fill="FFFFFF"/>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02" w:type="pct"/>
                  <w:shd w:val="clear" w:color="auto" w:fill="FFFFFF"/>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西侧</w:t>
                  </w:r>
                  <w:r>
                    <w:rPr>
                      <w:rFonts w:hint="default" w:ascii="Times New Roman" w:hAnsi="Times New Roman" w:eastAsia="宋体" w:cs="Times New Roman"/>
                      <w:color w:val="000000" w:themeColor="text1"/>
                      <w:szCs w:val="21"/>
                      <w14:textFill>
                        <w14:solidFill>
                          <w14:schemeClr w14:val="tx1"/>
                        </w14:solidFill>
                      </w14:textFill>
                    </w:rPr>
                    <w:t>厂界外1米处3#</w:t>
                  </w:r>
                </w:p>
              </w:tc>
              <w:tc>
                <w:tcPr>
                  <w:tcW w:w="700" w:type="pct"/>
                  <w:shd w:val="clear" w:color="auto" w:fill="FFFFFF"/>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生产噪声</w:t>
                  </w:r>
                </w:p>
              </w:tc>
              <w:tc>
                <w:tcPr>
                  <w:tcW w:w="828"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57.0</w:t>
                  </w:r>
                </w:p>
              </w:tc>
              <w:tc>
                <w:tcPr>
                  <w:tcW w:w="766"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50.6</w:t>
                  </w:r>
                </w:p>
              </w:tc>
              <w:tc>
                <w:tcPr>
                  <w:tcW w:w="744"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90" w:hRule="atLeast"/>
                <w:jc w:val="center"/>
              </w:trPr>
              <w:tc>
                <w:tcPr>
                  <w:tcW w:w="558" w:type="pct"/>
                  <w:vMerge w:val="continue"/>
                  <w:shd w:val="clear" w:color="auto" w:fill="FFFFFF"/>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02" w:type="pct"/>
                  <w:shd w:val="clear" w:color="auto" w:fill="FFFFFF"/>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北侧</w:t>
                  </w:r>
                  <w:r>
                    <w:rPr>
                      <w:rFonts w:hint="default" w:ascii="Times New Roman" w:hAnsi="Times New Roman" w:eastAsia="宋体" w:cs="Times New Roman"/>
                      <w:color w:val="000000" w:themeColor="text1"/>
                      <w:szCs w:val="21"/>
                      <w14:textFill>
                        <w14:solidFill>
                          <w14:schemeClr w14:val="tx1"/>
                        </w14:solidFill>
                      </w14:textFill>
                    </w:rPr>
                    <w:t>厂界外1米处4#</w:t>
                  </w:r>
                </w:p>
              </w:tc>
              <w:tc>
                <w:tcPr>
                  <w:tcW w:w="700" w:type="pct"/>
                  <w:shd w:val="clear" w:color="auto" w:fill="FFFFFF"/>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生产噪声</w:t>
                  </w:r>
                </w:p>
              </w:tc>
              <w:tc>
                <w:tcPr>
                  <w:tcW w:w="828"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60.1</w:t>
                  </w:r>
                </w:p>
              </w:tc>
              <w:tc>
                <w:tcPr>
                  <w:tcW w:w="766"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52.8</w:t>
                  </w:r>
                </w:p>
              </w:tc>
              <w:tc>
                <w:tcPr>
                  <w:tcW w:w="744"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90" w:hRule="atLeast"/>
                <w:jc w:val="center"/>
              </w:trPr>
              <w:tc>
                <w:tcPr>
                  <w:tcW w:w="558" w:type="pct"/>
                  <w:vMerge w:val="restart"/>
                  <w:shd w:val="clear" w:color="auto" w:fill="FFFFFF"/>
                  <w:noWrap w:val="0"/>
                  <w:vAlign w:val="center"/>
                </w:tcPr>
                <w:p>
                  <w:pPr>
                    <w:tabs>
                      <w:tab w:val="left" w:pos="0"/>
                    </w:tabs>
                    <w:adjustRightInd w:val="0"/>
                    <w:snapToGrid w:val="0"/>
                    <w:spacing w:line="40" w:lineRule="atLeas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20220330</w:t>
                  </w:r>
                </w:p>
              </w:tc>
              <w:tc>
                <w:tcPr>
                  <w:tcW w:w="1402" w:type="pct"/>
                  <w:shd w:val="clear" w:color="auto" w:fill="FFFFFF"/>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东侧</w:t>
                  </w:r>
                  <w:r>
                    <w:rPr>
                      <w:rFonts w:hint="default" w:ascii="Times New Roman" w:hAnsi="Times New Roman" w:eastAsia="宋体" w:cs="Times New Roman"/>
                      <w:color w:val="000000" w:themeColor="text1"/>
                      <w:szCs w:val="21"/>
                      <w14:textFill>
                        <w14:solidFill>
                          <w14:schemeClr w14:val="tx1"/>
                        </w14:solidFill>
                      </w14:textFill>
                    </w:rPr>
                    <w:t>厂界外1米处1#</w:t>
                  </w:r>
                </w:p>
              </w:tc>
              <w:tc>
                <w:tcPr>
                  <w:tcW w:w="700" w:type="pct"/>
                  <w:shd w:val="clear" w:color="auto" w:fill="FFFFFF"/>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生产噪声</w:t>
                  </w:r>
                </w:p>
              </w:tc>
              <w:tc>
                <w:tcPr>
                  <w:tcW w:w="828"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60.4</w:t>
                  </w:r>
                </w:p>
              </w:tc>
              <w:tc>
                <w:tcPr>
                  <w:tcW w:w="766"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51.9</w:t>
                  </w:r>
                </w:p>
              </w:tc>
              <w:tc>
                <w:tcPr>
                  <w:tcW w:w="744"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58" w:type="pct"/>
                  <w:vMerge w:val="continue"/>
                  <w:shd w:val="clear" w:color="auto" w:fill="FFFFFF"/>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02" w:type="pct"/>
                  <w:shd w:val="clear" w:color="auto" w:fill="FFFFFF"/>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南侧</w:t>
                  </w:r>
                  <w:r>
                    <w:rPr>
                      <w:rFonts w:hint="default" w:ascii="Times New Roman" w:hAnsi="Times New Roman" w:eastAsia="宋体" w:cs="Times New Roman"/>
                      <w:color w:val="000000" w:themeColor="text1"/>
                      <w:szCs w:val="21"/>
                      <w14:textFill>
                        <w14:solidFill>
                          <w14:schemeClr w14:val="tx1"/>
                        </w14:solidFill>
                      </w14:textFill>
                    </w:rPr>
                    <w:t>厂界外1米处2#</w:t>
                  </w:r>
                </w:p>
              </w:tc>
              <w:tc>
                <w:tcPr>
                  <w:tcW w:w="700" w:type="pct"/>
                  <w:shd w:val="clear" w:color="auto" w:fill="FFFFFF"/>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生产噪声</w:t>
                  </w:r>
                </w:p>
              </w:tc>
              <w:tc>
                <w:tcPr>
                  <w:tcW w:w="828"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59.2</w:t>
                  </w:r>
                </w:p>
              </w:tc>
              <w:tc>
                <w:tcPr>
                  <w:tcW w:w="766"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50.7</w:t>
                  </w:r>
                </w:p>
              </w:tc>
              <w:tc>
                <w:tcPr>
                  <w:tcW w:w="744"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58" w:type="pct"/>
                  <w:vMerge w:val="continue"/>
                  <w:shd w:val="clear" w:color="auto" w:fill="FFFFFF"/>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02" w:type="pct"/>
                  <w:shd w:val="clear" w:color="auto" w:fill="FFFFFF"/>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西侧</w:t>
                  </w:r>
                  <w:r>
                    <w:rPr>
                      <w:rFonts w:hint="default" w:ascii="Times New Roman" w:hAnsi="Times New Roman" w:eastAsia="宋体" w:cs="Times New Roman"/>
                      <w:color w:val="000000" w:themeColor="text1"/>
                      <w:szCs w:val="21"/>
                      <w14:textFill>
                        <w14:solidFill>
                          <w14:schemeClr w14:val="tx1"/>
                        </w14:solidFill>
                      </w14:textFill>
                    </w:rPr>
                    <w:t>厂界外1米处3#</w:t>
                  </w:r>
                </w:p>
              </w:tc>
              <w:tc>
                <w:tcPr>
                  <w:tcW w:w="700" w:type="pct"/>
                  <w:shd w:val="clear" w:color="auto" w:fill="FFFFFF"/>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生产噪声</w:t>
                  </w:r>
                </w:p>
              </w:tc>
              <w:tc>
                <w:tcPr>
                  <w:tcW w:w="828"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58.3</w:t>
                  </w:r>
                </w:p>
              </w:tc>
              <w:tc>
                <w:tcPr>
                  <w:tcW w:w="766"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51.1</w:t>
                  </w:r>
                </w:p>
              </w:tc>
              <w:tc>
                <w:tcPr>
                  <w:tcW w:w="744"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58" w:type="pct"/>
                  <w:vMerge w:val="continue"/>
                  <w:shd w:val="clear" w:color="auto" w:fill="FFFFFF"/>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02" w:type="pct"/>
                  <w:shd w:val="clear" w:color="auto" w:fill="FFFFFF"/>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北侧</w:t>
                  </w:r>
                  <w:r>
                    <w:rPr>
                      <w:rFonts w:hint="default" w:ascii="Times New Roman" w:hAnsi="Times New Roman" w:eastAsia="宋体" w:cs="Times New Roman"/>
                      <w:color w:val="000000" w:themeColor="text1"/>
                      <w:szCs w:val="21"/>
                      <w14:textFill>
                        <w14:solidFill>
                          <w14:schemeClr w14:val="tx1"/>
                        </w14:solidFill>
                      </w14:textFill>
                    </w:rPr>
                    <w:t>厂界外1米处4#</w:t>
                  </w:r>
                </w:p>
              </w:tc>
              <w:tc>
                <w:tcPr>
                  <w:tcW w:w="700" w:type="pct"/>
                  <w:shd w:val="clear" w:color="auto" w:fill="FFFFFF"/>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生产噪声</w:t>
                  </w:r>
                </w:p>
              </w:tc>
              <w:tc>
                <w:tcPr>
                  <w:tcW w:w="828"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59.2</w:t>
                  </w:r>
                </w:p>
              </w:tc>
              <w:tc>
                <w:tcPr>
                  <w:tcW w:w="766"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51.8</w:t>
                  </w:r>
                </w:p>
              </w:tc>
              <w:tc>
                <w:tcPr>
                  <w:tcW w:w="744" w:type="pct"/>
                  <w:shd w:val="clear" w:color="auto" w:fill="FFFFFF"/>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58</w:t>
                  </w:r>
                </w:p>
              </w:tc>
            </w:tr>
          </w:tbl>
          <w:p>
            <w:pPr>
              <w:pStyle w:val="36"/>
              <w:spacing w:line="360" w:lineRule="auto"/>
              <w:ind w:firstLine="480" w:firstLineChars="2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由7-</w:t>
            </w:r>
            <w:r>
              <w:rPr>
                <w:rFonts w:hint="eastAsia" w:ascii="Times New Roman" w:hAnsi="Times New Roman"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噪声监测结果可知，本项目噪声排放符合</w:t>
            </w:r>
            <w:r>
              <w:rPr>
                <w:rFonts w:hint="eastAsia" w:ascii="Times New Roman" w:hAnsi="Times New Roman" w:cs="Times New Roman"/>
                <w:color w:val="000000" w:themeColor="text1"/>
                <w14:textFill>
                  <w14:solidFill>
                    <w14:schemeClr w14:val="tx1"/>
                  </w14:solidFill>
                </w14:textFill>
              </w:rPr>
              <w:t>《工业企业厂界环境噪声排放标准》（GB12348-2008</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中的</w:t>
            </w:r>
            <w:r>
              <w:rPr>
                <w:rFonts w:hint="eastAsia" w:ascii="Times New Roman" w:hAnsi="Times New Roman"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类</w:t>
            </w:r>
            <w:r>
              <w:rPr>
                <w:rFonts w:hint="eastAsia" w:ascii="Times New Roman" w:hAnsi="Times New Roman" w:eastAsia="宋体" w:cs="Times New Roman"/>
                <w:color w:val="000000" w:themeColor="text1"/>
                <w14:textFill>
                  <w14:solidFill>
                    <w14:schemeClr w14:val="tx1"/>
                  </w14:solidFill>
                </w14:textFill>
              </w:rPr>
              <w:t>标准，即：</w:t>
            </w:r>
            <w:r>
              <w:rPr>
                <w:rFonts w:hint="eastAsia" w:ascii="Times New Roman" w:hAnsi="Times New Roman" w:eastAsia="宋体" w:cs="Times New Roman"/>
                <w:color w:val="000000" w:themeColor="text1"/>
                <w:lang w:val="en-US" w:eastAsia="zh-CN"/>
                <w14:textFill>
                  <w14:solidFill>
                    <w14:schemeClr w14:val="tx1"/>
                  </w14:solidFill>
                </w14:textFill>
              </w:rPr>
              <w:t>3类昼间：65dB（A），夜间55dB（A）</w:t>
            </w:r>
            <w:r>
              <w:rPr>
                <w:rFonts w:ascii="Times New Roman" w:hAnsi="Times New Roman" w:eastAsia="宋体" w:cs="Times New Roman"/>
                <w:color w:val="000000" w:themeColor="text1"/>
                <w14:textFill>
                  <w14:solidFill>
                    <w14:schemeClr w14:val="tx1"/>
                  </w14:solidFill>
                </w14:textFill>
              </w:rPr>
              <w:t>。</w:t>
            </w:r>
          </w:p>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Chars="0" w:firstLine="480" w:firstLineChars="200"/>
              <w:jc w:val="both"/>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lang w:eastAsia="zh-CN"/>
              </w:rPr>
              <w:t>）</w:t>
            </w:r>
            <w:r>
              <w:rPr>
                <w:rFonts w:hint="default" w:ascii="Times New Roman" w:hAnsi="Times New Roman" w:eastAsia="宋体" w:cs="Times New Roman"/>
                <w:b w:val="0"/>
                <w:bCs w:val="0"/>
                <w:color w:val="auto"/>
                <w:sz w:val="24"/>
                <w:szCs w:val="24"/>
                <w:lang w:val="en-US" w:eastAsia="zh-CN"/>
              </w:rPr>
              <w:t>污染物排放总量核算</w:t>
            </w:r>
          </w:p>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Chars="0" w:firstLine="422" w:firstLineChars="20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表7-</w:t>
            </w:r>
            <w:r>
              <w:rPr>
                <w:rFonts w:hint="eastAsia" w:ascii="Times New Roman" w:hAnsi="Times New Roman"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废气污染物排放总量</w:t>
            </w:r>
          </w:p>
          <w:tbl>
            <w:tblPr>
              <w:tblStyle w:val="26"/>
              <w:tblW w:w="8254" w:type="dxa"/>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52"/>
              <w:gridCol w:w="1395"/>
              <w:gridCol w:w="3090"/>
              <w:gridCol w:w="196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277" w:hRule="atLeast"/>
              </w:trPr>
              <w:tc>
                <w:tcPr>
                  <w:tcW w:w="650" w:type="dxa"/>
                  <w:vMerge w:val="restar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排放情况</w:t>
                  </w:r>
                </w:p>
              </w:tc>
              <w:tc>
                <w:tcPr>
                  <w:tcW w:w="115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w:t>
                  </w:r>
                </w:p>
              </w:tc>
              <w:tc>
                <w:tcPr>
                  <w:tcW w:w="1395"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设施名称</w:t>
                  </w:r>
                </w:p>
              </w:tc>
              <w:tc>
                <w:tcPr>
                  <w:tcW w:w="3090"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标杆流量：m³/h</w:t>
                  </w:r>
                </w:p>
              </w:tc>
              <w:tc>
                <w:tcPr>
                  <w:tcW w:w="1967"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4465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50"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52" w:type="dxa"/>
                  <w:vMerge w:val="restar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二氧化硫</w:t>
                  </w:r>
                </w:p>
              </w:tc>
              <w:tc>
                <w:tcPr>
                  <w:tcW w:w="1395" w:type="dxa"/>
                  <w:vMerge w:val="restar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袋式除尘器+碱液喷淋</w:t>
                  </w:r>
                </w:p>
              </w:tc>
              <w:tc>
                <w:tcPr>
                  <w:tcW w:w="3090"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排放浓度（</w:t>
                  </w:r>
                  <w:r>
                    <w:rPr>
                      <w:rFonts w:hint="default" w:ascii="Times New Roman" w:hAnsi="Times New Roman" w:eastAsia="宋体" w:cs="Times New Roman"/>
                      <w:b w:val="0"/>
                      <w:bCs w:val="0"/>
                      <w:color w:val="auto"/>
                      <w:szCs w:val="21"/>
                      <w:lang w:val="en-US" w:eastAsia="zh-CN"/>
                    </w:rPr>
                    <w:t>mg</w:t>
                  </w:r>
                  <w:r>
                    <w:rPr>
                      <w:rFonts w:hint="default" w:ascii="Times New Roman" w:hAnsi="Times New Roman" w:eastAsia="宋体" w:cs="Times New Roman"/>
                      <w:b w:val="0"/>
                      <w:bCs w:val="0"/>
                      <w:color w:val="auto"/>
                      <w:szCs w:val="21"/>
                    </w:rPr>
                    <w:t>/m</w:t>
                  </w:r>
                  <w:r>
                    <w:rPr>
                      <w:rFonts w:hint="default" w:ascii="Times New Roman" w:hAnsi="Times New Roman" w:eastAsia="宋体" w:cs="Times New Roman"/>
                      <w:b w:val="0"/>
                      <w:bCs w:val="0"/>
                      <w:color w:val="auto"/>
                      <w:szCs w:val="21"/>
                      <w:vertAlign w:val="superscript"/>
                    </w:rPr>
                    <w:t>3</w:t>
                  </w:r>
                  <w:r>
                    <w:rPr>
                      <w:rFonts w:hint="default" w:ascii="Times New Roman" w:hAnsi="Times New Roman" w:eastAsia="宋体" w:cs="Times New Roman"/>
                      <w:color w:val="auto"/>
                      <w:sz w:val="21"/>
                      <w:szCs w:val="21"/>
                      <w:vertAlign w:val="baseline"/>
                      <w:lang w:val="en-US" w:eastAsia="zh-CN"/>
                    </w:rPr>
                    <w:t>）</w:t>
                  </w:r>
                </w:p>
              </w:tc>
              <w:tc>
                <w:tcPr>
                  <w:tcW w:w="1967"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259" w:hRule="atLeast"/>
              </w:trPr>
              <w:tc>
                <w:tcPr>
                  <w:tcW w:w="650"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52"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395"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3090"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排放速率（</w:t>
                  </w:r>
                  <w:r>
                    <w:rPr>
                      <w:rFonts w:hint="default" w:ascii="Times New Roman" w:hAnsi="Times New Roman" w:eastAsia="宋体" w:cs="Times New Roman"/>
                      <w:b w:val="0"/>
                      <w:bCs w:val="0"/>
                      <w:color w:val="auto"/>
                      <w:szCs w:val="21"/>
                    </w:rPr>
                    <w:t>kg/h</w:t>
                  </w:r>
                  <w:r>
                    <w:rPr>
                      <w:rFonts w:hint="default" w:ascii="Times New Roman" w:hAnsi="Times New Roman" w:eastAsia="宋体" w:cs="Times New Roman"/>
                      <w:color w:val="auto"/>
                      <w:sz w:val="21"/>
                      <w:szCs w:val="21"/>
                      <w:vertAlign w:val="baseline"/>
                      <w:lang w:val="en-US" w:eastAsia="zh-CN"/>
                    </w:rPr>
                    <w:t>）</w:t>
                  </w:r>
                </w:p>
              </w:tc>
              <w:tc>
                <w:tcPr>
                  <w:tcW w:w="1967"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0.031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259" w:hRule="atLeast"/>
              </w:trPr>
              <w:tc>
                <w:tcPr>
                  <w:tcW w:w="650"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52"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395"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3090"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废气排放量（万标立方米）</w:t>
                  </w:r>
                </w:p>
              </w:tc>
              <w:tc>
                <w:tcPr>
                  <w:tcW w:w="1967"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1071.6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50"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52"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395"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3090"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排放总量（t/a）</w:t>
                  </w:r>
                </w:p>
              </w:tc>
              <w:tc>
                <w:tcPr>
                  <w:tcW w:w="1967"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0.0744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50"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52" w:type="dxa"/>
                  <w:vMerge w:val="restar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氮氧化物</w:t>
                  </w:r>
                </w:p>
              </w:tc>
              <w:tc>
                <w:tcPr>
                  <w:tcW w:w="1395"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3090"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排放浓度（</w:t>
                  </w:r>
                  <w:r>
                    <w:rPr>
                      <w:rFonts w:hint="default" w:ascii="Times New Roman" w:hAnsi="Times New Roman" w:eastAsia="宋体" w:cs="Times New Roman"/>
                      <w:b w:val="0"/>
                      <w:bCs w:val="0"/>
                      <w:color w:val="auto"/>
                      <w:szCs w:val="21"/>
                      <w:lang w:val="en-US" w:eastAsia="zh-CN"/>
                    </w:rPr>
                    <w:t>mg</w:t>
                  </w:r>
                  <w:r>
                    <w:rPr>
                      <w:rFonts w:hint="default" w:ascii="Times New Roman" w:hAnsi="Times New Roman" w:eastAsia="宋体" w:cs="Times New Roman"/>
                      <w:b w:val="0"/>
                      <w:bCs w:val="0"/>
                      <w:color w:val="auto"/>
                      <w:szCs w:val="21"/>
                    </w:rPr>
                    <w:t>/m</w:t>
                  </w:r>
                  <w:r>
                    <w:rPr>
                      <w:rFonts w:hint="default" w:ascii="Times New Roman" w:hAnsi="Times New Roman" w:eastAsia="宋体" w:cs="Times New Roman"/>
                      <w:b w:val="0"/>
                      <w:bCs w:val="0"/>
                      <w:color w:val="auto"/>
                      <w:szCs w:val="21"/>
                      <w:vertAlign w:val="superscript"/>
                    </w:rPr>
                    <w:t>3</w:t>
                  </w:r>
                  <w:r>
                    <w:rPr>
                      <w:rFonts w:hint="default" w:ascii="Times New Roman" w:hAnsi="Times New Roman" w:eastAsia="宋体" w:cs="Times New Roman"/>
                      <w:color w:val="auto"/>
                      <w:sz w:val="21"/>
                      <w:szCs w:val="21"/>
                      <w:vertAlign w:val="baseline"/>
                      <w:lang w:val="en-US" w:eastAsia="zh-CN"/>
                    </w:rPr>
                    <w:t>）</w:t>
                  </w:r>
                </w:p>
              </w:tc>
              <w:tc>
                <w:tcPr>
                  <w:tcW w:w="1967"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87.5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50"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52"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395"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3090"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排放速率（</w:t>
                  </w:r>
                  <w:r>
                    <w:rPr>
                      <w:rFonts w:hint="default" w:ascii="Times New Roman" w:hAnsi="Times New Roman" w:eastAsia="宋体" w:cs="Times New Roman"/>
                      <w:b w:val="0"/>
                      <w:bCs w:val="0"/>
                      <w:color w:val="auto"/>
                      <w:szCs w:val="21"/>
                    </w:rPr>
                    <w:t>kg/h</w:t>
                  </w:r>
                  <w:r>
                    <w:rPr>
                      <w:rFonts w:hint="default" w:ascii="Times New Roman" w:hAnsi="Times New Roman" w:eastAsia="宋体" w:cs="Times New Roman"/>
                      <w:color w:val="auto"/>
                      <w:sz w:val="21"/>
                      <w:szCs w:val="21"/>
                      <w:vertAlign w:val="baseline"/>
                      <w:lang w:val="en-US" w:eastAsia="zh-CN"/>
                    </w:rPr>
                    <w:t>）</w:t>
                  </w:r>
                </w:p>
              </w:tc>
              <w:tc>
                <w:tcPr>
                  <w:tcW w:w="1967"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0.21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259" w:hRule="atLeast"/>
              </w:trPr>
              <w:tc>
                <w:tcPr>
                  <w:tcW w:w="650"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52"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395"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3090"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废气排放量（万标立方米）</w:t>
                  </w:r>
                </w:p>
              </w:tc>
              <w:tc>
                <w:tcPr>
                  <w:tcW w:w="1967"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1071.6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259" w:hRule="atLeast"/>
              </w:trPr>
              <w:tc>
                <w:tcPr>
                  <w:tcW w:w="650"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52"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395"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3090"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排放总量（t/a）</w:t>
                  </w:r>
                </w:p>
              </w:tc>
              <w:tc>
                <w:tcPr>
                  <w:tcW w:w="1967"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0.504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8254" w:type="dxa"/>
                  <w:gridSpan w:val="5"/>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项目年运行时间300天，每天8小时</w:t>
                  </w:r>
                </w:p>
              </w:tc>
            </w:tr>
          </w:tbl>
          <w:p>
            <w:pPr>
              <w:pStyle w:val="36"/>
              <w:spacing w:line="360" w:lineRule="auto"/>
              <w:ind w:firstLine="480" w:firstLineChars="20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auto"/>
                <w:lang w:val="en-US" w:eastAsia="zh-CN"/>
              </w:rPr>
              <w:t>由表7-</w:t>
            </w:r>
            <w:r>
              <w:rPr>
                <w:rFonts w:hint="eastAsia" w:ascii="Times New Roman" w:hAnsi="Times New Roman" w:cs="Times New Roman"/>
                <w:color w:val="auto"/>
                <w:lang w:val="en-US" w:eastAsia="zh-CN"/>
              </w:rPr>
              <w:t>5</w:t>
            </w:r>
            <w:r>
              <w:rPr>
                <w:rFonts w:hint="default" w:ascii="Times New Roman" w:hAnsi="Times New Roman" w:eastAsia="宋体" w:cs="Times New Roman"/>
                <w:color w:val="auto"/>
                <w:lang w:val="en-US" w:eastAsia="zh-CN"/>
              </w:rPr>
              <w:t>可知，</w:t>
            </w:r>
            <w:r>
              <w:rPr>
                <w:rFonts w:hint="eastAsia" w:ascii="Times New Roman" w:hAnsi="Times New Roman" w:cs="Times New Roman"/>
                <w:color w:val="auto"/>
                <w:lang w:val="en-US" w:eastAsia="zh-CN"/>
              </w:rPr>
              <w:t>二氧化硫、氮氧化物</w:t>
            </w:r>
            <w:r>
              <w:rPr>
                <w:rFonts w:hint="default" w:ascii="Times New Roman" w:hAnsi="Times New Roman" w:eastAsia="宋体" w:cs="Times New Roman"/>
                <w:color w:val="auto"/>
                <w:lang w:val="en-US" w:eastAsia="zh-CN"/>
              </w:rPr>
              <w:t>废气排放量为</w:t>
            </w:r>
            <w:r>
              <w:rPr>
                <w:rFonts w:hint="eastAsia" w:ascii="Times New Roman" w:hAnsi="Times New Roman" w:cs="Times New Roman"/>
                <w:color w:val="auto"/>
                <w:lang w:val="en-US" w:eastAsia="zh-CN"/>
              </w:rPr>
              <w:t>1071.6</w:t>
            </w:r>
            <w:r>
              <w:rPr>
                <w:rFonts w:hint="default" w:ascii="Times New Roman" w:hAnsi="Times New Roman" w:eastAsia="宋体" w:cs="Times New Roman"/>
                <w:color w:val="auto"/>
                <w:lang w:val="en-US" w:eastAsia="zh-CN"/>
              </w:rPr>
              <w:t>万标立方米，</w:t>
            </w:r>
            <w:r>
              <w:rPr>
                <w:rFonts w:hint="eastAsia" w:ascii="Times New Roman" w:hAnsi="Times New Roman" w:cs="Times New Roman"/>
                <w:color w:val="auto"/>
                <w:lang w:val="en-US" w:eastAsia="zh-CN"/>
              </w:rPr>
              <w:t>二氧化硫</w:t>
            </w:r>
            <w:r>
              <w:rPr>
                <w:rFonts w:hint="default" w:ascii="Times New Roman" w:hAnsi="Times New Roman" w:eastAsia="宋体" w:cs="Times New Roman"/>
                <w:color w:val="auto"/>
                <w:lang w:val="en-US" w:eastAsia="zh-CN"/>
              </w:rPr>
              <w:t>排放总量为</w:t>
            </w:r>
            <w:r>
              <w:rPr>
                <w:rFonts w:hint="eastAsia" w:ascii="Times New Roman" w:hAnsi="Times New Roman" w:cs="Times New Roman"/>
                <w:color w:val="auto"/>
                <w:lang w:val="en-US" w:eastAsia="zh-CN"/>
              </w:rPr>
              <w:t>0.0744</w:t>
            </w:r>
            <w:r>
              <w:rPr>
                <w:rFonts w:hint="default" w:ascii="Times New Roman" w:hAnsi="Times New Roman" w:eastAsia="宋体" w:cs="Times New Roman"/>
                <w:color w:val="auto"/>
                <w:lang w:val="en-US" w:eastAsia="zh-CN"/>
              </w:rPr>
              <w:t>t/a，</w:t>
            </w:r>
            <w:r>
              <w:rPr>
                <w:rFonts w:hint="eastAsia" w:ascii="Times New Roman" w:hAnsi="Times New Roman" w:cs="Times New Roman"/>
                <w:color w:val="auto"/>
                <w:lang w:val="en-US" w:eastAsia="zh-CN"/>
              </w:rPr>
              <w:t>氮氧化物</w:t>
            </w:r>
            <w:r>
              <w:rPr>
                <w:rFonts w:hint="default" w:ascii="Times New Roman" w:hAnsi="Times New Roman" w:eastAsia="宋体" w:cs="Times New Roman"/>
                <w:color w:val="auto"/>
                <w:lang w:val="en-US" w:eastAsia="zh-CN"/>
              </w:rPr>
              <w:t>排放总量为</w:t>
            </w:r>
            <w:r>
              <w:rPr>
                <w:rFonts w:hint="eastAsia" w:ascii="Times New Roman" w:hAnsi="Times New Roman" w:cs="Times New Roman"/>
                <w:color w:val="auto"/>
                <w:lang w:val="en-US" w:eastAsia="zh-CN"/>
              </w:rPr>
              <w:t>0.504t</w:t>
            </w:r>
            <w:r>
              <w:rPr>
                <w:rFonts w:hint="default" w:ascii="Times New Roman" w:hAnsi="Times New Roman" w:eastAsia="宋体" w:cs="Times New Roman"/>
                <w:color w:val="auto"/>
                <w:lang w:val="en-US" w:eastAsia="zh-CN"/>
              </w:rPr>
              <w:t>/a。</w:t>
            </w:r>
          </w:p>
        </w:tc>
      </w:tr>
    </w:tbl>
    <w:p>
      <w:pPr>
        <w:pStyle w:val="3"/>
        <w:rPr>
          <w:rFonts w:ascii="Times New Roman" w:hAnsi="Times New Roman" w:eastAsia="宋体" w:cs="Times New Roman"/>
          <w:color w:val="0000FF"/>
        </w:rPr>
        <w:sectPr>
          <w:pgSz w:w="11906" w:h="16838"/>
          <w:pgMar w:top="1440" w:right="1440" w:bottom="1440" w:left="1701" w:header="709" w:footer="709" w:gutter="0"/>
          <w:pgBorders>
            <w:top w:val="none" w:sz="0" w:space="0"/>
            <w:left w:val="none" w:sz="0" w:space="0"/>
            <w:bottom w:val="none" w:sz="0" w:space="0"/>
            <w:right w:val="none" w:sz="0" w:space="0"/>
          </w:pgBorders>
          <w:cols w:space="0" w:num="1"/>
          <w:docGrid w:linePitch="360" w:charSpace="0"/>
        </w:sect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表八</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6" w:hRule="atLeast"/>
        </w:trPr>
        <w:tc>
          <w:tcPr>
            <w:tcW w:w="8522" w:type="dxa"/>
          </w:tcPr>
          <w:p>
            <w:pPr>
              <w:widowControl w:val="0"/>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验收监测结论：</w:t>
            </w:r>
          </w:p>
          <w:p>
            <w:pPr>
              <w:pStyle w:val="36"/>
              <w:spacing w:line="360" w:lineRule="auto"/>
              <w:ind w:firstLine="482" w:firstLineChars="200"/>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本次验收针对</w:t>
            </w:r>
            <w:r>
              <w:rPr>
                <w:rFonts w:hint="eastAsia" w:ascii="Times New Roman" w:hAnsi="Times New Roman" w:cs="Times New Roman"/>
                <w:b/>
                <w:bCs/>
                <w:color w:val="000000" w:themeColor="text1"/>
                <w:lang w:val="en-US" w:eastAsia="zh-CN"/>
                <w14:textFill>
                  <w14:solidFill>
                    <w14:schemeClr w14:val="tx1"/>
                  </w14:solidFill>
                </w14:textFill>
              </w:rPr>
              <w:t>福建乐华食品有限公司新增生物质颗粒燃料锅炉项目</w:t>
            </w:r>
            <w:r>
              <w:rPr>
                <w:rFonts w:ascii="Times New Roman" w:hAnsi="Times New Roman" w:cs="Times New Roman"/>
                <w:b/>
                <w:bCs/>
                <w:color w:val="000000" w:themeColor="text1"/>
                <w14:textFill>
                  <w14:solidFill>
                    <w14:schemeClr w14:val="tx1"/>
                  </w14:solidFill>
                </w14:textFill>
              </w:rPr>
              <w:t>进行</w:t>
            </w:r>
            <w:r>
              <w:rPr>
                <w:rFonts w:hint="eastAsia" w:ascii="Times New Roman" w:hAnsi="Times New Roman" w:cs="Times New Roman"/>
                <w:b/>
                <w:bCs/>
                <w:color w:val="000000" w:themeColor="text1"/>
                <w:lang w:val="en-US" w:eastAsia="zh-CN"/>
                <w14:textFill>
                  <w14:solidFill>
                    <w14:schemeClr w14:val="tx1"/>
                  </w14:solidFill>
                </w14:textFill>
              </w:rPr>
              <w:t>整体验收</w:t>
            </w:r>
            <w:r>
              <w:rPr>
                <w:rFonts w:ascii="Times New Roman" w:hAnsi="Times New Roman" w:cs="Times New Roman"/>
                <w:b/>
                <w:bCs/>
                <w:color w:val="000000" w:themeColor="text1"/>
                <w14:textFill>
                  <w14:solidFill>
                    <w14:schemeClr w14:val="tx1"/>
                  </w14:solidFill>
                </w14:textFill>
              </w:rPr>
              <w:t>。验收期间本项目的性质、规模、地点、生产工艺等均未发生重大改变。故本次验收结论如下：</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bookmarkStart w:id="5" w:name="_Toc9522"/>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 废水</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环保竣工验收</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监测期间，</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由于</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t>无需新增员工，</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不新增生活废水</w:t>
            </w:r>
            <w:r>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t>，生产用水主要为锅炉用水及锅炉脱硫除尘用水，</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生产废水经沉淀后循环使用不外排，</w:t>
            </w:r>
            <w:r>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故本次验收不对废水进行监测。</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shd w:val="clear" w:color="auto" w:fill="auto"/>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shd w:val="clear" w:color="auto" w:fill="auto"/>
                <w:lang w:val="en-US" w:eastAsia="zh-CN"/>
                <w14:textFill>
                  <w14:solidFill>
                    <w14:schemeClr w14:val="tx1"/>
                  </w14:solidFill>
                </w14:textFill>
              </w:rPr>
              <w:t>（2）废气</w:t>
            </w:r>
          </w:p>
          <w:p>
            <w:pPr>
              <w:pStyle w:val="2"/>
              <w:widowControl w:val="0"/>
              <w:numPr>
                <w:ilvl w:val="0"/>
                <w:numId w:val="0"/>
              </w:numPr>
              <w:spacing w:line="360" w:lineRule="auto"/>
              <w:ind w:firstLine="480" w:firstLineChars="200"/>
              <w:jc w:val="both"/>
              <w:rPr>
                <w:rFonts w:hint="default" w:ascii="Times New Roman" w:hAnsi="Times New Roman" w:cs="Times New Roman"/>
                <w:color w:val="000000" w:themeColor="text1"/>
                <w:spacing w:val="0"/>
                <w:sz w:val="24"/>
                <w:szCs w:val="24"/>
                <w:shd w:val="clear" w:color="auto" w:fill="auto"/>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shd w:val="clear" w:color="auto" w:fill="auto"/>
                <w14:textFill>
                  <w14:solidFill>
                    <w14:schemeClr w14:val="tx1"/>
                  </w14:solidFill>
                </w14:textFill>
              </w:rPr>
              <w:t>环保竣工验收</w:t>
            </w:r>
            <w:r>
              <w:rPr>
                <w:rFonts w:hint="default" w:ascii="Times New Roman" w:hAnsi="Times New Roman" w:eastAsia="宋体" w:cs="Times New Roman"/>
                <w:bCs/>
                <w:color w:val="000000" w:themeColor="text1"/>
                <w:sz w:val="24"/>
                <w:szCs w:val="24"/>
                <w:shd w:val="clear" w:color="auto" w:fill="auto"/>
                <w:lang w:val="en-US" w:eastAsia="zh-CN"/>
                <w14:textFill>
                  <w14:solidFill>
                    <w14:schemeClr w14:val="tx1"/>
                  </w14:solidFill>
                </w14:textFill>
              </w:rPr>
              <w:t>监测期间</w:t>
            </w:r>
            <w:r>
              <w:rPr>
                <w:rFonts w:hint="eastAsia" w:ascii="Times New Roman" w:hAnsi="Times New Roman" w:eastAsia="宋体" w:cs="Times New Roman"/>
                <w:bCs/>
                <w:color w:val="000000" w:themeColor="text1"/>
                <w:sz w:val="24"/>
                <w:szCs w:val="24"/>
                <w:shd w:val="clear" w:color="auto" w:fill="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shd w:val="clear" w:color="auto" w:fill="auto"/>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sz w:val="24"/>
                <w:szCs w:val="24"/>
                <w:shd w:val="clear" w:color="auto" w:fill="auto"/>
                <w:lang w:eastAsia="zh-CN"/>
                <w14:textFill>
                  <w14:solidFill>
                    <w14:schemeClr w14:val="tx1"/>
                  </w14:solidFill>
                </w14:textFill>
              </w:rPr>
              <w:t>项目</w:t>
            </w:r>
            <w:r>
              <w:rPr>
                <w:rFonts w:hint="eastAsia" w:ascii="Times New Roman" w:hAnsi="Times New Roman" w:eastAsia="宋体" w:cs="Times New Roman"/>
                <w:b w:val="0"/>
                <w:bCs w:val="0"/>
                <w:color w:val="000000" w:themeColor="text1"/>
                <w:sz w:val="24"/>
                <w:szCs w:val="24"/>
                <w:shd w:val="clear" w:color="auto" w:fill="auto"/>
                <w:lang w:val="en-US" w:eastAsia="zh-CN"/>
                <w14:textFill>
                  <w14:solidFill>
                    <w14:schemeClr w14:val="tx1"/>
                  </w14:solidFill>
                </w14:textFill>
              </w:rPr>
              <w:t>锅炉废气排放满足</w:t>
            </w:r>
            <w:r>
              <w:rPr>
                <w:rFonts w:hint="default" w:ascii="Times New Roman" w:hAnsi="Times New Roman" w:eastAsia="宋体" w:cs="Times New Roman"/>
                <w:color w:val="000000" w:themeColor="text1"/>
                <w:sz w:val="24"/>
                <w:szCs w:val="24"/>
                <w:shd w:val="clear" w:color="auto" w:fill="auto"/>
                <w:lang w:val="en-US" w:eastAsia="zh-CN"/>
                <w14:textFill>
                  <w14:solidFill>
                    <w14:schemeClr w14:val="tx1"/>
                  </w14:solidFill>
                </w14:textFill>
              </w:rPr>
              <w:t>《锅炉大气污染物排放标准》GB13271-2014表2的燃煤锅炉排放控制要求</w:t>
            </w:r>
            <w:r>
              <w:rPr>
                <w:rFonts w:hint="default" w:ascii="Times New Roman" w:hAnsi="Times New Roman" w:eastAsia="宋体" w:cs="Times New Roman"/>
                <w:color w:val="000000" w:themeColor="text1"/>
                <w:spacing w:val="0"/>
                <w:sz w:val="24"/>
                <w:szCs w:val="24"/>
                <w:shd w:val="clear" w:color="auto" w:fill="auto"/>
                <w:lang w:val="en-US" w:eastAsia="zh-CN" w:bidi="ar-SA"/>
                <w14:textFill>
                  <w14:solidFill>
                    <w14:schemeClr w14:val="tx1"/>
                  </w14:solidFill>
                </w14:textFill>
              </w:rPr>
              <w:t>。</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（3） 噪声</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环保竣工验收监测期间</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项目噪声符合</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《工业企业厂界环境噪声排放标准》（GB12348-2008）中的3类标准。</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（4）固废</w:t>
            </w:r>
          </w:p>
          <w:p>
            <w:pPr>
              <w:pStyle w:val="45"/>
              <w:pageBreakBefore w:val="0"/>
              <w:kinsoku/>
              <w:wordWrap/>
              <w:overflowPunct/>
              <w:topLinePunct w:val="0"/>
              <w:bidi w:val="0"/>
              <w:ind w:firstLine="480"/>
              <w:jc w:val="left"/>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环保竣工验收监测</w:t>
            </w:r>
            <w:r>
              <w:rPr>
                <w:rFonts w:hint="default" w:ascii="Times New Roman" w:hAnsi="Times New Roman" w:eastAsia="宋体" w:cs="Times New Roman"/>
                <w:b w:val="0"/>
                <w:bCs/>
                <w:color w:val="000000" w:themeColor="text1"/>
                <w:sz w:val="24"/>
                <w:szCs w:val="24"/>
                <w14:textFill>
                  <w14:solidFill>
                    <w14:schemeClr w14:val="tx1"/>
                  </w14:solidFill>
                </w14:textFill>
              </w:rPr>
              <w:t>期间，</w:t>
            </w:r>
            <w:r>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产生的固体废物主要为一般固废</w:t>
            </w:r>
            <w:r>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t>。</w:t>
            </w:r>
          </w:p>
          <w:p>
            <w:pPr>
              <w:pStyle w:val="45"/>
              <w:pageBreakBefore w:val="0"/>
              <w:kinsoku/>
              <w:wordWrap/>
              <w:overflowPunct/>
              <w:topLinePunct w:val="0"/>
              <w:bidi w:val="0"/>
              <w:ind w:firstLine="480"/>
              <w:jc w:val="left"/>
              <w:rPr>
                <w:rFonts w:hint="eastAsia" w:ascii="Times New Roman" w:hAnsi="Times New Roman" w:eastAsia="宋体" w:cs="Times New Roman"/>
                <w:color w:val="0000FF"/>
                <w:kern w:val="0"/>
                <w:sz w:val="24"/>
                <w:szCs w:val="22"/>
                <w:lang w:val="en-US" w:eastAsia="zh-CN" w:bidi="ar-SA"/>
              </w:rPr>
            </w:pP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项目生产中产生的一般工业固体废物为锅炉炉渣、除尘器收集的灰渣、湿法脱硫除尘产生的泥渣，均为一般工业固废，分类收集后由周边农户回收利用。</w:t>
            </w:r>
          </w:p>
          <w:bookmarkEnd w:id="5"/>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）污染物排放总量核算</w:t>
            </w:r>
          </w:p>
          <w:p>
            <w:pPr>
              <w:widowControl w:val="0"/>
              <w:adjustRightInd/>
              <w:snapToGrid/>
              <w:spacing w:line="360" w:lineRule="auto"/>
              <w:ind w:firstLine="480" w:firstLineChars="200"/>
              <w:jc w:val="both"/>
              <w:outlineLvl w:val="1"/>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auto"/>
                <w:sz w:val="24"/>
                <w:szCs w:val="24"/>
                <w:highlight w:val="none"/>
                <w:lang w:val="en-US" w:eastAsia="zh-CN"/>
              </w:rPr>
              <w:t>本项目验收监测期间</w:t>
            </w:r>
            <w:r>
              <w:rPr>
                <w:rFonts w:hint="default" w:ascii="Times New Roman" w:hAnsi="Times New Roman" w:eastAsia="宋体" w:cs="Times New Roman"/>
                <w:color w:val="auto"/>
                <w:sz w:val="24"/>
                <w:szCs w:val="24"/>
                <w:highlight w:val="none"/>
                <w:lang w:val="en-US" w:eastAsia="zh-CN"/>
              </w:rPr>
              <w:t>废气排放量为</w:t>
            </w:r>
            <w:r>
              <w:rPr>
                <w:rFonts w:hint="eastAsia" w:ascii="Times New Roman" w:hAnsi="Times New Roman" w:eastAsia="宋体" w:cs="Times New Roman"/>
                <w:color w:val="auto"/>
                <w:sz w:val="24"/>
                <w:szCs w:val="24"/>
                <w:highlight w:val="none"/>
                <w:lang w:val="en-US" w:eastAsia="zh-CN"/>
              </w:rPr>
              <w:t>1071.6</w:t>
            </w:r>
            <w:r>
              <w:rPr>
                <w:rFonts w:hint="default" w:ascii="Times New Roman" w:hAnsi="Times New Roman" w:eastAsia="宋体" w:cs="Times New Roman"/>
                <w:color w:val="auto"/>
                <w:sz w:val="24"/>
                <w:szCs w:val="24"/>
                <w:highlight w:val="none"/>
                <w:lang w:val="en-US" w:eastAsia="zh-CN"/>
              </w:rPr>
              <w:t>万标立方米，</w:t>
            </w:r>
            <w:r>
              <w:rPr>
                <w:rFonts w:hint="eastAsia" w:ascii="Times New Roman" w:hAnsi="Times New Roman" w:eastAsia="宋体" w:cs="Times New Roman"/>
                <w:color w:val="auto"/>
                <w:sz w:val="24"/>
                <w:szCs w:val="24"/>
                <w:highlight w:val="none"/>
                <w:lang w:val="en-US" w:eastAsia="zh-CN"/>
              </w:rPr>
              <w:t>二氧化硫</w:t>
            </w:r>
            <w:r>
              <w:rPr>
                <w:rFonts w:hint="default" w:ascii="Times New Roman" w:hAnsi="Times New Roman" w:eastAsia="宋体" w:cs="Times New Roman"/>
                <w:color w:val="auto"/>
                <w:sz w:val="24"/>
                <w:szCs w:val="24"/>
                <w:highlight w:val="none"/>
                <w:lang w:val="en-US" w:eastAsia="zh-CN"/>
              </w:rPr>
              <w:t>排放总量为</w:t>
            </w:r>
            <w:r>
              <w:rPr>
                <w:rFonts w:hint="eastAsia" w:ascii="Times New Roman" w:hAnsi="Times New Roman" w:eastAsia="宋体" w:cs="Times New Roman"/>
                <w:color w:val="auto"/>
                <w:sz w:val="24"/>
                <w:szCs w:val="24"/>
                <w:highlight w:val="none"/>
                <w:lang w:val="en-US" w:eastAsia="zh-CN"/>
              </w:rPr>
              <w:t>0.0744</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氮氧化物</w:t>
            </w:r>
            <w:r>
              <w:rPr>
                <w:rFonts w:hint="default" w:ascii="Times New Roman" w:hAnsi="Times New Roman" w:eastAsia="宋体" w:cs="Times New Roman"/>
                <w:color w:val="auto"/>
                <w:sz w:val="24"/>
                <w:szCs w:val="24"/>
                <w:highlight w:val="none"/>
                <w:lang w:val="en-US" w:eastAsia="zh-CN"/>
              </w:rPr>
              <w:t>排放总量为</w:t>
            </w:r>
            <w:r>
              <w:rPr>
                <w:rFonts w:hint="eastAsia" w:ascii="Times New Roman" w:hAnsi="Times New Roman" w:eastAsia="宋体" w:cs="Times New Roman"/>
                <w:color w:val="auto"/>
                <w:sz w:val="24"/>
                <w:szCs w:val="24"/>
                <w:highlight w:val="none"/>
                <w:lang w:val="en-US" w:eastAsia="zh-CN"/>
              </w:rPr>
              <w:t>0.504t</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t>满足环评以及批复要求：</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二氧化硫</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1.22</w:t>
            </w:r>
            <w:r>
              <w:rPr>
                <w:rFonts w:hint="default" w:ascii="Times New Roman" w:hAnsi="Times New Roman" w:eastAsia="宋体" w:cs="Times New Roman"/>
                <w:color w:val="000000" w:themeColor="text1"/>
                <w:sz w:val="24"/>
                <w:highlight w:val="none"/>
                <w14:textFill>
                  <w14:solidFill>
                    <w14:schemeClr w14:val="tx1"/>
                  </w14:solidFill>
                </w14:textFill>
              </w:rPr>
              <w:t>t/a、</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氮氧化物</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2.31</w:t>
            </w:r>
            <w:r>
              <w:rPr>
                <w:rFonts w:hint="default" w:ascii="Times New Roman" w:hAnsi="Times New Roman" w:eastAsia="宋体" w:cs="Times New Roman"/>
                <w:color w:val="000000" w:themeColor="text1"/>
                <w:sz w:val="24"/>
                <w:highlight w:val="none"/>
                <w14:textFill>
                  <w14:solidFill>
                    <w14:schemeClr w14:val="tx1"/>
                  </w14:solidFill>
                </w14:textFill>
              </w:rPr>
              <w:t>t/a</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p>
          <w:p>
            <w:pPr>
              <w:widowControl w:val="0"/>
              <w:adjustRightInd/>
              <w:snapToGrid/>
              <w:spacing w:line="360" w:lineRule="auto"/>
              <w:ind w:firstLine="480" w:firstLineChars="200"/>
              <w:jc w:val="both"/>
              <w:outlineLvl w:val="1"/>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要求：</w:t>
            </w:r>
          </w:p>
          <w:p>
            <w:pPr>
              <w:widowControl w:val="0"/>
              <w:adjustRightInd/>
              <w:snapToGri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（1）严格执行环保“三同时”政策，建立健全环保工作责任制度；</w:t>
            </w:r>
          </w:p>
          <w:p>
            <w:pPr>
              <w:widowControl w:val="0"/>
              <w:adjustRightInd/>
              <w:snapToGri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（2）对高噪设备的降噪措施及厂区布局进行优化。</w:t>
            </w:r>
          </w:p>
          <w:p>
            <w:pPr>
              <w:widowControl w:val="0"/>
              <w:adjustRightInd/>
              <w:snapToGrid/>
              <w:spacing w:line="360" w:lineRule="auto"/>
              <w:ind w:firstLine="480" w:firstLineChars="200"/>
              <w:jc w:val="both"/>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（3）定期维护各项环保设施，确保设施均能够正常运行，使处理效率达到最大化。</w:t>
            </w:r>
          </w:p>
          <w:p>
            <w:pPr>
              <w:widowControl w:val="0"/>
              <w:adjustRightInd/>
              <w:snapToGrid/>
              <w:spacing w:line="360" w:lineRule="auto"/>
              <w:ind w:firstLine="482" w:firstLineChars="200"/>
              <w:jc w:val="both"/>
              <w:rPr>
                <w:rFonts w:hint="eastAsia" w:ascii="Times New Roman" w:hAnsi="Times New Roman" w:eastAsia="宋体" w:cs="Times New Roman"/>
                <w:b/>
                <w:bCs/>
                <w:color w:val="000000" w:themeColor="text1"/>
                <w:sz w:val="24"/>
                <w:szCs w:val="24"/>
                <w14:textFill>
                  <w14:solidFill>
                    <w14:schemeClr w14:val="tx1"/>
                  </w14:solidFill>
                </w14:textFill>
              </w:rPr>
            </w:pPr>
          </w:p>
          <w:p>
            <w:pPr>
              <w:widowControl w:val="0"/>
              <w:adjustRightInd/>
              <w:snapToGrid/>
              <w:spacing w:line="360" w:lineRule="auto"/>
              <w:ind w:firstLine="482" w:firstLineChars="200"/>
              <w:jc w:val="both"/>
              <w:rPr>
                <w:rFonts w:hint="eastAsia" w:ascii="Times New Roman" w:hAnsi="Times New Roman" w:eastAsia="宋体" w:cs="Times New Roman"/>
                <w:b/>
                <w:bCs/>
                <w:color w:val="000000" w:themeColor="text1"/>
                <w:sz w:val="24"/>
                <w:szCs w:val="24"/>
                <w14:textFill>
                  <w14:solidFill>
                    <w14:schemeClr w14:val="tx1"/>
                  </w14:solidFill>
                </w14:textFill>
              </w:rPr>
            </w:pPr>
          </w:p>
          <w:p>
            <w:pPr>
              <w:widowControl w:val="0"/>
              <w:adjustRightInd/>
              <w:snapToGrid/>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验收结论：</w:t>
            </w:r>
          </w:p>
          <w:p>
            <w:pPr>
              <w:pStyle w:val="36"/>
              <w:spacing w:line="360" w:lineRule="auto"/>
              <w:ind w:firstLine="482" w:firstLineChars="20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根据验收监测报告及现场</w:t>
            </w:r>
            <w:r>
              <w:rPr>
                <w:rFonts w:hint="eastAsia" w:ascii="Times New Roman" w:hAnsi="Times New Roman" w:cs="Times New Roman"/>
                <w:b/>
                <w:bCs/>
                <w:color w:val="000000" w:themeColor="text1"/>
                <w:lang w:val="en-US" w:eastAsia="zh-CN"/>
                <w14:textFill>
                  <w14:solidFill>
                    <w14:schemeClr w14:val="tx1"/>
                  </w14:solidFill>
                </w14:textFill>
              </w:rPr>
              <w:t>踏勘</w:t>
            </w:r>
            <w:r>
              <w:rPr>
                <w:rFonts w:ascii="Times New Roman" w:hAnsi="Times New Roman" w:cs="Times New Roman"/>
                <w:b/>
                <w:bCs/>
                <w:color w:val="000000" w:themeColor="text1"/>
                <w14:textFill>
                  <w14:solidFill>
                    <w14:schemeClr w14:val="tx1"/>
                  </w14:solidFill>
                </w14:textFill>
              </w:rPr>
              <w:t>结果，</w:t>
            </w:r>
            <w:r>
              <w:rPr>
                <w:rFonts w:hint="eastAsia" w:ascii="Times New Roman" w:hAnsi="Times New Roman" w:cs="Times New Roman"/>
                <w:b/>
                <w:bCs/>
                <w:color w:val="000000" w:themeColor="text1"/>
                <w:lang w:val="en-US" w:eastAsia="zh-CN"/>
                <w14:textFill>
                  <w14:solidFill>
                    <w14:schemeClr w14:val="tx1"/>
                  </w14:solidFill>
                </w14:textFill>
              </w:rPr>
              <w:t>福建乐华食品有限公司新增生物质颗粒燃料锅炉项目</w:t>
            </w:r>
            <w:r>
              <w:rPr>
                <w:rFonts w:ascii="Times New Roman" w:hAnsi="Times New Roman" w:cs="Times New Roman"/>
                <w:b/>
                <w:bCs/>
                <w:color w:val="000000" w:themeColor="text1"/>
                <w14:textFill>
                  <w14:solidFill>
                    <w14:schemeClr w14:val="tx1"/>
                  </w14:solidFill>
                </w14:textFill>
              </w:rPr>
              <w:t>基本落实环保“三同时”制度以及环评批复中提出的各项污染防治措施，各类污染物达标排放，符合环评批复要求。项目不涉及《建设项目竣工环境保护验收暂行办法》第八条规定的不符合情形，符合竣工环保验收条件</w:t>
            </w:r>
            <w:r>
              <w:rPr>
                <w:rFonts w:hint="eastAsia" w:ascii="Times New Roman" w:hAnsi="Times New Roman" w:cs="Times New Roman"/>
                <w:b/>
                <w:bCs/>
                <w:color w:val="000000" w:themeColor="text1"/>
                <w14:textFill>
                  <w14:solidFill>
                    <w14:schemeClr w14:val="tx1"/>
                  </w14:solidFill>
                </w14:textFill>
              </w:rPr>
              <w:t>。</w:t>
            </w:r>
          </w:p>
          <w:p>
            <w:pPr>
              <w:pStyle w:val="36"/>
              <w:spacing w:line="360" w:lineRule="auto"/>
              <w:jc w:val="right"/>
              <w:rPr>
                <w:rFonts w:ascii="Times New Roman" w:hAnsi="Times New Roman" w:cs="Times New Roman"/>
                <w:color w:val="0000FF"/>
                <w:sz w:val="21"/>
                <w:szCs w:val="21"/>
              </w:rPr>
            </w:pPr>
          </w:p>
        </w:tc>
      </w:tr>
    </w:tbl>
    <w:p>
      <w:pPr>
        <w:pStyle w:val="36"/>
        <w:rPr>
          <w:rFonts w:ascii="Times New Roman" w:hAnsi="Times New Roman" w:cs="Times New Roman"/>
          <w:color w:val="0000FF"/>
        </w:rPr>
        <w:sectPr>
          <w:pgSz w:w="11906" w:h="16838"/>
          <w:pgMar w:top="1440" w:right="1440" w:bottom="1440" w:left="1701" w:header="709" w:footer="709" w:gutter="0"/>
          <w:pgBorders>
            <w:top w:val="none" w:sz="0" w:space="0"/>
            <w:left w:val="none" w:sz="0" w:space="0"/>
            <w:bottom w:val="none" w:sz="0" w:space="0"/>
            <w:right w:val="none" w:sz="0" w:space="0"/>
          </w:pgBorders>
          <w:cols w:space="0" w:num="1"/>
          <w:docGrid w:linePitch="312" w:charSpace="0"/>
        </w:sectPr>
      </w:pPr>
    </w:p>
    <w:tbl>
      <w:tblPr>
        <w:tblStyle w:val="25"/>
        <w:tblpPr w:leftFromText="180" w:rightFromText="180" w:vertAnchor="page" w:horzAnchor="page" w:tblpX="616" w:tblpY="1710"/>
        <w:tblW w:w="16019" w:type="dxa"/>
        <w:jc w:val="center"/>
        <w:shd w:val="solid" w:color="FFFFFF" w:themeColor="background1" w:fill="FFFFFF" w:themeFill="background1"/>
        <w:tblLayout w:type="fixed"/>
        <w:tblCellMar>
          <w:top w:w="0" w:type="dxa"/>
          <w:left w:w="108" w:type="dxa"/>
          <w:bottom w:w="0" w:type="dxa"/>
          <w:right w:w="108" w:type="dxa"/>
        </w:tblCellMar>
      </w:tblPr>
      <w:tblGrid>
        <w:gridCol w:w="392"/>
        <w:gridCol w:w="453"/>
        <w:gridCol w:w="1544"/>
        <w:gridCol w:w="327"/>
        <w:gridCol w:w="467"/>
        <w:gridCol w:w="608"/>
        <w:gridCol w:w="424"/>
        <w:gridCol w:w="653"/>
        <w:gridCol w:w="285"/>
        <w:gridCol w:w="401"/>
        <w:gridCol w:w="181"/>
        <w:gridCol w:w="430"/>
        <w:gridCol w:w="665"/>
        <w:gridCol w:w="525"/>
        <w:gridCol w:w="1087"/>
        <w:gridCol w:w="968"/>
        <w:gridCol w:w="2569"/>
        <w:gridCol w:w="828"/>
        <w:gridCol w:w="758"/>
        <w:gridCol w:w="567"/>
        <w:gridCol w:w="653"/>
        <w:gridCol w:w="307"/>
        <w:gridCol w:w="927"/>
      </w:tblGrid>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16019" w:type="dxa"/>
            <w:gridSpan w:val="23"/>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建设项目工程竣工环境保护“三同时”验收登记表</w:t>
            </w:r>
          </w:p>
          <w:p>
            <w:pPr>
              <w:autoSpaceDN w:val="0"/>
              <w:spacing w:line="260" w:lineRule="exact"/>
              <w:jc w:val="left"/>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填表单位（盖章）：</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福建乐华食品有限公司</w:t>
            </w:r>
            <w:r>
              <w:rPr>
                <w:rFonts w:ascii="Times New Roman" w:hAnsi="Times New Roman" w:eastAsia="宋体" w:cs="Times New Roman"/>
                <w:color w:val="000000" w:themeColor="text1"/>
                <w:sz w:val="18"/>
                <w:szCs w:val="18"/>
                <w14:textFill>
                  <w14:solidFill>
                    <w14:schemeClr w14:val="tx1"/>
                  </w14:solidFill>
                </w14:textFill>
              </w:rPr>
              <w:t xml:space="preserve">           填表人（签字）：                               项目经办人（签字）：</w:t>
            </w:r>
          </w:p>
        </w:tc>
      </w:tr>
      <w:tr>
        <w:tblPrEx>
          <w:shd w:val="solid" w:color="FFFFFF" w:themeColor="background1" w:fill="FFFFFF" w:themeFill="background1"/>
          <w:tblCellMar>
            <w:top w:w="0" w:type="dxa"/>
            <w:left w:w="108" w:type="dxa"/>
            <w:bottom w:w="0" w:type="dxa"/>
            <w:right w:w="108" w:type="dxa"/>
          </w:tblCellMar>
        </w:tblPrEx>
        <w:trPr>
          <w:trHeight w:val="231" w:hRule="atLeast"/>
          <w:jc w:val="center"/>
        </w:trPr>
        <w:tc>
          <w:tcPr>
            <w:tcW w:w="392"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 设 项 目</w:t>
            </w: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项目名称</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新增生物质颗粒燃料锅炉项目</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项目代码</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建设地点</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djustRightInd w:val="0"/>
              <w:snapToGrid w:val="0"/>
              <w:jc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eastAsia="zh-CN"/>
                <w14:textFill>
                  <w14:solidFill>
                    <w14:schemeClr w14:val="tx1"/>
                  </w14:solidFill>
                </w14:textFill>
              </w:rPr>
              <w:t>福建省漳州市云霄县云陵工业开发区</w:t>
            </w:r>
          </w:p>
        </w:tc>
      </w:tr>
      <w:tr>
        <w:tblPrEx>
          <w:shd w:val="solid" w:color="FFFFFF" w:themeColor="background1" w:fill="FFFFFF" w:themeFill="background1"/>
          <w:tblCellMar>
            <w:top w:w="0" w:type="dxa"/>
            <w:left w:w="108" w:type="dxa"/>
            <w:bottom w:w="0" w:type="dxa"/>
            <w:right w:w="108" w:type="dxa"/>
          </w:tblCellMar>
        </w:tblPrEx>
        <w:trPr>
          <w:trHeight w:val="249"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行业类别（分类管理名录）</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D4430 热力生产和供应</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建设性质</w:t>
            </w:r>
          </w:p>
        </w:tc>
        <w:tc>
          <w:tcPr>
            <w:tcW w:w="6609" w:type="dxa"/>
            <w:gridSpan w:val="7"/>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 xml:space="preserve">  新建    改扩建√   技术改造    </w:t>
            </w:r>
          </w:p>
        </w:tc>
      </w:tr>
      <w:tr>
        <w:tblPrEx>
          <w:shd w:val="solid" w:color="FFFFFF" w:themeColor="background1" w:fill="FFFFFF" w:themeFill="background1"/>
          <w:tblCellMar>
            <w:top w:w="0" w:type="dxa"/>
            <w:left w:w="108" w:type="dxa"/>
            <w:bottom w:w="0" w:type="dxa"/>
            <w:right w:w="108" w:type="dxa"/>
          </w:tblCellMar>
        </w:tblPrEx>
        <w:trPr>
          <w:trHeight w:val="405"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建设规模</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zh-CN"/>
                <w14:textFill>
                  <w14:solidFill>
                    <w14:schemeClr w14:val="tx1"/>
                  </w14:solidFill>
                </w14:textFill>
              </w:rPr>
              <w:t>新建1台6t/h生物质颗粒燃料锅炉</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实际产能</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line="240" w:lineRule="auto"/>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zh-CN"/>
                <w14:textFill>
                  <w14:solidFill>
                    <w14:schemeClr w14:val="tx1"/>
                  </w14:solidFill>
                </w14:textFill>
              </w:rPr>
              <w:t>新建1台6t/h生物质颗粒燃料锅炉</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环评单位</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湖南大自然环保科技有限公司</w:t>
            </w:r>
          </w:p>
        </w:tc>
      </w:tr>
      <w:tr>
        <w:tblPrEx>
          <w:shd w:val="solid" w:color="FFFFFF" w:themeColor="background1" w:fill="FFFFFF" w:themeFill="background1"/>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环评文件审批机关</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漳州市云霄生态环境局</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审批文号</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14:textFill>
                  <w14:solidFill>
                    <w14:schemeClr w14:val="tx1"/>
                  </w14:solidFill>
                </w14:textFill>
              </w:rPr>
              <w:t>云环审【2020】2号</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环评文件类型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报告表</w:t>
            </w:r>
          </w:p>
        </w:tc>
      </w:tr>
      <w:tr>
        <w:tblPrEx>
          <w:shd w:val="solid" w:color="FFFFFF" w:themeColor="background1" w:fill="FFFFFF" w:themeFill="background1"/>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开工日期</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2020年1月</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竣工日期</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2021年1月</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排污许可证申领时间</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20200605</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环保设施设计单位</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自建</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环保设施施工单位</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自建</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本工程排污许可证编号</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FF"/>
                <w:sz w:val="18"/>
                <w:szCs w:val="18"/>
                <w:lang w:val="en-US" w:eastAsia="zh-CN"/>
              </w:rPr>
            </w:pPr>
            <w:r>
              <w:rPr>
                <w:rFonts w:hint="eastAsia" w:ascii="Times New Roman" w:hAnsi="Times New Roman" w:eastAsia="宋体"/>
                <w:color w:val="000000" w:themeColor="text1"/>
                <w:sz w:val="21"/>
                <w:szCs w:val="21"/>
                <w:lang w:val="en-US" w:eastAsia="zh-CN"/>
                <w14:textFill>
                  <w14:solidFill>
                    <w14:schemeClr w14:val="tx1"/>
                  </w14:solidFill>
                </w14:textFill>
              </w:rPr>
              <w:t>91350622589584634H001W</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验收单位</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福建乐华食品有限公司</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环保设施监测单位</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厦门华厦学苑检测有限公司</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验收监测时工况</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≥75%</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投资总概算（万元）</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100</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环保投资总概算（万元）</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10</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所占比例（%）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10%</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实际总投资（万元）</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100</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实际环保投资（万元）</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10</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所占比例（%）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10%</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废水治理（万元）</w:t>
            </w:r>
          </w:p>
        </w:tc>
        <w:tc>
          <w:tcPr>
            <w:tcW w:w="107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tabs>
                <w:tab w:val="left" w:pos="270"/>
                <w:tab w:val="center" w:pos="489"/>
              </w:tabs>
              <w:autoSpaceDN w:val="0"/>
              <w:spacing w:line="260" w:lineRule="exact"/>
              <w:jc w:val="center"/>
              <w:textAlignment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w:t>
            </w:r>
          </w:p>
        </w:tc>
        <w:tc>
          <w:tcPr>
            <w:tcW w:w="1077"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废气治理（万元）</w:t>
            </w:r>
          </w:p>
        </w:tc>
        <w:tc>
          <w:tcPr>
            <w:tcW w:w="867"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8</w:t>
            </w:r>
          </w:p>
        </w:tc>
        <w:tc>
          <w:tcPr>
            <w:tcW w:w="109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噪声治理（万元）</w:t>
            </w:r>
          </w:p>
        </w:tc>
        <w:tc>
          <w:tcPr>
            <w:tcW w:w="52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固体废物治理（万元）</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绿化及生态（万元）</w:t>
            </w:r>
          </w:p>
        </w:tc>
        <w:tc>
          <w:tcPr>
            <w:tcW w:w="56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w:t>
            </w:r>
          </w:p>
        </w:tc>
        <w:tc>
          <w:tcPr>
            <w:tcW w:w="96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其它（万元）</w:t>
            </w:r>
          </w:p>
        </w:tc>
        <w:tc>
          <w:tcPr>
            <w:tcW w:w="92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新增废水处理设施能力</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新增废气处理设施能力</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1071.6</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年平均工作时</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2400</w:t>
            </w:r>
          </w:p>
        </w:tc>
      </w:tr>
      <w:tr>
        <w:tblPrEx>
          <w:shd w:val="solid" w:color="FFFFFF" w:themeColor="background1" w:fill="FFFFFF" w:themeFill="background1"/>
          <w:tblCellMar>
            <w:top w:w="0" w:type="dxa"/>
            <w:left w:w="108" w:type="dxa"/>
            <w:bottom w:w="0" w:type="dxa"/>
            <w:right w:w="108" w:type="dxa"/>
          </w:tblCellMar>
        </w:tblPrEx>
        <w:trPr>
          <w:trHeight w:val="249" w:hRule="atLeast"/>
          <w:jc w:val="center"/>
        </w:trPr>
        <w:tc>
          <w:tcPr>
            <w:tcW w:w="2716"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运营单位</w:t>
            </w:r>
          </w:p>
        </w:tc>
        <w:tc>
          <w:tcPr>
            <w:tcW w:w="2838" w:type="dxa"/>
            <w:gridSpan w:val="6"/>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福建乐华食品有限公司</w:t>
            </w:r>
          </w:p>
        </w:tc>
        <w:tc>
          <w:tcPr>
            <w:tcW w:w="3856" w:type="dxa"/>
            <w:gridSpan w:val="6"/>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运营单位社会统一信用代码（或组织机构代码）</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91350622589584634H</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验收时间</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spacing w:line="280" w:lineRule="exact"/>
              <w:jc w:val="center"/>
              <w:rPr>
                <w:rFonts w:hint="default" w:ascii="Times New Roman" w:hAnsi="Times New Roman" w:eastAsia="宋体" w:cs="Times New Roman"/>
                <w:color w:val="0000FF"/>
                <w:sz w:val="18"/>
                <w:szCs w:val="18"/>
                <w:shd w:val="solid" w:color="FFFFFF" w:themeColor="background1" w:fill="FFFFFF" w:themeFill="background1"/>
                <w:lang w:val="en-US" w:eastAsia="zh-CN"/>
              </w:rPr>
            </w:pPr>
          </w:p>
        </w:tc>
      </w:tr>
      <w:tr>
        <w:tblPrEx>
          <w:shd w:val="solid" w:color="FFFFFF" w:themeColor="background1" w:fill="FFFFFF" w:themeFill="background1"/>
          <w:tblCellMar>
            <w:top w:w="0" w:type="dxa"/>
            <w:left w:w="108" w:type="dxa"/>
            <w:bottom w:w="0" w:type="dxa"/>
            <w:right w:w="108" w:type="dxa"/>
          </w:tblCellMar>
        </w:tblPrEx>
        <w:trPr>
          <w:trHeight w:val="463" w:hRule="atLeast"/>
          <w:jc w:val="center"/>
        </w:trPr>
        <w:tc>
          <w:tcPr>
            <w:tcW w:w="845" w:type="dxa"/>
            <w:gridSpan w:val="2"/>
            <w:vMerge w:val="restart"/>
            <w:tcBorders>
              <w:top w:val="single" w:color="000000" w:sz="4" w:space="0"/>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adjustRightInd/>
              <w:snapToGrid/>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污染</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物排</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放达</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标与</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总量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控制</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（工</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业建</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设项</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目详</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填）</w:t>
            </w: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污染物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原有排放量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（1）</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本期工程实际排放浓度</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（2）</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本期工程允许排放浓度</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（3）</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本期工程产生量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（4）</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本期工程自身削减量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（5）</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本期工程实际排放量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（6）</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本期工程核定排放总量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（7）</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本期工程“以新带老”削减量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（8）</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全厂实际排放总量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（9）</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全厂核定排放总量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（10）</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区域平衡替代削减量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（11）</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排放增</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减量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（12）</w:t>
            </w:r>
          </w:p>
        </w:tc>
      </w:tr>
      <w:tr>
        <w:tblPrEx>
          <w:shd w:val="solid" w:color="FFFFFF" w:themeColor="background1" w:fill="FFFFFF" w:themeFill="background1"/>
          <w:tblCellMar>
            <w:top w:w="0" w:type="dxa"/>
            <w:left w:w="108" w:type="dxa"/>
            <w:bottom w:w="0" w:type="dxa"/>
            <w:right w:w="108" w:type="dxa"/>
          </w:tblCellMar>
        </w:tblPrEx>
        <w:trPr>
          <w:trHeight w:val="90"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废水</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90"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 xml:space="preserve">化学需氧量 </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氨氮</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90"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废气</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1071.6</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颗粒物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245"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二氧化硫</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6.4</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300</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0.0744</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1.22</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93"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氮氧化物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13.5</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500</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0.504</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2.31</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93" w:hRule="atLeast"/>
          <w:jc w:val="center"/>
        </w:trPr>
        <w:tc>
          <w:tcPr>
            <w:tcW w:w="845" w:type="dxa"/>
            <w:gridSpan w:val="2"/>
            <w:vMerge w:val="continue"/>
            <w:tcBorders>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非甲烷总烃</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bl>
    <w:p>
      <w:pPr>
        <w:pStyle w:val="36"/>
        <w:rPr>
          <w:rFonts w:ascii="Times New Roman" w:hAnsi="Times New Roman" w:cs="Times New Roman"/>
          <w:color w:val="0000FF"/>
        </w:rPr>
        <w:sectPr>
          <w:pgSz w:w="16838" w:h="11906" w:orient="landscape"/>
          <w:pgMar w:top="1701" w:right="1440" w:bottom="1440" w:left="1440" w:header="709" w:footer="709" w:gutter="0"/>
          <w:pgBorders>
            <w:top w:val="none" w:sz="0" w:space="0"/>
            <w:left w:val="none" w:sz="0" w:space="0"/>
            <w:bottom w:val="none" w:sz="0" w:space="0"/>
            <w:right w:val="none" w:sz="0" w:space="0"/>
          </w:pgBorders>
          <w:cols w:space="0" w:num="1"/>
          <w:docGrid w:linePitch="312" w:charSpace="0"/>
        </w:sectPr>
      </w:pPr>
    </w:p>
    <w:p>
      <w:pPr>
        <w:pStyle w:val="24"/>
        <w:ind w:firstLine="0"/>
        <w:jc w:val="both"/>
        <w:outlineLvl w:val="1"/>
        <w:rPr>
          <w:rFonts w:ascii="Times New Roman" w:hAnsi="Times New Roman" w:eastAsia="宋体" w:cs="Times New Roman"/>
          <w:b/>
          <w:bCs/>
          <w:color w:val="auto"/>
          <w:sz w:val="28"/>
          <w:szCs w:val="24"/>
        </w:rPr>
      </w:pPr>
      <w:r>
        <w:rPr>
          <w:rFonts w:ascii="Times New Roman" w:hAnsi="Times New Roman" w:eastAsia="宋体" w:cs="Times New Roman"/>
          <w:b/>
          <w:bCs/>
          <w:color w:val="auto"/>
          <w:sz w:val="28"/>
          <w:szCs w:val="24"/>
        </w:rPr>
        <w:t>附图1：项目地理位置图</w:t>
      </w:r>
    </w:p>
    <w:p>
      <w:pPr>
        <w:pStyle w:val="24"/>
        <w:ind w:firstLine="0"/>
        <w:jc w:val="center"/>
        <w:outlineLvl w:val="1"/>
        <w:rPr>
          <w:rFonts w:hint="eastAsia" w:ascii="Times New Roman" w:hAnsi="Times New Roman" w:eastAsia="宋体" w:cs="Times New Roman"/>
          <w:color w:val="0000FF"/>
          <w:sz w:val="28"/>
          <w:szCs w:val="24"/>
          <w:lang w:eastAsia="zh-CN"/>
        </w:rPr>
        <w:sectPr>
          <w:headerReference r:id="rId6" w:type="default"/>
          <w:footerReference r:id="rId7" w:type="default"/>
          <w:pgSz w:w="11906" w:h="16838"/>
          <w:pgMar w:top="1440" w:right="1440" w:bottom="1440" w:left="1701" w:header="709" w:footer="709" w:gutter="0"/>
          <w:pgBorders>
            <w:top w:val="none" w:sz="0" w:space="0"/>
            <w:left w:val="none" w:sz="0" w:space="0"/>
            <w:bottom w:val="none" w:sz="0" w:space="0"/>
            <w:right w:val="none" w:sz="0" w:space="0"/>
          </w:pgBorders>
          <w:cols w:space="0" w:num="1"/>
          <w:docGrid w:linePitch="312" w:charSpace="0"/>
        </w:sectPr>
      </w:pPr>
      <w:r>
        <w:drawing>
          <wp:inline distT="0" distB="0" distL="114300" distR="114300">
            <wp:extent cx="8516620" cy="5295265"/>
            <wp:effectExtent l="0" t="0" r="635" b="1778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5"/>
                    <a:stretch>
                      <a:fillRect/>
                    </a:stretch>
                  </pic:blipFill>
                  <pic:spPr>
                    <a:xfrm rot="16200000">
                      <a:off x="0" y="0"/>
                      <a:ext cx="8516620" cy="5295265"/>
                    </a:xfrm>
                    <a:prstGeom prst="rect">
                      <a:avLst/>
                    </a:prstGeom>
                    <a:noFill/>
                    <a:ln>
                      <a:noFill/>
                    </a:ln>
                  </pic:spPr>
                </pic:pic>
              </a:graphicData>
            </a:graphic>
          </wp:inline>
        </w:drawing>
      </w:r>
    </w:p>
    <w:p>
      <w:pPr>
        <w:pStyle w:val="24"/>
        <w:ind w:firstLine="0"/>
        <w:jc w:val="both"/>
        <w:outlineLvl w:val="1"/>
        <w:rPr>
          <w:rFonts w:hint="eastAsia" w:ascii="Times New Roman" w:hAnsi="Times New Roman" w:eastAsia="宋体" w:cs="Times New Roman"/>
          <w:b/>
          <w:bCs/>
          <w:color w:val="000000" w:themeColor="text1"/>
          <w:sz w:val="28"/>
          <w:szCs w:val="24"/>
          <w14:textFill>
            <w14:solidFill>
              <w14:schemeClr w14:val="tx1"/>
            </w14:solidFill>
          </w14:textFill>
        </w:rPr>
      </w:pPr>
      <w:r>
        <w:rPr>
          <w:rFonts w:hint="eastAsia" w:ascii="Times New Roman" w:hAnsi="Times New Roman" w:eastAsia="宋体" w:cs="Times New Roman"/>
          <w:b/>
          <w:bCs/>
          <w:color w:val="000000" w:themeColor="text1"/>
          <w:sz w:val="28"/>
          <w:szCs w:val="24"/>
          <w14:textFill>
            <w14:solidFill>
              <w14:schemeClr w14:val="tx1"/>
            </w14:solidFill>
          </w14:textFill>
        </w:rPr>
        <w:t>附图2 项目周边环境示意图</w:t>
      </w:r>
    </w:p>
    <w:p>
      <w:pPr>
        <w:pStyle w:val="24"/>
        <w:ind w:firstLine="0"/>
        <w:jc w:val="center"/>
        <w:outlineLvl w:val="1"/>
        <w:rPr>
          <w:rFonts w:hint="eastAsia" w:ascii="Times New Roman" w:hAnsi="Times New Roman" w:eastAsia="宋体" w:cs="Times New Roman"/>
          <w:b/>
          <w:bCs/>
          <w:color w:val="0000FF"/>
          <w:sz w:val="28"/>
          <w:szCs w:val="24"/>
        </w:rPr>
      </w:pPr>
      <w:r>
        <w:drawing>
          <wp:inline distT="0" distB="0" distL="114300" distR="114300">
            <wp:extent cx="7743825" cy="5382260"/>
            <wp:effectExtent l="0" t="0" r="9525" b="889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16"/>
                    <a:stretch>
                      <a:fillRect/>
                    </a:stretch>
                  </pic:blipFill>
                  <pic:spPr>
                    <a:xfrm>
                      <a:off x="0" y="0"/>
                      <a:ext cx="7743825" cy="5382260"/>
                    </a:xfrm>
                    <a:prstGeom prst="rect">
                      <a:avLst/>
                    </a:prstGeom>
                    <a:noFill/>
                    <a:ln>
                      <a:noFill/>
                    </a:ln>
                  </pic:spPr>
                </pic:pic>
              </a:graphicData>
            </a:graphic>
          </wp:inline>
        </w:drawing>
      </w:r>
    </w:p>
    <w:p>
      <w:pPr>
        <w:pStyle w:val="24"/>
        <w:ind w:firstLine="0"/>
        <w:jc w:val="both"/>
        <w:outlineLvl w:val="1"/>
        <w:rPr>
          <w:rFonts w:hint="eastAsia" w:ascii="Times New Roman" w:hAnsi="Times New Roman" w:eastAsia="宋体" w:cs="Times New Roman"/>
          <w:b/>
          <w:bCs/>
          <w:color w:val="000000" w:themeColor="text1"/>
          <w:sz w:val="28"/>
          <w:szCs w:val="24"/>
          <w14:textFill>
            <w14:solidFill>
              <w14:schemeClr w14:val="tx1"/>
            </w14:solidFill>
          </w14:textFill>
        </w:rPr>
      </w:pPr>
      <w:r>
        <w:rPr>
          <w:rFonts w:hint="eastAsia" w:ascii="Times New Roman" w:hAnsi="Times New Roman" w:eastAsia="宋体" w:cs="Times New Roman"/>
          <w:b/>
          <w:bCs/>
          <w:color w:val="000000" w:themeColor="text1"/>
          <w:sz w:val="28"/>
          <w:szCs w:val="24"/>
          <w14:textFill>
            <w14:solidFill>
              <w14:schemeClr w14:val="tx1"/>
            </w14:solidFill>
          </w14:textFill>
        </w:rPr>
        <w:t>附图</w:t>
      </w:r>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3</w:t>
      </w:r>
      <w:r>
        <w:rPr>
          <w:rFonts w:hint="eastAsia" w:ascii="Times New Roman" w:hAnsi="Times New Roman" w:eastAsia="宋体" w:cs="Times New Roman"/>
          <w:b/>
          <w:bCs/>
          <w:color w:val="000000" w:themeColor="text1"/>
          <w:sz w:val="28"/>
          <w:szCs w:val="24"/>
          <w14:textFill>
            <w14:solidFill>
              <w14:schemeClr w14:val="tx1"/>
            </w14:solidFill>
          </w14:textFill>
        </w:rPr>
        <w:t xml:space="preserve"> </w:t>
      </w:r>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项目周边环境敏感目标图</w:t>
      </w:r>
    </w:p>
    <w:p>
      <w:pPr>
        <w:pStyle w:val="24"/>
        <w:ind w:firstLine="0"/>
        <w:jc w:val="center"/>
        <w:outlineLvl w:val="1"/>
        <w:rPr>
          <w:rFonts w:hint="eastAsia" w:ascii="Times New Roman" w:hAnsi="Times New Roman" w:eastAsia="宋体" w:cs="Times New Roman"/>
          <w:b/>
          <w:bCs/>
          <w:color w:val="0000FF"/>
          <w:sz w:val="28"/>
          <w:szCs w:val="24"/>
        </w:rPr>
      </w:pPr>
      <w:r>
        <w:drawing>
          <wp:inline distT="0" distB="0" distL="114300" distR="114300">
            <wp:extent cx="8030210" cy="5481320"/>
            <wp:effectExtent l="0" t="0" r="8890" b="508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17"/>
                    <a:stretch>
                      <a:fillRect/>
                    </a:stretch>
                  </pic:blipFill>
                  <pic:spPr>
                    <a:xfrm>
                      <a:off x="0" y="0"/>
                      <a:ext cx="8030210" cy="5481320"/>
                    </a:xfrm>
                    <a:prstGeom prst="rect">
                      <a:avLst/>
                    </a:prstGeom>
                    <a:noFill/>
                    <a:ln>
                      <a:noFill/>
                    </a:ln>
                  </pic:spPr>
                </pic:pic>
              </a:graphicData>
            </a:graphic>
          </wp:inline>
        </w:drawing>
      </w:r>
    </w:p>
    <w:p>
      <w:pPr>
        <w:pStyle w:val="24"/>
        <w:ind w:firstLine="0"/>
        <w:jc w:val="both"/>
        <w:outlineLvl w:val="1"/>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4"/>
          <w14:textFill>
            <w14:solidFill>
              <w14:schemeClr w14:val="tx1"/>
            </w14:solidFill>
          </w14:textFill>
        </w:rPr>
        <w:t>附图</w:t>
      </w:r>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4</w:t>
      </w:r>
      <w:r>
        <w:rPr>
          <w:rFonts w:hint="eastAsia" w:ascii="Times New Roman" w:hAnsi="Times New Roman" w:eastAsia="宋体" w:cs="Times New Roman"/>
          <w:b/>
          <w:bCs/>
          <w:color w:val="000000" w:themeColor="text1"/>
          <w:sz w:val="28"/>
          <w:szCs w:val="24"/>
          <w14:textFill>
            <w14:solidFill>
              <w14:schemeClr w14:val="tx1"/>
            </w14:solidFill>
          </w14:textFill>
        </w:rPr>
        <w:t xml:space="preserve"> </w:t>
      </w:r>
      <w:bookmarkStart w:id="6" w:name="_GoBack"/>
      <w:bookmarkEnd w:id="6"/>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厂区平面布置图</w:t>
      </w:r>
    </w:p>
    <w:p>
      <w:pPr>
        <w:pStyle w:val="24"/>
        <w:ind w:firstLine="0"/>
        <w:jc w:val="center"/>
        <w:outlineLvl w:val="1"/>
        <w:rPr>
          <w:rFonts w:hint="eastAsia" w:ascii="Times New Roman" w:hAnsi="Times New Roman" w:eastAsia="宋体" w:cs="Times New Roman"/>
          <w:color w:val="0000FF"/>
          <w:sz w:val="28"/>
          <w:szCs w:val="24"/>
        </w:rPr>
      </w:pPr>
      <w:r>
        <w:drawing>
          <wp:inline distT="0" distB="0" distL="114300" distR="114300">
            <wp:extent cx="7599680" cy="5328285"/>
            <wp:effectExtent l="0" t="0" r="1270" b="571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18"/>
                    <a:stretch>
                      <a:fillRect/>
                    </a:stretch>
                  </pic:blipFill>
                  <pic:spPr>
                    <a:xfrm>
                      <a:off x="0" y="0"/>
                      <a:ext cx="7599680" cy="5328285"/>
                    </a:xfrm>
                    <a:prstGeom prst="rect">
                      <a:avLst/>
                    </a:prstGeom>
                    <a:noFill/>
                    <a:ln>
                      <a:noFill/>
                    </a:ln>
                  </pic:spPr>
                </pic:pic>
              </a:graphicData>
            </a:graphic>
          </wp:inline>
        </w:drawing>
      </w:r>
    </w:p>
    <w:p>
      <w:pPr>
        <w:pStyle w:val="24"/>
        <w:keepNext w:val="0"/>
        <w:keepLines w:val="0"/>
        <w:pageBreakBefore w:val="0"/>
        <w:widowControl/>
        <w:kinsoku/>
        <w:wordWrap/>
        <w:overflowPunct/>
        <w:topLinePunct w:val="0"/>
        <w:autoSpaceDE/>
        <w:autoSpaceDN/>
        <w:bidi w:val="0"/>
        <w:adjustRightInd w:val="0"/>
        <w:snapToGrid w:val="0"/>
        <w:ind w:firstLine="0"/>
        <w:jc w:val="both"/>
        <w:textAlignment w:val="auto"/>
        <w:outlineLvl w:val="9"/>
        <w:rPr>
          <w:rFonts w:ascii="Times New Roman" w:hAnsi="Times New Roman" w:eastAsia="宋体" w:cs="Times New Roman"/>
          <w:b/>
          <w:bCs/>
          <w:color w:val="0000FF"/>
          <w:sz w:val="28"/>
          <w:szCs w:val="24"/>
        </w:rPr>
        <w:sectPr>
          <w:pgSz w:w="16838" w:h="11906" w:orient="landscape"/>
          <w:pgMar w:top="1417" w:right="1440" w:bottom="1440" w:left="1440" w:header="709" w:footer="709" w:gutter="0"/>
          <w:pgBorders>
            <w:top w:val="none" w:sz="0" w:space="0"/>
            <w:left w:val="none" w:sz="0" w:space="0"/>
            <w:bottom w:val="none" w:sz="0" w:space="0"/>
            <w:right w:val="none" w:sz="0" w:space="0"/>
          </w:pgBorders>
          <w:cols w:space="0" w:num="1"/>
          <w:docGrid w:linePitch="312" w:charSpace="0"/>
        </w:sectPr>
      </w:pPr>
    </w:p>
    <w:p>
      <w:pPr>
        <w:pStyle w:val="24"/>
        <w:ind w:firstLine="0"/>
        <w:jc w:val="both"/>
        <w:outlineLvl w:val="1"/>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pPr>
      <w:r>
        <w:rPr>
          <w:rFonts w:ascii="Times New Roman" w:hAnsi="Times New Roman" w:eastAsia="宋体" w:cs="Times New Roman"/>
          <w:b/>
          <w:bCs/>
          <w:color w:val="000000" w:themeColor="text1"/>
          <w:sz w:val="28"/>
          <w:szCs w:val="24"/>
          <w14:textFill>
            <w14:solidFill>
              <w14:schemeClr w14:val="tx1"/>
            </w14:solidFill>
          </w14:textFill>
        </w:rPr>
        <w:t>附件</w:t>
      </w:r>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1</w:t>
      </w:r>
      <w:r>
        <w:rPr>
          <w:rFonts w:ascii="Times New Roman" w:hAnsi="Times New Roman" w:eastAsia="宋体" w:cs="Times New Roman"/>
          <w:b/>
          <w:bCs/>
          <w:color w:val="000000" w:themeColor="text1"/>
          <w:sz w:val="28"/>
          <w:szCs w:val="24"/>
          <w14:textFill>
            <w14:solidFill>
              <w14:schemeClr w14:val="tx1"/>
            </w14:solidFill>
          </w14:textFill>
        </w:rPr>
        <w:t>：</w:t>
      </w:r>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原环评批复</w:t>
      </w:r>
    </w:p>
    <w:p>
      <w:pPr>
        <w:pStyle w:val="24"/>
        <w:ind w:firstLine="0"/>
        <w:jc w:val="both"/>
        <w:outlineLvl w:val="1"/>
        <w:rPr>
          <w:rFonts w:hint="eastAsia" w:ascii="Times New Roman" w:hAnsi="Times New Roman" w:eastAsia="宋体" w:cs="Times New Roman"/>
          <w:color w:val="0000FF"/>
          <w:sz w:val="28"/>
          <w:szCs w:val="24"/>
          <w:lang w:eastAsia="zh-CN"/>
        </w:rPr>
        <w:sectPr>
          <w:headerReference r:id="rId8" w:type="default"/>
          <w:footerReference r:id="rId9" w:type="default"/>
          <w:pgSz w:w="11906" w:h="16838"/>
          <w:pgMar w:top="1440" w:right="1440" w:bottom="1440" w:left="1701" w:header="709" w:footer="709" w:gutter="0"/>
          <w:pgBorders>
            <w:top w:val="none" w:sz="0" w:space="0"/>
            <w:left w:val="none" w:sz="0" w:space="0"/>
            <w:bottom w:val="none" w:sz="0" w:space="0"/>
            <w:right w:val="none" w:sz="0" w:space="0"/>
          </w:pgBorders>
          <w:cols w:space="0" w:num="1"/>
          <w:docGrid w:linePitch="312" w:charSpace="0"/>
        </w:sectPr>
      </w:pPr>
      <w:r>
        <w:rPr>
          <w:rFonts w:hint="eastAsia" w:hAnsi="宋体"/>
          <w:b/>
          <w:color w:val="auto"/>
          <w:sz w:val="24"/>
          <w:lang w:val="en-US" w:eastAsia="zh-CN"/>
        </w:rPr>
        <w:drawing>
          <wp:inline distT="0" distB="0" distL="114300" distR="114300">
            <wp:extent cx="5165725" cy="8386445"/>
            <wp:effectExtent l="0" t="0" r="15875" b="14605"/>
            <wp:docPr id="41" name="图片 7" descr="e74fab5764ea5e20afe65fd3bf1f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e74fab5764ea5e20afe65fd3bf1f124"/>
                    <pic:cNvPicPr>
                      <a:picLocks noChangeAspect="1"/>
                    </pic:cNvPicPr>
                  </pic:nvPicPr>
                  <pic:blipFill>
                    <a:blip r:embed="rId19"/>
                    <a:srcRect t="3035"/>
                    <a:stretch>
                      <a:fillRect/>
                    </a:stretch>
                  </pic:blipFill>
                  <pic:spPr>
                    <a:xfrm>
                      <a:off x="0" y="0"/>
                      <a:ext cx="5165725" cy="8386445"/>
                    </a:xfrm>
                    <a:prstGeom prst="rect">
                      <a:avLst/>
                    </a:prstGeom>
                    <a:noFill/>
                    <a:ln>
                      <a:noFill/>
                    </a:ln>
                  </pic:spPr>
                </pic:pic>
              </a:graphicData>
            </a:graphic>
          </wp:inline>
        </w:drawing>
      </w:r>
    </w:p>
    <w:p>
      <w:pPr>
        <w:pStyle w:val="24"/>
        <w:ind w:firstLine="0"/>
        <w:jc w:val="both"/>
        <w:outlineLvl w:val="1"/>
        <w:rPr>
          <w:rFonts w:hint="default" w:ascii="Times New Roman" w:hAnsi="Times New Roman" w:eastAsia="宋体" w:cs="Times New Roman"/>
          <w:b/>
          <w:bCs/>
          <w:color w:val="000000" w:themeColor="text1"/>
          <w:sz w:val="28"/>
          <w:szCs w:val="24"/>
          <w:lang w:val="en-US" w:eastAsia="zh-CN"/>
          <w14:textFill>
            <w14:solidFill>
              <w14:schemeClr w14:val="tx1"/>
            </w14:solidFill>
          </w14:textFill>
        </w:rPr>
      </w:pPr>
      <w:r>
        <w:rPr>
          <w:rFonts w:ascii="Times New Roman" w:hAnsi="Times New Roman" w:eastAsia="宋体" w:cs="Times New Roman"/>
          <w:b/>
          <w:bCs/>
          <w:color w:val="000000" w:themeColor="text1"/>
          <w:sz w:val="28"/>
          <w:szCs w:val="24"/>
          <w14:textFill>
            <w14:solidFill>
              <w14:schemeClr w14:val="tx1"/>
            </w14:solidFill>
          </w14:textFill>
        </w:rPr>
        <w:t>附件</w:t>
      </w:r>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2</w:t>
      </w:r>
      <w:r>
        <w:rPr>
          <w:rFonts w:ascii="Times New Roman" w:hAnsi="Times New Roman" w:eastAsia="宋体" w:cs="Times New Roman"/>
          <w:b/>
          <w:bCs/>
          <w:color w:val="000000" w:themeColor="text1"/>
          <w:sz w:val="28"/>
          <w:szCs w:val="24"/>
          <w14:textFill>
            <w14:solidFill>
              <w14:schemeClr w14:val="tx1"/>
            </w14:solidFill>
          </w14:textFill>
        </w:rPr>
        <w:t>：</w:t>
      </w:r>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原环评验收</w:t>
      </w:r>
    </w:p>
    <w:p>
      <w:pPr>
        <w:keepNext w:val="0"/>
        <w:keepLines w:val="0"/>
        <w:pageBreakBefore w:val="0"/>
        <w:widowControl w:val="0"/>
        <w:numPr>
          <w:ilvl w:val="0"/>
          <w:numId w:val="0"/>
        </w:numPr>
        <w:tabs>
          <w:tab w:val="left" w:pos="360"/>
        </w:tabs>
        <w:kinsoku/>
        <w:wordWrap/>
        <w:overflowPunct/>
        <w:topLinePunct w:val="0"/>
        <w:autoSpaceDE/>
        <w:autoSpaceDN/>
        <w:bidi w:val="0"/>
        <w:adjustRightInd/>
        <w:snapToGrid/>
        <w:textAlignment w:val="auto"/>
        <w:outlineLvl w:val="9"/>
        <w:rPr>
          <w:rFonts w:hint="default"/>
          <w:color w:val="auto"/>
          <w:lang w:val="en-US" w:eastAsia="zh-CN"/>
        </w:rPr>
      </w:pPr>
      <w:r>
        <w:rPr>
          <w:rFonts w:hint="default"/>
          <w:color w:val="auto"/>
          <w:lang w:val="en-US" w:eastAsia="zh-CN"/>
        </w:rPr>
        <w:drawing>
          <wp:inline distT="0" distB="0" distL="114300" distR="114300">
            <wp:extent cx="5544820" cy="8297545"/>
            <wp:effectExtent l="0" t="0" r="17780" b="8255"/>
            <wp:docPr id="42" name="图片 8" descr="第1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第1页"/>
                    <pic:cNvPicPr>
                      <a:picLocks noChangeAspect="1"/>
                    </pic:cNvPicPr>
                  </pic:nvPicPr>
                  <pic:blipFill>
                    <a:blip r:embed="rId20"/>
                    <a:srcRect l="26729" t="3404" r="27660"/>
                    <a:stretch>
                      <a:fillRect/>
                    </a:stretch>
                  </pic:blipFill>
                  <pic:spPr>
                    <a:xfrm>
                      <a:off x="0" y="0"/>
                      <a:ext cx="5544820" cy="8297545"/>
                    </a:xfrm>
                    <a:prstGeom prst="rect">
                      <a:avLst/>
                    </a:prstGeom>
                    <a:noFill/>
                    <a:ln>
                      <a:noFill/>
                    </a:ln>
                  </pic:spPr>
                </pic:pic>
              </a:graphicData>
            </a:graphic>
          </wp:inline>
        </w:drawing>
      </w:r>
    </w:p>
    <w:p>
      <w:pPr>
        <w:keepNext w:val="0"/>
        <w:keepLines w:val="0"/>
        <w:pageBreakBefore w:val="0"/>
        <w:widowControl w:val="0"/>
        <w:numPr>
          <w:ilvl w:val="0"/>
          <w:numId w:val="0"/>
        </w:numPr>
        <w:tabs>
          <w:tab w:val="left" w:pos="360"/>
        </w:tabs>
        <w:kinsoku/>
        <w:wordWrap/>
        <w:overflowPunct/>
        <w:topLinePunct w:val="0"/>
        <w:autoSpaceDE/>
        <w:autoSpaceDN/>
        <w:bidi w:val="0"/>
        <w:adjustRightInd/>
        <w:snapToGrid/>
        <w:textAlignment w:val="auto"/>
        <w:outlineLvl w:val="9"/>
        <w:rPr>
          <w:rFonts w:hint="default"/>
          <w:color w:val="auto"/>
          <w:lang w:val="en-US" w:eastAsia="zh-CN"/>
        </w:rPr>
      </w:pPr>
      <w:r>
        <w:rPr>
          <w:rFonts w:hint="default"/>
          <w:color w:val="auto"/>
          <w:lang w:val="en-US" w:eastAsia="zh-CN"/>
        </w:rPr>
        <w:drawing>
          <wp:inline distT="0" distB="0" distL="114300" distR="114300">
            <wp:extent cx="6091555" cy="8946515"/>
            <wp:effectExtent l="0" t="0" r="4445" b="6985"/>
            <wp:docPr id="43" name="图片 9" descr="第2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第2页"/>
                    <pic:cNvPicPr>
                      <a:picLocks noChangeAspect="1"/>
                    </pic:cNvPicPr>
                  </pic:nvPicPr>
                  <pic:blipFill>
                    <a:blip r:embed="rId21"/>
                    <a:srcRect l="28746" t="3336" r="28734" b="8322"/>
                    <a:stretch>
                      <a:fillRect/>
                    </a:stretch>
                  </pic:blipFill>
                  <pic:spPr>
                    <a:xfrm>
                      <a:off x="0" y="0"/>
                      <a:ext cx="6091555" cy="8946515"/>
                    </a:xfrm>
                    <a:prstGeom prst="rect">
                      <a:avLst/>
                    </a:prstGeom>
                    <a:noFill/>
                    <a:ln>
                      <a:noFill/>
                    </a:ln>
                  </pic:spPr>
                </pic:pic>
              </a:graphicData>
            </a:graphic>
          </wp:inline>
        </w:drawing>
      </w:r>
    </w:p>
    <w:p>
      <w:pPr>
        <w:keepNext w:val="0"/>
        <w:keepLines w:val="0"/>
        <w:pageBreakBefore w:val="0"/>
        <w:widowControl w:val="0"/>
        <w:numPr>
          <w:ilvl w:val="0"/>
          <w:numId w:val="0"/>
        </w:numPr>
        <w:tabs>
          <w:tab w:val="left" w:pos="360"/>
        </w:tabs>
        <w:kinsoku/>
        <w:wordWrap/>
        <w:overflowPunct/>
        <w:topLinePunct w:val="0"/>
        <w:autoSpaceDE/>
        <w:autoSpaceDN/>
        <w:bidi w:val="0"/>
        <w:adjustRightInd/>
        <w:snapToGrid/>
        <w:textAlignment w:val="auto"/>
        <w:outlineLvl w:val="9"/>
        <w:rPr>
          <w:rFonts w:hint="default"/>
          <w:color w:val="auto"/>
          <w:lang w:val="en-US" w:eastAsia="zh-CN"/>
        </w:rPr>
      </w:pPr>
      <w:r>
        <w:rPr>
          <w:rFonts w:hint="default"/>
          <w:color w:val="auto"/>
          <w:lang w:val="en-US" w:eastAsia="zh-CN"/>
        </w:rPr>
        <w:drawing>
          <wp:inline distT="0" distB="0" distL="114300" distR="114300">
            <wp:extent cx="5721350" cy="8450580"/>
            <wp:effectExtent l="0" t="0" r="12700" b="7620"/>
            <wp:docPr id="45" name="图片 10" descr="第3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descr="第3页"/>
                    <pic:cNvPicPr>
                      <a:picLocks noChangeAspect="1"/>
                    </pic:cNvPicPr>
                  </pic:nvPicPr>
                  <pic:blipFill>
                    <a:blip r:embed="rId22"/>
                    <a:srcRect l="30911" t="5296" r="27403" b="7565"/>
                    <a:stretch>
                      <a:fillRect/>
                    </a:stretch>
                  </pic:blipFill>
                  <pic:spPr>
                    <a:xfrm>
                      <a:off x="0" y="0"/>
                      <a:ext cx="5721350" cy="8450580"/>
                    </a:xfrm>
                    <a:prstGeom prst="rect">
                      <a:avLst/>
                    </a:prstGeom>
                    <a:noFill/>
                    <a:ln>
                      <a:noFill/>
                    </a:ln>
                  </pic:spPr>
                </pic:pic>
              </a:graphicData>
            </a:graphic>
          </wp:inline>
        </w:drawing>
      </w:r>
    </w:p>
    <w:p>
      <w:pPr>
        <w:rPr>
          <w:rFonts w:ascii="Times New Roman" w:hAnsi="Times New Roman" w:eastAsia="宋体" w:cs="Times New Roman"/>
          <w:b/>
          <w:bCs/>
          <w:color w:val="000000" w:themeColor="text1"/>
          <w:sz w:val="28"/>
          <w:szCs w:val="24"/>
          <w:lang w:val="en-US" w:eastAsia="zh-CN" w:bidi="ar-SA"/>
          <w14:textFill>
            <w14:solidFill>
              <w14:schemeClr w14:val="tx1"/>
            </w14:solidFill>
          </w14:textFill>
        </w:rPr>
      </w:pPr>
      <w:r>
        <w:rPr>
          <w:rFonts w:ascii="Times New Roman" w:hAnsi="Times New Roman" w:eastAsia="宋体" w:cs="Times New Roman"/>
          <w:b/>
          <w:bCs/>
          <w:color w:val="000000" w:themeColor="text1"/>
          <w:sz w:val="28"/>
          <w:szCs w:val="24"/>
          <w:lang w:val="en-US" w:eastAsia="zh-CN" w:bidi="ar-SA"/>
          <w14:textFill>
            <w14:solidFill>
              <w14:schemeClr w14:val="tx1"/>
            </w14:solidFill>
          </w14:textFill>
        </w:rPr>
        <w:t>附件</w:t>
      </w:r>
      <w: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t>3</w:t>
      </w:r>
      <w:r>
        <w:rPr>
          <w:rFonts w:ascii="Times New Roman" w:hAnsi="Times New Roman" w:eastAsia="宋体" w:cs="Times New Roman"/>
          <w:b/>
          <w:bCs/>
          <w:color w:val="000000" w:themeColor="text1"/>
          <w:sz w:val="28"/>
          <w:szCs w:val="24"/>
          <w:lang w:val="en-US" w:eastAsia="zh-CN" w:bidi="ar-SA"/>
          <w14:textFill>
            <w14:solidFill>
              <w14:schemeClr w14:val="tx1"/>
            </w14:solidFill>
          </w14:textFill>
        </w:rPr>
        <w:t>：</w:t>
      </w:r>
      <w: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t xml:space="preserve">排污登记 </w:t>
      </w:r>
    </w:p>
    <w:p>
      <w:pPr>
        <w:rPr>
          <w:rFonts w:ascii="Times New Roman" w:hAnsi="Times New Roman" w:eastAsia="宋体" w:cs="Times New Roman"/>
          <w:b/>
          <w:bCs/>
          <w:color w:val="0000FF"/>
          <w:sz w:val="28"/>
          <w:szCs w:val="24"/>
          <w:lang w:val="en-US" w:eastAsia="zh-CN" w:bidi="ar-SA"/>
        </w:rPr>
      </w:pPr>
      <w:r>
        <w:rPr>
          <w:rFonts w:ascii="Times New Roman" w:hAnsi="Times New Roman" w:eastAsia="宋体" w:cs="Times New Roman"/>
          <w:b/>
          <w:bCs/>
          <w:color w:val="0000FF"/>
          <w:sz w:val="28"/>
          <w:szCs w:val="24"/>
          <w:lang w:val="en-US" w:eastAsia="zh-CN" w:bidi="ar-SA"/>
        </w:rPr>
        <w:drawing>
          <wp:inline distT="0" distB="0" distL="114300" distR="114300">
            <wp:extent cx="5687695" cy="8044815"/>
            <wp:effectExtent l="0" t="0" r="8255" b="13335"/>
            <wp:docPr id="47" name="图片 47" descr="1663812648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63812648268"/>
                    <pic:cNvPicPr>
                      <a:picLocks noChangeAspect="1"/>
                    </pic:cNvPicPr>
                  </pic:nvPicPr>
                  <pic:blipFill>
                    <a:blip r:embed="rId23"/>
                    <a:stretch>
                      <a:fillRect/>
                    </a:stretch>
                  </pic:blipFill>
                  <pic:spPr>
                    <a:xfrm>
                      <a:off x="0" y="0"/>
                      <a:ext cx="5687695" cy="8044815"/>
                    </a:xfrm>
                    <a:prstGeom prst="rect">
                      <a:avLst/>
                    </a:prstGeom>
                  </pic:spPr>
                </pic:pic>
              </a:graphicData>
            </a:graphic>
          </wp:inline>
        </w:drawing>
      </w:r>
    </w:p>
    <w:p>
      <w:pPr>
        <w:jc w:val="both"/>
        <w:rPr>
          <w:rFonts w:ascii="Times New Roman" w:hAnsi="Times New Roman" w:eastAsia="宋体" w:cs="Times New Roman"/>
          <w:b/>
          <w:bCs/>
          <w:color w:val="0000FF"/>
          <w:sz w:val="28"/>
          <w:szCs w:val="24"/>
          <w:lang w:val="en-US" w:eastAsia="zh-CN" w:bidi="ar-SA"/>
        </w:rPr>
      </w:pPr>
    </w:p>
    <w:p>
      <w:pPr>
        <w:jc w:val="both"/>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pPr>
      <w:r>
        <w:rPr>
          <w:rFonts w:ascii="Times New Roman" w:hAnsi="Times New Roman" w:eastAsia="宋体" w:cs="Times New Roman"/>
          <w:b/>
          <w:bCs/>
          <w:color w:val="000000" w:themeColor="text1"/>
          <w:sz w:val="28"/>
          <w:szCs w:val="24"/>
          <w:lang w:val="en-US" w:eastAsia="zh-CN" w:bidi="ar-SA"/>
          <w14:textFill>
            <w14:solidFill>
              <w14:schemeClr w14:val="tx1"/>
            </w14:solidFill>
          </w14:textFill>
        </w:rPr>
        <w:t>附件</w:t>
      </w:r>
      <w: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t>4</w:t>
      </w:r>
      <w:r>
        <w:rPr>
          <w:rFonts w:ascii="Times New Roman" w:hAnsi="Times New Roman" w:eastAsia="宋体" w:cs="Times New Roman"/>
          <w:b/>
          <w:bCs/>
          <w:color w:val="000000" w:themeColor="text1"/>
          <w:sz w:val="28"/>
          <w:szCs w:val="24"/>
          <w:lang w:val="en-US" w:eastAsia="zh-CN" w:bidi="ar-SA"/>
          <w14:textFill>
            <w14:solidFill>
              <w14:schemeClr w14:val="tx1"/>
            </w14:solidFill>
          </w14:textFill>
        </w:rPr>
        <w:t>：</w:t>
      </w:r>
      <w: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t>本项目环评批复</w:t>
      </w:r>
    </w:p>
    <w:p>
      <w:pPr>
        <w:jc w:val="both"/>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pPr>
      <w:r>
        <w:drawing>
          <wp:inline distT="0" distB="0" distL="114300" distR="114300">
            <wp:extent cx="5684520" cy="7651750"/>
            <wp:effectExtent l="0" t="0" r="11430" b="6350"/>
            <wp:docPr id="5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pic:cNvPicPr>
                      <a:picLocks noChangeAspect="1"/>
                    </pic:cNvPicPr>
                  </pic:nvPicPr>
                  <pic:blipFill>
                    <a:blip r:embed="rId24"/>
                    <a:stretch>
                      <a:fillRect/>
                    </a:stretch>
                  </pic:blipFill>
                  <pic:spPr>
                    <a:xfrm>
                      <a:off x="0" y="0"/>
                      <a:ext cx="5684520" cy="7651750"/>
                    </a:xfrm>
                    <a:prstGeom prst="rect">
                      <a:avLst/>
                    </a:prstGeom>
                    <a:noFill/>
                    <a:ln>
                      <a:noFill/>
                    </a:ln>
                  </pic:spPr>
                </pic:pic>
              </a:graphicData>
            </a:graphic>
          </wp:inline>
        </w:drawing>
      </w:r>
    </w:p>
    <w:p>
      <w:pPr>
        <w:jc w:val="both"/>
        <w:rPr>
          <w:rFonts w:ascii="Times New Roman" w:hAnsi="Times New Roman" w:eastAsia="宋体" w:cs="Times New Roman"/>
          <w:b/>
          <w:bCs/>
          <w:color w:val="000000" w:themeColor="text1"/>
          <w:sz w:val="28"/>
          <w:szCs w:val="24"/>
          <w:lang w:val="en-US" w:eastAsia="zh-CN" w:bidi="ar-SA"/>
          <w14:textFill>
            <w14:solidFill>
              <w14:schemeClr w14:val="tx1"/>
            </w14:solidFill>
          </w14:textFill>
        </w:rPr>
        <w:sectPr>
          <w:headerReference r:id="rId10" w:type="default"/>
          <w:footerReference r:id="rId11" w:type="default"/>
          <w:pgSz w:w="11906" w:h="16838"/>
          <w:pgMar w:top="1587" w:right="1474" w:bottom="1712" w:left="1474" w:header="851" w:footer="992" w:gutter="0"/>
          <w:pgBorders>
            <w:top w:val="none" w:sz="0" w:space="0"/>
            <w:left w:val="none" w:sz="0" w:space="0"/>
            <w:bottom w:val="none" w:sz="0" w:space="0"/>
            <w:right w:val="none" w:sz="0" w:space="0"/>
          </w:pgBorders>
          <w:pgNumType w:fmt="decimal"/>
          <w:cols w:space="0" w:num="1"/>
          <w:rtlGutter w:val="0"/>
          <w:docGrid w:linePitch="312" w:charSpace="0"/>
        </w:sectPr>
      </w:pPr>
      <w:r>
        <w:drawing>
          <wp:inline distT="0" distB="0" distL="114300" distR="114300">
            <wp:extent cx="5667375" cy="7753350"/>
            <wp:effectExtent l="0" t="0" r="9525" b="0"/>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pic:cNvPicPr>
                  </pic:nvPicPr>
                  <pic:blipFill>
                    <a:blip r:embed="rId25"/>
                    <a:stretch>
                      <a:fillRect/>
                    </a:stretch>
                  </pic:blipFill>
                  <pic:spPr>
                    <a:xfrm>
                      <a:off x="0" y="0"/>
                      <a:ext cx="5667375" cy="7753350"/>
                    </a:xfrm>
                    <a:prstGeom prst="rect">
                      <a:avLst/>
                    </a:prstGeom>
                    <a:noFill/>
                    <a:ln>
                      <a:noFill/>
                    </a:ln>
                  </pic:spPr>
                </pic:pic>
              </a:graphicData>
            </a:graphic>
          </wp:inline>
        </w:drawing>
      </w:r>
      <w:r>
        <w:drawing>
          <wp:inline distT="0" distB="0" distL="114300" distR="114300">
            <wp:extent cx="5682615" cy="7703185"/>
            <wp:effectExtent l="0" t="0" r="13335" b="12065"/>
            <wp:docPr id="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pic:cNvPicPr>
                      <a:picLocks noChangeAspect="1"/>
                    </pic:cNvPicPr>
                  </pic:nvPicPr>
                  <pic:blipFill>
                    <a:blip r:embed="rId26"/>
                    <a:stretch>
                      <a:fillRect/>
                    </a:stretch>
                  </pic:blipFill>
                  <pic:spPr>
                    <a:xfrm>
                      <a:off x="0" y="0"/>
                      <a:ext cx="5682615" cy="7703185"/>
                    </a:xfrm>
                    <a:prstGeom prst="rect">
                      <a:avLst/>
                    </a:prstGeom>
                    <a:noFill/>
                    <a:ln>
                      <a:noFill/>
                    </a:ln>
                  </pic:spPr>
                </pic:pic>
              </a:graphicData>
            </a:graphic>
          </wp:inline>
        </w:drawing>
      </w:r>
    </w:p>
    <w:p>
      <w:pPr>
        <w:jc w:val="both"/>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pPr>
      <w:r>
        <w:rPr>
          <w:rFonts w:ascii="Times New Roman" w:hAnsi="Times New Roman" w:eastAsia="宋体" w:cs="Times New Roman"/>
          <w:b/>
          <w:bCs/>
          <w:color w:val="000000" w:themeColor="text1"/>
          <w:sz w:val="28"/>
          <w:szCs w:val="24"/>
          <w:lang w:val="en-US" w:eastAsia="zh-CN" w:bidi="ar-SA"/>
          <w14:textFill>
            <w14:solidFill>
              <w14:schemeClr w14:val="tx1"/>
            </w14:solidFill>
          </w14:textFill>
        </w:rPr>
        <w:t>附件</w:t>
      </w:r>
      <w: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t>5</w:t>
      </w:r>
      <w:r>
        <w:rPr>
          <w:rFonts w:ascii="Times New Roman" w:hAnsi="Times New Roman" w:eastAsia="宋体" w:cs="Times New Roman"/>
          <w:b/>
          <w:bCs/>
          <w:color w:val="000000" w:themeColor="text1"/>
          <w:sz w:val="28"/>
          <w:szCs w:val="24"/>
          <w:lang w:val="en-US" w:eastAsia="zh-CN" w:bidi="ar-SA"/>
          <w14:textFill>
            <w14:solidFill>
              <w14:schemeClr w14:val="tx1"/>
            </w14:solidFill>
          </w14:textFill>
        </w:rPr>
        <w:t>：</w:t>
      </w:r>
      <w: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t>检测报告</w:t>
      </w:r>
    </w:p>
    <w:p>
      <w:pPr>
        <w:jc w:val="both"/>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pPr>
      <w:r>
        <w:drawing>
          <wp:inline distT="0" distB="0" distL="114300" distR="114300">
            <wp:extent cx="5688330" cy="7981950"/>
            <wp:effectExtent l="0" t="0" r="7620" b="0"/>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27"/>
                    <a:stretch>
                      <a:fillRect/>
                    </a:stretch>
                  </pic:blipFill>
                  <pic:spPr>
                    <a:xfrm>
                      <a:off x="0" y="0"/>
                      <a:ext cx="5688330" cy="7981950"/>
                    </a:xfrm>
                    <a:prstGeom prst="rect">
                      <a:avLst/>
                    </a:prstGeom>
                    <a:noFill/>
                    <a:ln>
                      <a:noFill/>
                    </a:ln>
                  </pic:spPr>
                </pic:pic>
              </a:graphicData>
            </a:graphic>
          </wp:inline>
        </w:drawing>
      </w:r>
    </w:p>
    <w:p>
      <w:pPr>
        <w:jc w:val="both"/>
        <w:rPr>
          <w:rFonts w:hint="default" w:ascii="Times New Roman" w:hAnsi="Times New Roman" w:eastAsia="宋体" w:cs="Times New Roman"/>
          <w:b/>
          <w:bCs/>
          <w:color w:val="000000" w:themeColor="text1"/>
          <w:sz w:val="28"/>
          <w:szCs w:val="24"/>
          <w:lang w:val="en-US" w:eastAsia="zh-CN" w:bidi="ar-SA"/>
          <w14:textFill>
            <w14:solidFill>
              <w14:schemeClr w14:val="tx1"/>
            </w14:solidFill>
          </w14:textFill>
        </w:rPr>
      </w:pPr>
      <w:r>
        <w:drawing>
          <wp:inline distT="0" distB="0" distL="114300" distR="114300">
            <wp:extent cx="5686425" cy="7892415"/>
            <wp:effectExtent l="0" t="0" r="9525" b="13335"/>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pic:cNvPicPr>
                  </pic:nvPicPr>
                  <pic:blipFill>
                    <a:blip r:embed="rId28"/>
                    <a:stretch>
                      <a:fillRect/>
                    </a:stretch>
                  </pic:blipFill>
                  <pic:spPr>
                    <a:xfrm>
                      <a:off x="0" y="0"/>
                      <a:ext cx="5686425" cy="7892415"/>
                    </a:xfrm>
                    <a:prstGeom prst="rect">
                      <a:avLst/>
                    </a:prstGeom>
                    <a:noFill/>
                    <a:ln>
                      <a:noFill/>
                    </a:ln>
                  </pic:spPr>
                </pic:pic>
              </a:graphicData>
            </a:graphic>
          </wp:inline>
        </w:drawing>
      </w:r>
      <w:r>
        <w:drawing>
          <wp:inline distT="0" distB="0" distL="114300" distR="114300">
            <wp:extent cx="5684520" cy="8027670"/>
            <wp:effectExtent l="0" t="0" r="11430" b="11430"/>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pic:cNvPicPr>
                      <a:picLocks noChangeAspect="1"/>
                    </pic:cNvPicPr>
                  </pic:nvPicPr>
                  <pic:blipFill>
                    <a:blip r:embed="rId29"/>
                    <a:stretch>
                      <a:fillRect/>
                    </a:stretch>
                  </pic:blipFill>
                  <pic:spPr>
                    <a:xfrm>
                      <a:off x="0" y="0"/>
                      <a:ext cx="5684520" cy="8027670"/>
                    </a:xfrm>
                    <a:prstGeom prst="rect">
                      <a:avLst/>
                    </a:prstGeom>
                    <a:noFill/>
                    <a:ln>
                      <a:noFill/>
                    </a:ln>
                  </pic:spPr>
                </pic:pic>
              </a:graphicData>
            </a:graphic>
          </wp:inline>
        </w:drawing>
      </w:r>
      <w:r>
        <w:drawing>
          <wp:inline distT="0" distB="0" distL="114300" distR="114300">
            <wp:extent cx="5683885" cy="7698740"/>
            <wp:effectExtent l="0" t="0" r="12065" b="16510"/>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pic:cNvPicPr>
                      <a:picLocks noChangeAspect="1"/>
                    </pic:cNvPicPr>
                  </pic:nvPicPr>
                  <pic:blipFill>
                    <a:blip r:embed="rId30"/>
                    <a:stretch>
                      <a:fillRect/>
                    </a:stretch>
                  </pic:blipFill>
                  <pic:spPr>
                    <a:xfrm>
                      <a:off x="0" y="0"/>
                      <a:ext cx="5683885" cy="7698740"/>
                    </a:xfrm>
                    <a:prstGeom prst="rect">
                      <a:avLst/>
                    </a:prstGeom>
                    <a:noFill/>
                    <a:ln>
                      <a:noFill/>
                    </a:ln>
                  </pic:spPr>
                </pic:pic>
              </a:graphicData>
            </a:graphic>
          </wp:inline>
        </w:drawing>
      </w:r>
      <w:r>
        <w:drawing>
          <wp:inline distT="0" distB="0" distL="114300" distR="114300">
            <wp:extent cx="5688330" cy="7702550"/>
            <wp:effectExtent l="0" t="0" r="7620" b="12700"/>
            <wp:docPr id="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pic:cNvPicPr>
                      <a:picLocks noChangeAspect="1"/>
                    </pic:cNvPicPr>
                  </pic:nvPicPr>
                  <pic:blipFill>
                    <a:blip r:embed="rId31"/>
                    <a:stretch>
                      <a:fillRect/>
                    </a:stretch>
                  </pic:blipFill>
                  <pic:spPr>
                    <a:xfrm>
                      <a:off x="0" y="0"/>
                      <a:ext cx="5688330" cy="7702550"/>
                    </a:xfrm>
                    <a:prstGeom prst="rect">
                      <a:avLst/>
                    </a:prstGeom>
                    <a:noFill/>
                    <a:ln>
                      <a:noFill/>
                    </a:ln>
                  </pic:spPr>
                </pic:pic>
              </a:graphicData>
            </a:graphic>
          </wp:inline>
        </w:drawing>
      </w:r>
      <w:r>
        <w:drawing>
          <wp:inline distT="0" distB="0" distL="114300" distR="114300">
            <wp:extent cx="5685790" cy="8012430"/>
            <wp:effectExtent l="0" t="0" r="10160" b="7620"/>
            <wp:docPr id="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pic:cNvPicPr>
                      <a:picLocks noChangeAspect="1"/>
                    </pic:cNvPicPr>
                  </pic:nvPicPr>
                  <pic:blipFill>
                    <a:blip r:embed="rId32"/>
                    <a:stretch>
                      <a:fillRect/>
                    </a:stretch>
                  </pic:blipFill>
                  <pic:spPr>
                    <a:xfrm>
                      <a:off x="0" y="0"/>
                      <a:ext cx="5685790" cy="8012430"/>
                    </a:xfrm>
                    <a:prstGeom prst="rect">
                      <a:avLst/>
                    </a:prstGeom>
                    <a:noFill/>
                    <a:ln>
                      <a:noFill/>
                    </a:ln>
                  </pic:spPr>
                </pic:pic>
              </a:graphicData>
            </a:graphic>
          </wp:inline>
        </w:drawing>
      </w:r>
      <w:r>
        <w:drawing>
          <wp:inline distT="0" distB="0" distL="114300" distR="114300">
            <wp:extent cx="5683250" cy="7902575"/>
            <wp:effectExtent l="0" t="0" r="12700" b="3175"/>
            <wp:docPr id="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1"/>
                    </pic:cNvPicPr>
                  </pic:nvPicPr>
                  <pic:blipFill>
                    <a:blip r:embed="rId33"/>
                    <a:stretch>
                      <a:fillRect/>
                    </a:stretch>
                  </pic:blipFill>
                  <pic:spPr>
                    <a:xfrm>
                      <a:off x="0" y="0"/>
                      <a:ext cx="5683250" cy="7902575"/>
                    </a:xfrm>
                    <a:prstGeom prst="rect">
                      <a:avLst/>
                    </a:prstGeom>
                    <a:noFill/>
                    <a:ln>
                      <a:noFill/>
                    </a:ln>
                  </pic:spPr>
                </pic:pic>
              </a:graphicData>
            </a:graphic>
          </wp:inline>
        </w:drawing>
      </w:r>
      <w:r>
        <w:drawing>
          <wp:inline distT="0" distB="0" distL="114300" distR="114300">
            <wp:extent cx="5667375" cy="8229600"/>
            <wp:effectExtent l="0" t="0" r="9525" b="0"/>
            <wp:docPr id="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pic:cNvPicPr>
                      <a:picLocks noChangeAspect="1"/>
                    </pic:cNvPicPr>
                  </pic:nvPicPr>
                  <pic:blipFill>
                    <a:blip r:embed="rId34"/>
                    <a:stretch>
                      <a:fillRect/>
                    </a:stretch>
                  </pic:blipFill>
                  <pic:spPr>
                    <a:xfrm>
                      <a:off x="0" y="0"/>
                      <a:ext cx="5667375" cy="8229600"/>
                    </a:xfrm>
                    <a:prstGeom prst="rect">
                      <a:avLst/>
                    </a:prstGeom>
                    <a:noFill/>
                    <a:ln>
                      <a:noFill/>
                    </a:ln>
                  </pic:spPr>
                </pic:pic>
              </a:graphicData>
            </a:graphic>
          </wp:inline>
        </w:drawing>
      </w:r>
      <w:r>
        <w:drawing>
          <wp:inline distT="0" distB="0" distL="114300" distR="114300">
            <wp:extent cx="5686425" cy="8081010"/>
            <wp:effectExtent l="0" t="0" r="9525" b="15240"/>
            <wp:docPr id="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pic:cNvPicPr>
                  </pic:nvPicPr>
                  <pic:blipFill>
                    <a:blip r:embed="rId35"/>
                    <a:stretch>
                      <a:fillRect/>
                    </a:stretch>
                  </pic:blipFill>
                  <pic:spPr>
                    <a:xfrm>
                      <a:off x="0" y="0"/>
                      <a:ext cx="5686425" cy="8081010"/>
                    </a:xfrm>
                    <a:prstGeom prst="rect">
                      <a:avLst/>
                    </a:prstGeom>
                    <a:noFill/>
                    <a:ln>
                      <a:noFill/>
                    </a:ln>
                  </pic:spPr>
                </pic:pic>
              </a:graphicData>
            </a:graphic>
          </wp:inline>
        </w:drawing>
      </w:r>
    </w:p>
    <w:sectPr>
      <w:pgSz w:w="11906" w:h="16838"/>
      <w:pgMar w:top="1587" w:right="1474" w:bottom="1712" w:left="1474" w:header="851" w:footer="992"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He3i9w5AgAAcAQAAA4AAAAAAAAAAQAgAAAAHwEAAGRycy9lMm9Eb2Mu&#10;eG1sUEsFBgAAAAAGAAYAWQEAAMo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iElI6AgAAcQ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HohJSOgIAAHEEAAAOAAAAAAAAAAEAIAAAAB8BAABkcnMvZTJvRG9j&#10;LnhtbFBLBQYAAAAABgAGAFkBAADL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342837"/>
      <w:docPartObj>
        <w:docPartGallery w:val="autotext"/>
      </w:docPartObj>
    </w:sdtPr>
    <w:sdtContent>
      <w:p>
        <w:pPr>
          <w:pStyle w:val="18"/>
          <w:jc w:val="center"/>
        </w:pPr>
        <w:r>
          <w:fldChar w:fldCharType="begin"/>
        </w:r>
        <w:r>
          <w:instrText xml:space="preserve"> PAGE   \* MERGEFORMAT </w:instrText>
        </w:r>
        <w:r>
          <w:fldChar w:fldCharType="separate"/>
        </w:r>
        <w:r>
          <w:rPr>
            <w:lang w:val="zh-CN"/>
          </w:rPr>
          <w:t>33</w:t>
        </w:r>
        <w:r>
          <w:rPr>
            <w:lang w:val="zh-CN"/>
          </w:rPr>
          <w:fldChar w:fldCharType="end"/>
        </w:r>
      </w:p>
    </w:sdtContent>
  </w:sdt>
  <w:p>
    <w:pPr>
      <w:pStyle w:val="18"/>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342837"/>
      <w:docPartObj>
        <w:docPartGallery w:val="autotext"/>
      </w:docPartObj>
    </w:sdtPr>
    <w:sdtContent>
      <w:p>
        <w:pPr>
          <w:pStyle w:val="18"/>
          <w:jc w:val="center"/>
        </w:pPr>
        <w:r>
          <w:fldChar w:fldCharType="begin"/>
        </w:r>
        <w:r>
          <w:instrText xml:space="preserve"> PAGE   \* MERGEFORMAT </w:instrText>
        </w:r>
        <w:r>
          <w:fldChar w:fldCharType="separate"/>
        </w:r>
        <w:r>
          <w:rPr>
            <w:lang w:val="zh-CN"/>
          </w:rPr>
          <w:t>33</w:t>
        </w:r>
        <w:r>
          <w:rPr>
            <w:lang w:val="zh-CN"/>
          </w:rPr>
          <w:fldChar w:fldCharType="end"/>
        </w:r>
      </w:p>
    </w:sdtContent>
  </w:sdt>
  <w:p>
    <w:pPr>
      <w:pStyle w:val="18"/>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jc w:val="left"/>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9"/>
                      <w:rPr>
                        <w:rFonts w:hint="eastAsia" w:eastAsia="宋体"/>
                        <w:lang w:eastAsia="zh-CN"/>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845EA4"/>
    <w:multiLevelType w:val="singleLevel"/>
    <w:tmpl w:val="A2845EA4"/>
    <w:lvl w:ilvl="0" w:tentative="0">
      <w:start w:val="1"/>
      <w:numFmt w:val="decimal"/>
      <w:suff w:val="nothing"/>
      <w:lvlText w:val="%1、"/>
      <w:lvlJc w:val="left"/>
    </w:lvl>
  </w:abstractNum>
  <w:abstractNum w:abstractNumId="1">
    <w:nsid w:val="2A0D1D3A"/>
    <w:multiLevelType w:val="singleLevel"/>
    <w:tmpl w:val="2A0D1D3A"/>
    <w:lvl w:ilvl="0" w:tentative="0">
      <w:start w:val="1"/>
      <w:numFmt w:val="decimal"/>
      <w:suff w:val="nothing"/>
      <w:lvlText w:val="%1、"/>
      <w:lvlJc w:val="left"/>
    </w:lvl>
  </w:abstractNum>
  <w:abstractNum w:abstractNumId="2">
    <w:nsid w:val="3AFA98C7"/>
    <w:multiLevelType w:val="singleLevel"/>
    <w:tmpl w:val="3AFA98C7"/>
    <w:lvl w:ilvl="0" w:tentative="0">
      <w:start w:val="7"/>
      <w:numFmt w:val="decimal"/>
      <w:suff w:val="nothing"/>
      <w:lvlText w:val="%1、"/>
      <w:lvlJc w:val="left"/>
    </w:lvl>
  </w:abstractNum>
  <w:abstractNum w:abstractNumId="3">
    <w:nsid w:val="68804528"/>
    <w:multiLevelType w:val="singleLevel"/>
    <w:tmpl w:val="68804528"/>
    <w:lvl w:ilvl="0" w:tentative="0">
      <w:start w:val="1"/>
      <w:numFmt w:val="decimal"/>
      <w:suff w:val="nothing"/>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110"/>
  <w:drawingGridVerticalSpacing w:val="-794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xYzdhN2U1YjlhOTQ5YzY2YjEwYjYwYzNiYzI0NWQifQ=="/>
  </w:docVars>
  <w:rsids>
    <w:rsidRoot w:val="6B850C29"/>
    <w:rsid w:val="0000664E"/>
    <w:rsid w:val="00007B6D"/>
    <w:rsid w:val="000170F7"/>
    <w:rsid w:val="0002074F"/>
    <w:rsid w:val="00073298"/>
    <w:rsid w:val="000772E1"/>
    <w:rsid w:val="00084AF3"/>
    <w:rsid w:val="00122075"/>
    <w:rsid w:val="00122D18"/>
    <w:rsid w:val="001255F1"/>
    <w:rsid w:val="0013602C"/>
    <w:rsid w:val="00137A69"/>
    <w:rsid w:val="00143F5B"/>
    <w:rsid w:val="00182248"/>
    <w:rsid w:val="001846F3"/>
    <w:rsid w:val="001A39E2"/>
    <w:rsid w:val="001A4108"/>
    <w:rsid w:val="0021183F"/>
    <w:rsid w:val="002405CE"/>
    <w:rsid w:val="0024323C"/>
    <w:rsid w:val="00244857"/>
    <w:rsid w:val="00275400"/>
    <w:rsid w:val="002B46EF"/>
    <w:rsid w:val="002C1CB2"/>
    <w:rsid w:val="002E6A92"/>
    <w:rsid w:val="002F72ED"/>
    <w:rsid w:val="003046FF"/>
    <w:rsid w:val="00333893"/>
    <w:rsid w:val="00335560"/>
    <w:rsid w:val="00365893"/>
    <w:rsid w:val="003A6233"/>
    <w:rsid w:val="003C05F8"/>
    <w:rsid w:val="003C0E58"/>
    <w:rsid w:val="003C27A7"/>
    <w:rsid w:val="003C613D"/>
    <w:rsid w:val="003D63F6"/>
    <w:rsid w:val="00400ED9"/>
    <w:rsid w:val="004056D1"/>
    <w:rsid w:val="004120DE"/>
    <w:rsid w:val="00414DD7"/>
    <w:rsid w:val="00423B34"/>
    <w:rsid w:val="00456AD7"/>
    <w:rsid w:val="004B7A4E"/>
    <w:rsid w:val="004C40EC"/>
    <w:rsid w:val="004D6F31"/>
    <w:rsid w:val="004F76C0"/>
    <w:rsid w:val="00502735"/>
    <w:rsid w:val="00507E2D"/>
    <w:rsid w:val="00511197"/>
    <w:rsid w:val="0052103A"/>
    <w:rsid w:val="00533FDA"/>
    <w:rsid w:val="005839D7"/>
    <w:rsid w:val="0059023A"/>
    <w:rsid w:val="00596B9E"/>
    <w:rsid w:val="005C734B"/>
    <w:rsid w:val="005D120E"/>
    <w:rsid w:val="005F53BF"/>
    <w:rsid w:val="00606883"/>
    <w:rsid w:val="00612345"/>
    <w:rsid w:val="006176E5"/>
    <w:rsid w:val="006230C1"/>
    <w:rsid w:val="006247C8"/>
    <w:rsid w:val="00625732"/>
    <w:rsid w:val="00634D69"/>
    <w:rsid w:val="00655A0D"/>
    <w:rsid w:val="0068079D"/>
    <w:rsid w:val="00693390"/>
    <w:rsid w:val="006A6EFD"/>
    <w:rsid w:val="006B0CFE"/>
    <w:rsid w:val="00703BD4"/>
    <w:rsid w:val="00705AFD"/>
    <w:rsid w:val="00726981"/>
    <w:rsid w:val="007276CA"/>
    <w:rsid w:val="00731732"/>
    <w:rsid w:val="00776D02"/>
    <w:rsid w:val="00795431"/>
    <w:rsid w:val="007B4F1B"/>
    <w:rsid w:val="007B4FE2"/>
    <w:rsid w:val="007F1D7D"/>
    <w:rsid w:val="007F742E"/>
    <w:rsid w:val="0080473F"/>
    <w:rsid w:val="008103A3"/>
    <w:rsid w:val="00812235"/>
    <w:rsid w:val="00820918"/>
    <w:rsid w:val="00822E69"/>
    <w:rsid w:val="008271EE"/>
    <w:rsid w:val="00827AEA"/>
    <w:rsid w:val="0084371B"/>
    <w:rsid w:val="00867BDE"/>
    <w:rsid w:val="00870741"/>
    <w:rsid w:val="008717A8"/>
    <w:rsid w:val="00880CB8"/>
    <w:rsid w:val="008A04D2"/>
    <w:rsid w:val="008D27CB"/>
    <w:rsid w:val="008D3252"/>
    <w:rsid w:val="008E0FFA"/>
    <w:rsid w:val="008E3AD1"/>
    <w:rsid w:val="008F6EB2"/>
    <w:rsid w:val="008F7495"/>
    <w:rsid w:val="00902C93"/>
    <w:rsid w:val="00913646"/>
    <w:rsid w:val="009317D1"/>
    <w:rsid w:val="00946E55"/>
    <w:rsid w:val="0096714E"/>
    <w:rsid w:val="0097365A"/>
    <w:rsid w:val="00981994"/>
    <w:rsid w:val="009B732C"/>
    <w:rsid w:val="009D19F6"/>
    <w:rsid w:val="009D2A8B"/>
    <w:rsid w:val="009F0F48"/>
    <w:rsid w:val="00A04D14"/>
    <w:rsid w:val="00A20350"/>
    <w:rsid w:val="00A21CB6"/>
    <w:rsid w:val="00A43A32"/>
    <w:rsid w:val="00A47D75"/>
    <w:rsid w:val="00A64FB7"/>
    <w:rsid w:val="00A6593F"/>
    <w:rsid w:val="00A7219D"/>
    <w:rsid w:val="00A815CC"/>
    <w:rsid w:val="00AA1F43"/>
    <w:rsid w:val="00AA7A19"/>
    <w:rsid w:val="00AE3743"/>
    <w:rsid w:val="00AF589D"/>
    <w:rsid w:val="00B02CF4"/>
    <w:rsid w:val="00B50557"/>
    <w:rsid w:val="00B569AE"/>
    <w:rsid w:val="00B6043D"/>
    <w:rsid w:val="00B81143"/>
    <w:rsid w:val="00B87950"/>
    <w:rsid w:val="00BA29EA"/>
    <w:rsid w:val="00BD50A9"/>
    <w:rsid w:val="00BE3AC6"/>
    <w:rsid w:val="00C313C9"/>
    <w:rsid w:val="00C72774"/>
    <w:rsid w:val="00CA778C"/>
    <w:rsid w:val="00CB0D76"/>
    <w:rsid w:val="00CB431F"/>
    <w:rsid w:val="00CF240E"/>
    <w:rsid w:val="00D25CA4"/>
    <w:rsid w:val="00D3491B"/>
    <w:rsid w:val="00D60A9D"/>
    <w:rsid w:val="00D70859"/>
    <w:rsid w:val="00DB4C43"/>
    <w:rsid w:val="00DB4EE0"/>
    <w:rsid w:val="00DC74A7"/>
    <w:rsid w:val="00DD5DB0"/>
    <w:rsid w:val="00DF2BCA"/>
    <w:rsid w:val="00DF7BCA"/>
    <w:rsid w:val="00E31175"/>
    <w:rsid w:val="00E34923"/>
    <w:rsid w:val="00E53EB7"/>
    <w:rsid w:val="00E7715D"/>
    <w:rsid w:val="00E82F34"/>
    <w:rsid w:val="00E86B61"/>
    <w:rsid w:val="00E91068"/>
    <w:rsid w:val="00EA122A"/>
    <w:rsid w:val="00EB1CB6"/>
    <w:rsid w:val="00EB33D5"/>
    <w:rsid w:val="00EC10CB"/>
    <w:rsid w:val="00EC22D1"/>
    <w:rsid w:val="00ED6A64"/>
    <w:rsid w:val="00F4033E"/>
    <w:rsid w:val="00F41B56"/>
    <w:rsid w:val="00F46D54"/>
    <w:rsid w:val="00FB4461"/>
    <w:rsid w:val="00FD4162"/>
    <w:rsid w:val="00FD44A1"/>
    <w:rsid w:val="00FF73D9"/>
    <w:rsid w:val="01074046"/>
    <w:rsid w:val="01087146"/>
    <w:rsid w:val="01251C63"/>
    <w:rsid w:val="01320A89"/>
    <w:rsid w:val="013D14D4"/>
    <w:rsid w:val="013F4762"/>
    <w:rsid w:val="014F62A2"/>
    <w:rsid w:val="01555D36"/>
    <w:rsid w:val="01564A0B"/>
    <w:rsid w:val="01571B3E"/>
    <w:rsid w:val="015B57CD"/>
    <w:rsid w:val="015C039B"/>
    <w:rsid w:val="015D0B69"/>
    <w:rsid w:val="0161232D"/>
    <w:rsid w:val="0162669E"/>
    <w:rsid w:val="016B7232"/>
    <w:rsid w:val="01731009"/>
    <w:rsid w:val="01755B07"/>
    <w:rsid w:val="01785925"/>
    <w:rsid w:val="017C1861"/>
    <w:rsid w:val="01814DD7"/>
    <w:rsid w:val="01855D40"/>
    <w:rsid w:val="01874589"/>
    <w:rsid w:val="018D5CCC"/>
    <w:rsid w:val="018F15B1"/>
    <w:rsid w:val="019330E1"/>
    <w:rsid w:val="019A26F4"/>
    <w:rsid w:val="01A76B9F"/>
    <w:rsid w:val="01AA6E84"/>
    <w:rsid w:val="01B3283C"/>
    <w:rsid w:val="01B55669"/>
    <w:rsid w:val="01BB651F"/>
    <w:rsid w:val="01C77ACE"/>
    <w:rsid w:val="01CB14EB"/>
    <w:rsid w:val="01CE06EA"/>
    <w:rsid w:val="01D504F3"/>
    <w:rsid w:val="01E02CC3"/>
    <w:rsid w:val="01E36F4E"/>
    <w:rsid w:val="01EE2233"/>
    <w:rsid w:val="020A6725"/>
    <w:rsid w:val="020B5247"/>
    <w:rsid w:val="02117A13"/>
    <w:rsid w:val="02175600"/>
    <w:rsid w:val="02201996"/>
    <w:rsid w:val="02215178"/>
    <w:rsid w:val="022B1076"/>
    <w:rsid w:val="02336432"/>
    <w:rsid w:val="023A0ACB"/>
    <w:rsid w:val="023F7854"/>
    <w:rsid w:val="02444CD5"/>
    <w:rsid w:val="024D3B57"/>
    <w:rsid w:val="02543B8E"/>
    <w:rsid w:val="02571FB0"/>
    <w:rsid w:val="0276779B"/>
    <w:rsid w:val="02774426"/>
    <w:rsid w:val="027D39E1"/>
    <w:rsid w:val="02847DB9"/>
    <w:rsid w:val="028B1BD6"/>
    <w:rsid w:val="029C681D"/>
    <w:rsid w:val="02B36B56"/>
    <w:rsid w:val="02BB49CE"/>
    <w:rsid w:val="02C9587A"/>
    <w:rsid w:val="02CE17E8"/>
    <w:rsid w:val="02DB343C"/>
    <w:rsid w:val="02DD20FE"/>
    <w:rsid w:val="02E318C8"/>
    <w:rsid w:val="02E75AF7"/>
    <w:rsid w:val="02E9438C"/>
    <w:rsid w:val="02E94D2D"/>
    <w:rsid w:val="02F726C6"/>
    <w:rsid w:val="030339CF"/>
    <w:rsid w:val="03035935"/>
    <w:rsid w:val="03063938"/>
    <w:rsid w:val="030D661A"/>
    <w:rsid w:val="03107520"/>
    <w:rsid w:val="031D6D1E"/>
    <w:rsid w:val="031E29D7"/>
    <w:rsid w:val="032343D2"/>
    <w:rsid w:val="03236089"/>
    <w:rsid w:val="032D73EC"/>
    <w:rsid w:val="033D1FC5"/>
    <w:rsid w:val="03441AEB"/>
    <w:rsid w:val="03483054"/>
    <w:rsid w:val="03531B2E"/>
    <w:rsid w:val="03665FE4"/>
    <w:rsid w:val="036D76E4"/>
    <w:rsid w:val="037263D9"/>
    <w:rsid w:val="03742523"/>
    <w:rsid w:val="0376595C"/>
    <w:rsid w:val="03815C3A"/>
    <w:rsid w:val="038559E0"/>
    <w:rsid w:val="03A21089"/>
    <w:rsid w:val="03AE7610"/>
    <w:rsid w:val="03B10EB7"/>
    <w:rsid w:val="03B1713F"/>
    <w:rsid w:val="03B22722"/>
    <w:rsid w:val="03CF5C14"/>
    <w:rsid w:val="03D07326"/>
    <w:rsid w:val="03DC235A"/>
    <w:rsid w:val="03DF073B"/>
    <w:rsid w:val="03E0331E"/>
    <w:rsid w:val="03E26B34"/>
    <w:rsid w:val="03E463D3"/>
    <w:rsid w:val="03EA4A92"/>
    <w:rsid w:val="03EF1C97"/>
    <w:rsid w:val="0409154E"/>
    <w:rsid w:val="040D15EA"/>
    <w:rsid w:val="041202D3"/>
    <w:rsid w:val="041B7AA1"/>
    <w:rsid w:val="042C6938"/>
    <w:rsid w:val="04313574"/>
    <w:rsid w:val="043F724A"/>
    <w:rsid w:val="0442423B"/>
    <w:rsid w:val="04434073"/>
    <w:rsid w:val="045D5E10"/>
    <w:rsid w:val="045E5B01"/>
    <w:rsid w:val="04702B56"/>
    <w:rsid w:val="04747836"/>
    <w:rsid w:val="0478104E"/>
    <w:rsid w:val="04883E48"/>
    <w:rsid w:val="04884804"/>
    <w:rsid w:val="0491352B"/>
    <w:rsid w:val="0496529C"/>
    <w:rsid w:val="049C7734"/>
    <w:rsid w:val="049F249A"/>
    <w:rsid w:val="04A86BEE"/>
    <w:rsid w:val="04A97CA0"/>
    <w:rsid w:val="04B35BE8"/>
    <w:rsid w:val="04BE0FEF"/>
    <w:rsid w:val="04C84A7D"/>
    <w:rsid w:val="04CE76E4"/>
    <w:rsid w:val="04D3141D"/>
    <w:rsid w:val="04E9332F"/>
    <w:rsid w:val="04F26F4E"/>
    <w:rsid w:val="05002400"/>
    <w:rsid w:val="05091489"/>
    <w:rsid w:val="050A32C4"/>
    <w:rsid w:val="051A341F"/>
    <w:rsid w:val="052147EF"/>
    <w:rsid w:val="05362AF7"/>
    <w:rsid w:val="05432981"/>
    <w:rsid w:val="05513968"/>
    <w:rsid w:val="0560382E"/>
    <w:rsid w:val="056636DB"/>
    <w:rsid w:val="05681A75"/>
    <w:rsid w:val="056D0811"/>
    <w:rsid w:val="05752390"/>
    <w:rsid w:val="05871DC9"/>
    <w:rsid w:val="058C6389"/>
    <w:rsid w:val="05925DF6"/>
    <w:rsid w:val="05A35D37"/>
    <w:rsid w:val="05A40B04"/>
    <w:rsid w:val="05AB6CBE"/>
    <w:rsid w:val="05B35541"/>
    <w:rsid w:val="05B97FF5"/>
    <w:rsid w:val="05BD097D"/>
    <w:rsid w:val="05C10E79"/>
    <w:rsid w:val="05C33333"/>
    <w:rsid w:val="05CB7C34"/>
    <w:rsid w:val="05D05B48"/>
    <w:rsid w:val="05D07F44"/>
    <w:rsid w:val="05D21474"/>
    <w:rsid w:val="05D45FEB"/>
    <w:rsid w:val="05DD7822"/>
    <w:rsid w:val="05E5128D"/>
    <w:rsid w:val="05F05F3C"/>
    <w:rsid w:val="05F33DE3"/>
    <w:rsid w:val="05F5438C"/>
    <w:rsid w:val="05FD2716"/>
    <w:rsid w:val="06023097"/>
    <w:rsid w:val="0604537E"/>
    <w:rsid w:val="06101C8C"/>
    <w:rsid w:val="062B60C2"/>
    <w:rsid w:val="06326A2D"/>
    <w:rsid w:val="06396A33"/>
    <w:rsid w:val="06413FA8"/>
    <w:rsid w:val="064B7704"/>
    <w:rsid w:val="06507805"/>
    <w:rsid w:val="06575936"/>
    <w:rsid w:val="06602BB4"/>
    <w:rsid w:val="06637207"/>
    <w:rsid w:val="066C1959"/>
    <w:rsid w:val="067B719C"/>
    <w:rsid w:val="06807BE4"/>
    <w:rsid w:val="06820453"/>
    <w:rsid w:val="068948CD"/>
    <w:rsid w:val="06932FF7"/>
    <w:rsid w:val="06A341A7"/>
    <w:rsid w:val="06A82F5B"/>
    <w:rsid w:val="06B75333"/>
    <w:rsid w:val="06C1338D"/>
    <w:rsid w:val="06C34A90"/>
    <w:rsid w:val="06D44F60"/>
    <w:rsid w:val="06E33B5C"/>
    <w:rsid w:val="06E86867"/>
    <w:rsid w:val="06E95FD1"/>
    <w:rsid w:val="06EF4912"/>
    <w:rsid w:val="06F339AF"/>
    <w:rsid w:val="06F92C5D"/>
    <w:rsid w:val="06FD211F"/>
    <w:rsid w:val="070047B4"/>
    <w:rsid w:val="070159FE"/>
    <w:rsid w:val="07052346"/>
    <w:rsid w:val="070839E5"/>
    <w:rsid w:val="070D4194"/>
    <w:rsid w:val="070F7A14"/>
    <w:rsid w:val="07106B48"/>
    <w:rsid w:val="071A4A25"/>
    <w:rsid w:val="071F425E"/>
    <w:rsid w:val="07335F45"/>
    <w:rsid w:val="07386A5E"/>
    <w:rsid w:val="073B41FD"/>
    <w:rsid w:val="074D22D5"/>
    <w:rsid w:val="074F04F1"/>
    <w:rsid w:val="07545637"/>
    <w:rsid w:val="075D175E"/>
    <w:rsid w:val="0760459B"/>
    <w:rsid w:val="07650044"/>
    <w:rsid w:val="07787161"/>
    <w:rsid w:val="077A7B8A"/>
    <w:rsid w:val="07A028AF"/>
    <w:rsid w:val="07A1446C"/>
    <w:rsid w:val="07A40B28"/>
    <w:rsid w:val="07A502F4"/>
    <w:rsid w:val="07AA4CD9"/>
    <w:rsid w:val="07BC43A4"/>
    <w:rsid w:val="07BC729D"/>
    <w:rsid w:val="07C90E80"/>
    <w:rsid w:val="07D21D7A"/>
    <w:rsid w:val="07D22F1A"/>
    <w:rsid w:val="07D608D5"/>
    <w:rsid w:val="07D87287"/>
    <w:rsid w:val="07DC5FAA"/>
    <w:rsid w:val="07E37B1C"/>
    <w:rsid w:val="07E509E1"/>
    <w:rsid w:val="07EE390E"/>
    <w:rsid w:val="07F0031C"/>
    <w:rsid w:val="082D6213"/>
    <w:rsid w:val="082E414A"/>
    <w:rsid w:val="08342D07"/>
    <w:rsid w:val="0834513C"/>
    <w:rsid w:val="08483D46"/>
    <w:rsid w:val="08491145"/>
    <w:rsid w:val="08596130"/>
    <w:rsid w:val="085E7AE4"/>
    <w:rsid w:val="086134C4"/>
    <w:rsid w:val="08686183"/>
    <w:rsid w:val="086C4F68"/>
    <w:rsid w:val="08710E0F"/>
    <w:rsid w:val="087566B7"/>
    <w:rsid w:val="08831B75"/>
    <w:rsid w:val="088D0831"/>
    <w:rsid w:val="08A211FF"/>
    <w:rsid w:val="08A510FD"/>
    <w:rsid w:val="08A623AF"/>
    <w:rsid w:val="08AC7940"/>
    <w:rsid w:val="08AD335A"/>
    <w:rsid w:val="08B6623B"/>
    <w:rsid w:val="08B662E7"/>
    <w:rsid w:val="08C30554"/>
    <w:rsid w:val="08D36930"/>
    <w:rsid w:val="08E33990"/>
    <w:rsid w:val="08E94ECE"/>
    <w:rsid w:val="08EA1524"/>
    <w:rsid w:val="08FB3880"/>
    <w:rsid w:val="0901439C"/>
    <w:rsid w:val="09065566"/>
    <w:rsid w:val="090B2DF9"/>
    <w:rsid w:val="090C053C"/>
    <w:rsid w:val="090E7C9B"/>
    <w:rsid w:val="091468DD"/>
    <w:rsid w:val="093375BB"/>
    <w:rsid w:val="09385D4D"/>
    <w:rsid w:val="094F58AB"/>
    <w:rsid w:val="094F5C49"/>
    <w:rsid w:val="095A0746"/>
    <w:rsid w:val="096E2CA3"/>
    <w:rsid w:val="097C41BE"/>
    <w:rsid w:val="098477C5"/>
    <w:rsid w:val="09882276"/>
    <w:rsid w:val="09886F8A"/>
    <w:rsid w:val="098B7D00"/>
    <w:rsid w:val="09927ABB"/>
    <w:rsid w:val="09962F02"/>
    <w:rsid w:val="09987EDA"/>
    <w:rsid w:val="09B25955"/>
    <w:rsid w:val="09B62172"/>
    <w:rsid w:val="09B66121"/>
    <w:rsid w:val="09BC676A"/>
    <w:rsid w:val="09BF31F9"/>
    <w:rsid w:val="09C7288A"/>
    <w:rsid w:val="09CC00F6"/>
    <w:rsid w:val="09CE3031"/>
    <w:rsid w:val="09D32AA4"/>
    <w:rsid w:val="09D427C0"/>
    <w:rsid w:val="09DC4DF0"/>
    <w:rsid w:val="09E22E5A"/>
    <w:rsid w:val="09EA3420"/>
    <w:rsid w:val="09EA7403"/>
    <w:rsid w:val="09F01221"/>
    <w:rsid w:val="09F064E7"/>
    <w:rsid w:val="09F64B8F"/>
    <w:rsid w:val="0A183BDE"/>
    <w:rsid w:val="0A207B1F"/>
    <w:rsid w:val="0A2723E4"/>
    <w:rsid w:val="0A2A36C4"/>
    <w:rsid w:val="0A2E5D2E"/>
    <w:rsid w:val="0A555046"/>
    <w:rsid w:val="0A5C6E0F"/>
    <w:rsid w:val="0A796CC5"/>
    <w:rsid w:val="0A7D181C"/>
    <w:rsid w:val="0A827AF5"/>
    <w:rsid w:val="0A841A62"/>
    <w:rsid w:val="0A844B06"/>
    <w:rsid w:val="0A857D39"/>
    <w:rsid w:val="0A885898"/>
    <w:rsid w:val="0A8D64ED"/>
    <w:rsid w:val="0A8D7DFD"/>
    <w:rsid w:val="0A903042"/>
    <w:rsid w:val="0A917864"/>
    <w:rsid w:val="0AA01447"/>
    <w:rsid w:val="0AA71C88"/>
    <w:rsid w:val="0AA95240"/>
    <w:rsid w:val="0AAE031A"/>
    <w:rsid w:val="0ABA440B"/>
    <w:rsid w:val="0ABF7418"/>
    <w:rsid w:val="0ACB0662"/>
    <w:rsid w:val="0AD140C6"/>
    <w:rsid w:val="0AD36DC9"/>
    <w:rsid w:val="0AE1709D"/>
    <w:rsid w:val="0AEF1CA4"/>
    <w:rsid w:val="0AF62D76"/>
    <w:rsid w:val="0AFC4F93"/>
    <w:rsid w:val="0AFC7A29"/>
    <w:rsid w:val="0B000355"/>
    <w:rsid w:val="0B032D8A"/>
    <w:rsid w:val="0B0A635E"/>
    <w:rsid w:val="0B103B47"/>
    <w:rsid w:val="0B19173D"/>
    <w:rsid w:val="0B1D50BA"/>
    <w:rsid w:val="0B2064B2"/>
    <w:rsid w:val="0B2D4768"/>
    <w:rsid w:val="0B3558A5"/>
    <w:rsid w:val="0B385C98"/>
    <w:rsid w:val="0B3B3643"/>
    <w:rsid w:val="0B42435B"/>
    <w:rsid w:val="0B426D02"/>
    <w:rsid w:val="0B483DAF"/>
    <w:rsid w:val="0B4A77EA"/>
    <w:rsid w:val="0B4B547D"/>
    <w:rsid w:val="0B4F1AAF"/>
    <w:rsid w:val="0B505CD8"/>
    <w:rsid w:val="0B5B7DD1"/>
    <w:rsid w:val="0B5D4EE0"/>
    <w:rsid w:val="0B63435B"/>
    <w:rsid w:val="0B8A7168"/>
    <w:rsid w:val="0B8B10C0"/>
    <w:rsid w:val="0B99666A"/>
    <w:rsid w:val="0B997CAF"/>
    <w:rsid w:val="0B9E62C4"/>
    <w:rsid w:val="0BA13491"/>
    <w:rsid w:val="0BA51239"/>
    <w:rsid w:val="0BA645D0"/>
    <w:rsid w:val="0BBD1B43"/>
    <w:rsid w:val="0BC466F4"/>
    <w:rsid w:val="0BC631B1"/>
    <w:rsid w:val="0BC726AE"/>
    <w:rsid w:val="0BC83278"/>
    <w:rsid w:val="0BCC24DE"/>
    <w:rsid w:val="0BD27054"/>
    <w:rsid w:val="0BD45DB0"/>
    <w:rsid w:val="0BDC7020"/>
    <w:rsid w:val="0BE175FA"/>
    <w:rsid w:val="0BF65842"/>
    <w:rsid w:val="0C270BC3"/>
    <w:rsid w:val="0C2B34D5"/>
    <w:rsid w:val="0C346CC5"/>
    <w:rsid w:val="0C3D07BF"/>
    <w:rsid w:val="0C4613F7"/>
    <w:rsid w:val="0C5251EE"/>
    <w:rsid w:val="0C5974B7"/>
    <w:rsid w:val="0C5E192C"/>
    <w:rsid w:val="0C68751A"/>
    <w:rsid w:val="0C7505D5"/>
    <w:rsid w:val="0C7722F9"/>
    <w:rsid w:val="0C810D74"/>
    <w:rsid w:val="0C8223AA"/>
    <w:rsid w:val="0C825A90"/>
    <w:rsid w:val="0C87620F"/>
    <w:rsid w:val="0C8B1CB3"/>
    <w:rsid w:val="0C8C7FCB"/>
    <w:rsid w:val="0C8F7B18"/>
    <w:rsid w:val="0C9F555A"/>
    <w:rsid w:val="0CA347A7"/>
    <w:rsid w:val="0CB030D0"/>
    <w:rsid w:val="0CBD2E10"/>
    <w:rsid w:val="0CBD7D37"/>
    <w:rsid w:val="0CBE6AA1"/>
    <w:rsid w:val="0CCA4B07"/>
    <w:rsid w:val="0CCF5AA7"/>
    <w:rsid w:val="0CD20F22"/>
    <w:rsid w:val="0CD42BF0"/>
    <w:rsid w:val="0CD574E2"/>
    <w:rsid w:val="0CD635DC"/>
    <w:rsid w:val="0CE1113C"/>
    <w:rsid w:val="0CEF17A5"/>
    <w:rsid w:val="0D042796"/>
    <w:rsid w:val="0D1666C2"/>
    <w:rsid w:val="0D2F145E"/>
    <w:rsid w:val="0D3201BB"/>
    <w:rsid w:val="0D446F88"/>
    <w:rsid w:val="0D6C0F92"/>
    <w:rsid w:val="0D782A7C"/>
    <w:rsid w:val="0D862E26"/>
    <w:rsid w:val="0D871BC2"/>
    <w:rsid w:val="0D887163"/>
    <w:rsid w:val="0D8F2357"/>
    <w:rsid w:val="0D9A621B"/>
    <w:rsid w:val="0DA16BA8"/>
    <w:rsid w:val="0DA65670"/>
    <w:rsid w:val="0DA77083"/>
    <w:rsid w:val="0DB11C19"/>
    <w:rsid w:val="0DC652DC"/>
    <w:rsid w:val="0DCA2163"/>
    <w:rsid w:val="0DCC33D9"/>
    <w:rsid w:val="0DD07926"/>
    <w:rsid w:val="0DDB0847"/>
    <w:rsid w:val="0DDC7116"/>
    <w:rsid w:val="0DF3401C"/>
    <w:rsid w:val="0DF5249E"/>
    <w:rsid w:val="0DFF1CA5"/>
    <w:rsid w:val="0E1A6B31"/>
    <w:rsid w:val="0E2461F6"/>
    <w:rsid w:val="0E2A3D70"/>
    <w:rsid w:val="0E2D7D0A"/>
    <w:rsid w:val="0E3A01FA"/>
    <w:rsid w:val="0E3C19C8"/>
    <w:rsid w:val="0E4404B2"/>
    <w:rsid w:val="0E4410A5"/>
    <w:rsid w:val="0E4970D4"/>
    <w:rsid w:val="0E4B613E"/>
    <w:rsid w:val="0E4C3E08"/>
    <w:rsid w:val="0E527771"/>
    <w:rsid w:val="0E543543"/>
    <w:rsid w:val="0E553BAF"/>
    <w:rsid w:val="0E6377E1"/>
    <w:rsid w:val="0E761B6C"/>
    <w:rsid w:val="0E773ABB"/>
    <w:rsid w:val="0E7F3F63"/>
    <w:rsid w:val="0E8807BD"/>
    <w:rsid w:val="0E924011"/>
    <w:rsid w:val="0E9B4995"/>
    <w:rsid w:val="0E9D4EFB"/>
    <w:rsid w:val="0EAD5805"/>
    <w:rsid w:val="0EB45735"/>
    <w:rsid w:val="0EBF4221"/>
    <w:rsid w:val="0EC1568B"/>
    <w:rsid w:val="0EC20938"/>
    <w:rsid w:val="0EC97C62"/>
    <w:rsid w:val="0ED9617E"/>
    <w:rsid w:val="0EE11F36"/>
    <w:rsid w:val="0EE3789D"/>
    <w:rsid w:val="0EE42959"/>
    <w:rsid w:val="0EEA1BC7"/>
    <w:rsid w:val="0EFD2849"/>
    <w:rsid w:val="0F0668CA"/>
    <w:rsid w:val="0F0D7B3F"/>
    <w:rsid w:val="0F242EBB"/>
    <w:rsid w:val="0F2E7F18"/>
    <w:rsid w:val="0F31112A"/>
    <w:rsid w:val="0F3B4855"/>
    <w:rsid w:val="0F3E0D8F"/>
    <w:rsid w:val="0F4126ED"/>
    <w:rsid w:val="0F4328C8"/>
    <w:rsid w:val="0F500AB0"/>
    <w:rsid w:val="0F524416"/>
    <w:rsid w:val="0F5C78A9"/>
    <w:rsid w:val="0F5D3222"/>
    <w:rsid w:val="0F5D59BD"/>
    <w:rsid w:val="0F6147A0"/>
    <w:rsid w:val="0F6436AB"/>
    <w:rsid w:val="0F735BF1"/>
    <w:rsid w:val="0F76004A"/>
    <w:rsid w:val="0F761DF7"/>
    <w:rsid w:val="0F7F46C4"/>
    <w:rsid w:val="0F815185"/>
    <w:rsid w:val="0F8D109F"/>
    <w:rsid w:val="0F8F2578"/>
    <w:rsid w:val="0F945149"/>
    <w:rsid w:val="0FA56FC7"/>
    <w:rsid w:val="0FA96E6B"/>
    <w:rsid w:val="0FAD3053"/>
    <w:rsid w:val="0FAF00BC"/>
    <w:rsid w:val="0FB6376E"/>
    <w:rsid w:val="0FBA4E83"/>
    <w:rsid w:val="0FBC73ED"/>
    <w:rsid w:val="0FBF07D3"/>
    <w:rsid w:val="0FC54EE6"/>
    <w:rsid w:val="0FD609C1"/>
    <w:rsid w:val="0FE2665E"/>
    <w:rsid w:val="0FF6328B"/>
    <w:rsid w:val="10052627"/>
    <w:rsid w:val="100C3E07"/>
    <w:rsid w:val="1017171F"/>
    <w:rsid w:val="101B4FC5"/>
    <w:rsid w:val="10206FB0"/>
    <w:rsid w:val="10230B93"/>
    <w:rsid w:val="10333EDE"/>
    <w:rsid w:val="103831C6"/>
    <w:rsid w:val="103E4562"/>
    <w:rsid w:val="10404158"/>
    <w:rsid w:val="10524AF7"/>
    <w:rsid w:val="10667BFA"/>
    <w:rsid w:val="106F19C5"/>
    <w:rsid w:val="10820F19"/>
    <w:rsid w:val="108A4404"/>
    <w:rsid w:val="108A7C66"/>
    <w:rsid w:val="109A0CC1"/>
    <w:rsid w:val="10A136B9"/>
    <w:rsid w:val="10A42E2D"/>
    <w:rsid w:val="10A44B24"/>
    <w:rsid w:val="10A565D2"/>
    <w:rsid w:val="10AF51E5"/>
    <w:rsid w:val="10B42F83"/>
    <w:rsid w:val="10BA6E1A"/>
    <w:rsid w:val="10BB0E4D"/>
    <w:rsid w:val="10C2430D"/>
    <w:rsid w:val="10C462FA"/>
    <w:rsid w:val="10C6414F"/>
    <w:rsid w:val="10C90ACF"/>
    <w:rsid w:val="10CA3BDC"/>
    <w:rsid w:val="10CC3260"/>
    <w:rsid w:val="10CF3E89"/>
    <w:rsid w:val="10D51C8E"/>
    <w:rsid w:val="10D805D5"/>
    <w:rsid w:val="10E84C83"/>
    <w:rsid w:val="10F918EB"/>
    <w:rsid w:val="11061E31"/>
    <w:rsid w:val="111B28C2"/>
    <w:rsid w:val="112003A1"/>
    <w:rsid w:val="11293937"/>
    <w:rsid w:val="113822C9"/>
    <w:rsid w:val="11413EB7"/>
    <w:rsid w:val="1146686D"/>
    <w:rsid w:val="114F1313"/>
    <w:rsid w:val="11565CBD"/>
    <w:rsid w:val="11637FF6"/>
    <w:rsid w:val="11641C95"/>
    <w:rsid w:val="11706D7A"/>
    <w:rsid w:val="11706ED2"/>
    <w:rsid w:val="117307F9"/>
    <w:rsid w:val="11796DD7"/>
    <w:rsid w:val="117B2EF3"/>
    <w:rsid w:val="118A79F7"/>
    <w:rsid w:val="1192561D"/>
    <w:rsid w:val="11941056"/>
    <w:rsid w:val="119909C8"/>
    <w:rsid w:val="119B2E2E"/>
    <w:rsid w:val="119D4013"/>
    <w:rsid w:val="11A23BF6"/>
    <w:rsid w:val="11A6066D"/>
    <w:rsid w:val="11A87179"/>
    <w:rsid w:val="11AB4549"/>
    <w:rsid w:val="11AD4468"/>
    <w:rsid w:val="11AE7D52"/>
    <w:rsid w:val="11B52839"/>
    <w:rsid w:val="11CA4CC1"/>
    <w:rsid w:val="11D67F5D"/>
    <w:rsid w:val="11D75F2A"/>
    <w:rsid w:val="11DD0499"/>
    <w:rsid w:val="11DD31D1"/>
    <w:rsid w:val="11E42EA6"/>
    <w:rsid w:val="11F41772"/>
    <w:rsid w:val="12046B3C"/>
    <w:rsid w:val="1208336E"/>
    <w:rsid w:val="1220793A"/>
    <w:rsid w:val="12211262"/>
    <w:rsid w:val="122C3702"/>
    <w:rsid w:val="122E55DD"/>
    <w:rsid w:val="12333415"/>
    <w:rsid w:val="12334A21"/>
    <w:rsid w:val="123D3805"/>
    <w:rsid w:val="12412EA7"/>
    <w:rsid w:val="12447BF0"/>
    <w:rsid w:val="126D039E"/>
    <w:rsid w:val="127508B0"/>
    <w:rsid w:val="1285444F"/>
    <w:rsid w:val="12854E8E"/>
    <w:rsid w:val="12AF2AF5"/>
    <w:rsid w:val="12C32643"/>
    <w:rsid w:val="12C60065"/>
    <w:rsid w:val="12C752F2"/>
    <w:rsid w:val="12DA0E63"/>
    <w:rsid w:val="12DD0117"/>
    <w:rsid w:val="12DD4D68"/>
    <w:rsid w:val="12DE4FDF"/>
    <w:rsid w:val="12F04D11"/>
    <w:rsid w:val="12F176F2"/>
    <w:rsid w:val="12F56A98"/>
    <w:rsid w:val="12F862BA"/>
    <w:rsid w:val="130200A8"/>
    <w:rsid w:val="130A7E0F"/>
    <w:rsid w:val="130F4894"/>
    <w:rsid w:val="13141E2E"/>
    <w:rsid w:val="13171052"/>
    <w:rsid w:val="131B17A3"/>
    <w:rsid w:val="131E6CBD"/>
    <w:rsid w:val="13220DA4"/>
    <w:rsid w:val="132E25B7"/>
    <w:rsid w:val="133875FC"/>
    <w:rsid w:val="133935F6"/>
    <w:rsid w:val="13394607"/>
    <w:rsid w:val="133C1B34"/>
    <w:rsid w:val="133F7E3E"/>
    <w:rsid w:val="134A6FA1"/>
    <w:rsid w:val="135855BA"/>
    <w:rsid w:val="13636863"/>
    <w:rsid w:val="137148E6"/>
    <w:rsid w:val="13926C8F"/>
    <w:rsid w:val="139460E2"/>
    <w:rsid w:val="139C0911"/>
    <w:rsid w:val="13A34909"/>
    <w:rsid w:val="13B26B58"/>
    <w:rsid w:val="13BF68B0"/>
    <w:rsid w:val="13C2059E"/>
    <w:rsid w:val="13C82342"/>
    <w:rsid w:val="13CB2A15"/>
    <w:rsid w:val="13CD22A1"/>
    <w:rsid w:val="13D171C9"/>
    <w:rsid w:val="13D34164"/>
    <w:rsid w:val="13E928B9"/>
    <w:rsid w:val="13EA53CB"/>
    <w:rsid w:val="13F8578D"/>
    <w:rsid w:val="14023E93"/>
    <w:rsid w:val="140305DD"/>
    <w:rsid w:val="140D4CC3"/>
    <w:rsid w:val="141603FF"/>
    <w:rsid w:val="14196037"/>
    <w:rsid w:val="141A1890"/>
    <w:rsid w:val="141E7A5A"/>
    <w:rsid w:val="1428784E"/>
    <w:rsid w:val="142F4A58"/>
    <w:rsid w:val="14311C32"/>
    <w:rsid w:val="143343BC"/>
    <w:rsid w:val="143B3F94"/>
    <w:rsid w:val="143E155D"/>
    <w:rsid w:val="14434081"/>
    <w:rsid w:val="14524FEA"/>
    <w:rsid w:val="14537D60"/>
    <w:rsid w:val="145F55A0"/>
    <w:rsid w:val="146A2630"/>
    <w:rsid w:val="146D09C8"/>
    <w:rsid w:val="14753CCA"/>
    <w:rsid w:val="14785993"/>
    <w:rsid w:val="147E7D46"/>
    <w:rsid w:val="1485728F"/>
    <w:rsid w:val="14874CB2"/>
    <w:rsid w:val="14B27947"/>
    <w:rsid w:val="14BE4E9D"/>
    <w:rsid w:val="14C11702"/>
    <w:rsid w:val="14C967EE"/>
    <w:rsid w:val="14DD0CB2"/>
    <w:rsid w:val="14E32182"/>
    <w:rsid w:val="14E46859"/>
    <w:rsid w:val="14E5108F"/>
    <w:rsid w:val="14E56D7F"/>
    <w:rsid w:val="14FC6299"/>
    <w:rsid w:val="15092CE2"/>
    <w:rsid w:val="15146B8D"/>
    <w:rsid w:val="151E3928"/>
    <w:rsid w:val="15270A82"/>
    <w:rsid w:val="153348AC"/>
    <w:rsid w:val="153649F6"/>
    <w:rsid w:val="15410E26"/>
    <w:rsid w:val="15431BC1"/>
    <w:rsid w:val="154926B6"/>
    <w:rsid w:val="155D7538"/>
    <w:rsid w:val="15602622"/>
    <w:rsid w:val="156F7D91"/>
    <w:rsid w:val="15882251"/>
    <w:rsid w:val="158C79C7"/>
    <w:rsid w:val="159F0ADB"/>
    <w:rsid w:val="15A27F8D"/>
    <w:rsid w:val="15A41023"/>
    <w:rsid w:val="15A7329A"/>
    <w:rsid w:val="15B02087"/>
    <w:rsid w:val="15BC1A66"/>
    <w:rsid w:val="15C20B7F"/>
    <w:rsid w:val="15C63674"/>
    <w:rsid w:val="15C7162A"/>
    <w:rsid w:val="15C71BAE"/>
    <w:rsid w:val="15D62F35"/>
    <w:rsid w:val="15E31513"/>
    <w:rsid w:val="15E33711"/>
    <w:rsid w:val="15E74810"/>
    <w:rsid w:val="16026D80"/>
    <w:rsid w:val="16094054"/>
    <w:rsid w:val="160B72AB"/>
    <w:rsid w:val="160F4D63"/>
    <w:rsid w:val="1611364A"/>
    <w:rsid w:val="16214B8C"/>
    <w:rsid w:val="162504D3"/>
    <w:rsid w:val="163A210E"/>
    <w:rsid w:val="163A71FB"/>
    <w:rsid w:val="163F3A39"/>
    <w:rsid w:val="164C3FF0"/>
    <w:rsid w:val="16522EBE"/>
    <w:rsid w:val="165E3EAB"/>
    <w:rsid w:val="165E551D"/>
    <w:rsid w:val="16720795"/>
    <w:rsid w:val="16757DC4"/>
    <w:rsid w:val="167B13A6"/>
    <w:rsid w:val="167F56C3"/>
    <w:rsid w:val="16A72652"/>
    <w:rsid w:val="16A77DCA"/>
    <w:rsid w:val="16AF43BD"/>
    <w:rsid w:val="16B24BC7"/>
    <w:rsid w:val="16B34234"/>
    <w:rsid w:val="16D34240"/>
    <w:rsid w:val="16E16A86"/>
    <w:rsid w:val="16E91EEF"/>
    <w:rsid w:val="16F76675"/>
    <w:rsid w:val="1702673E"/>
    <w:rsid w:val="170764AD"/>
    <w:rsid w:val="1712743B"/>
    <w:rsid w:val="17146B43"/>
    <w:rsid w:val="17317359"/>
    <w:rsid w:val="17334AF3"/>
    <w:rsid w:val="1734260A"/>
    <w:rsid w:val="17373E74"/>
    <w:rsid w:val="17407BE4"/>
    <w:rsid w:val="1749489B"/>
    <w:rsid w:val="17566A11"/>
    <w:rsid w:val="17671511"/>
    <w:rsid w:val="176A1936"/>
    <w:rsid w:val="176D08D2"/>
    <w:rsid w:val="176D1612"/>
    <w:rsid w:val="176E29FA"/>
    <w:rsid w:val="177D7B9E"/>
    <w:rsid w:val="178A3401"/>
    <w:rsid w:val="178B2C19"/>
    <w:rsid w:val="17914411"/>
    <w:rsid w:val="17A27073"/>
    <w:rsid w:val="17A35554"/>
    <w:rsid w:val="17A4371E"/>
    <w:rsid w:val="17A804B8"/>
    <w:rsid w:val="17B71F43"/>
    <w:rsid w:val="17BB1EE3"/>
    <w:rsid w:val="17BB244C"/>
    <w:rsid w:val="17C17CA8"/>
    <w:rsid w:val="17C95459"/>
    <w:rsid w:val="17DA0856"/>
    <w:rsid w:val="17E7529B"/>
    <w:rsid w:val="17EB538A"/>
    <w:rsid w:val="17F21008"/>
    <w:rsid w:val="17F61C55"/>
    <w:rsid w:val="17F70B81"/>
    <w:rsid w:val="17F75769"/>
    <w:rsid w:val="17F91DD3"/>
    <w:rsid w:val="17FE294B"/>
    <w:rsid w:val="17FF78E9"/>
    <w:rsid w:val="18082A99"/>
    <w:rsid w:val="180947FD"/>
    <w:rsid w:val="18115A0E"/>
    <w:rsid w:val="181236E7"/>
    <w:rsid w:val="182A6AA0"/>
    <w:rsid w:val="182C22CC"/>
    <w:rsid w:val="182E1F2D"/>
    <w:rsid w:val="182F2F78"/>
    <w:rsid w:val="183C3E93"/>
    <w:rsid w:val="183C63FF"/>
    <w:rsid w:val="183E1116"/>
    <w:rsid w:val="18413D8A"/>
    <w:rsid w:val="186C17FC"/>
    <w:rsid w:val="186E6F89"/>
    <w:rsid w:val="187A0FAC"/>
    <w:rsid w:val="18923E81"/>
    <w:rsid w:val="189268DB"/>
    <w:rsid w:val="189370B5"/>
    <w:rsid w:val="18965EA0"/>
    <w:rsid w:val="189E21A5"/>
    <w:rsid w:val="18A075EC"/>
    <w:rsid w:val="18A36151"/>
    <w:rsid w:val="18C21A9E"/>
    <w:rsid w:val="18CC3E05"/>
    <w:rsid w:val="18CE0FAF"/>
    <w:rsid w:val="18ED2160"/>
    <w:rsid w:val="18EE3749"/>
    <w:rsid w:val="18F676BF"/>
    <w:rsid w:val="19150E17"/>
    <w:rsid w:val="19161247"/>
    <w:rsid w:val="19241126"/>
    <w:rsid w:val="19267E02"/>
    <w:rsid w:val="19332501"/>
    <w:rsid w:val="19444F26"/>
    <w:rsid w:val="194C39B8"/>
    <w:rsid w:val="19514EAD"/>
    <w:rsid w:val="19584FD4"/>
    <w:rsid w:val="195B1ABE"/>
    <w:rsid w:val="195C1080"/>
    <w:rsid w:val="195D28C8"/>
    <w:rsid w:val="19664670"/>
    <w:rsid w:val="19716B5F"/>
    <w:rsid w:val="197431A8"/>
    <w:rsid w:val="19747000"/>
    <w:rsid w:val="19761130"/>
    <w:rsid w:val="197B7DD0"/>
    <w:rsid w:val="198C6BA3"/>
    <w:rsid w:val="19904CDA"/>
    <w:rsid w:val="19944212"/>
    <w:rsid w:val="19996254"/>
    <w:rsid w:val="19A848CE"/>
    <w:rsid w:val="19AA00F1"/>
    <w:rsid w:val="19B625BD"/>
    <w:rsid w:val="19BF38D3"/>
    <w:rsid w:val="19BF43BA"/>
    <w:rsid w:val="19C84559"/>
    <w:rsid w:val="19DA3D6E"/>
    <w:rsid w:val="19DE543D"/>
    <w:rsid w:val="19E26A19"/>
    <w:rsid w:val="19ED508F"/>
    <w:rsid w:val="19F51DAE"/>
    <w:rsid w:val="19F809AC"/>
    <w:rsid w:val="19FB1216"/>
    <w:rsid w:val="1A05381A"/>
    <w:rsid w:val="1A061BAE"/>
    <w:rsid w:val="1A1A1755"/>
    <w:rsid w:val="1A3B7251"/>
    <w:rsid w:val="1A3D459F"/>
    <w:rsid w:val="1A3F0085"/>
    <w:rsid w:val="1A481648"/>
    <w:rsid w:val="1A493DA2"/>
    <w:rsid w:val="1A566B3C"/>
    <w:rsid w:val="1A691311"/>
    <w:rsid w:val="1A7515F6"/>
    <w:rsid w:val="1A7E6681"/>
    <w:rsid w:val="1A934F6D"/>
    <w:rsid w:val="1A9A2DD4"/>
    <w:rsid w:val="1AA5105E"/>
    <w:rsid w:val="1AB24202"/>
    <w:rsid w:val="1AB43B0E"/>
    <w:rsid w:val="1ABC52F8"/>
    <w:rsid w:val="1AD450BF"/>
    <w:rsid w:val="1AD67472"/>
    <w:rsid w:val="1AE16104"/>
    <w:rsid w:val="1AE6196C"/>
    <w:rsid w:val="1AEE3DBC"/>
    <w:rsid w:val="1AF172F9"/>
    <w:rsid w:val="1AF44089"/>
    <w:rsid w:val="1AF77E4C"/>
    <w:rsid w:val="1AFA5DD3"/>
    <w:rsid w:val="1B0D0CA7"/>
    <w:rsid w:val="1B31066B"/>
    <w:rsid w:val="1B35192F"/>
    <w:rsid w:val="1B425636"/>
    <w:rsid w:val="1B516820"/>
    <w:rsid w:val="1B5C685A"/>
    <w:rsid w:val="1B5F55F8"/>
    <w:rsid w:val="1B6400DD"/>
    <w:rsid w:val="1B6C3AA8"/>
    <w:rsid w:val="1B6C451D"/>
    <w:rsid w:val="1B6C67DE"/>
    <w:rsid w:val="1B8026BE"/>
    <w:rsid w:val="1B812BD5"/>
    <w:rsid w:val="1B8C246C"/>
    <w:rsid w:val="1B957A34"/>
    <w:rsid w:val="1BA416A0"/>
    <w:rsid w:val="1BA94243"/>
    <w:rsid w:val="1BAA7B74"/>
    <w:rsid w:val="1BB22F8B"/>
    <w:rsid w:val="1BB40836"/>
    <w:rsid w:val="1BCA3F84"/>
    <w:rsid w:val="1BCB7A49"/>
    <w:rsid w:val="1BD86F30"/>
    <w:rsid w:val="1BE423FA"/>
    <w:rsid w:val="1BE524A7"/>
    <w:rsid w:val="1BE6349F"/>
    <w:rsid w:val="1BEF5590"/>
    <w:rsid w:val="1BF04858"/>
    <w:rsid w:val="1BF751E6"/>
    <w:rsid w:val="1BF91DDE"/>
    <w:rsid w:val="1BFC07A9"/>
    <w:rsid w:val="1C072B57"/>
    <w:rsid w:val="1C0C4E7B"/>
    <w:rsid w:val="1C0E6A48"/>
    <w:rsid w:val="1C131BC5"/>
    <w:rsid w:val="1C170433"/>
    <w:rsid w:val="1C1B065B"/>
    <w:rsid w:val="1C2B6512"/>
    <w:rsid w:val="1C35225B"/>
    <w:rsid w:val="1C384E1C"/>
    <w:rsid w:val="1C3A55A5"/>
    <w:rsid w:val="1C4A573D"/>
    <w:rsid w:val="1C5B5AF6"/>
    <w:rsid w:val="1C5B7611"/>
    <w:rsid w:val="1C672E0C"/>
    <w:rsid w:val="1C6B579A"/>
    <w:rsid w:val="1C6F7FE7"/>
    <w:rsid w:val="1C7B2153"/>
    <w:rsid w:val="1C8651B5"/>
    <w:rsid w:val="1C8F0E9E"/>
    <w:rsid w:val="1CA01843"/>
    <w:rsid w:val="1CA6649C"/>
    <w:rsid w:val="1CA8750A"/>
    <w:rsid w:val="1CBA5C7F"/>
    <w:rsid w:val="1CBC4B9A"/>
    <w:rsid w:val="1CC51C68"/>
    <w:rsid w:val="1CC5417F"/>
    <w:rsid w:val="1CCF0419"/>
    <w:rsid w:val="1CD470CA"/>
    <w:rsid w:val="1CDB2B0F"/>
    <w:rsid w:val="1CE03283"/>
    <w:rsid w:val="1CE62EE1"/>
    <w:rsid w:val="1CEF1669"/>
    <w:rsid w:val="1CF01882"/>
    <w:rsid w:val="1CF85411"/>
    <w:rsid w:val="1D14783F"/>
    <w:rsid w:val="1D230C56"/>
    <w:rsid w:val="1D28123C"/>
    <w:rsid w:val="1D286A1B"/>
    <w:rsid w:val="1D3421D3"/>
    <w:rsid w:val="1D37040F"/>
    <w:rsid w:val="1D456E22"/>
    <w:rsid w:val="1D484C1A"/>
    <w:rsid w:val="1D575B87"/>
    <w:rsid w:val="1D601579"/>
    <w:rsid w:val="1D6C7639"/>
    <w:rsid w:val="1D6D45BF"/>
    <w:rsid w:val="1D7A122C"/>
    <w:rsid w:val="1D800EB0"/>
    <w:rsid w:val="1D855AF8"/>
    <w:rsid w:val="1D890A47"/>
    <w:rsid w:val="1D8E61A0"/>
    <w:rsid w:val="1D964B50"/>
    <w:rsid w:val="1D992B27"/>
    <w:rsid w:val="1DA85724"/>
    <w:rsid w:val="1DAC1531"/>
    <w:rsid w:val="1DAF6062"/>
    <w:rsid w:val="1DBF590D"/>
    <w:rsid w:val="1DC5555E"/>
    <w:rsid w:val="1DEB5C55"/>
    <w:rsid w:val="1DEE2BE4"/>
    <w:rsid w:val="1DF233E7"/>
    <w:rsid w:val="1E054F02"/>
    <w:rsid w:val="1E0740D4"/>
    <w:rsid w:val="1E0844BA"/>
    <w:rsid w:val="1E0A2CBC"/>
    <w:rsid w:val="1E2101AF"/>
    <w:rsid w:val="1E243669"/>
    <w:rsid w:val="1E292E97"/>
    <w:rsid w:val="1E2B5F08"/>
    <w:rsid w:val="1E392AA0"/>
    <w:rsid w:val="1E41460A"/>
    <w:rsid w:val="1E455165"/>
    <w:rsid w:val="1E664AE8"/>
    <w:rsid w:val="1E66787F"/>
    <w:rsid w:val="1E7C434A"/>
    <w:rsid w:val="1E840130"/>
    <w:rsid w:val="1E852CF4"/>
    <w:rsid w:val="1E933284"/>
    <w:rsid w:val="1E992AE1"/>
    <w:rsid w:val="1EAB5F88"/>
    <w:rsid w:val="1EBD70F2"/>
    <w:rsid w:val="1EBF527E"/>
    <w:rsid w:val="1ED30E1E"/>
    <w:rsid w:val="1EE0406D"/>
    <w:rsid w:val="1EF172A5"/>
    <w:rsid w:val="1EFE4E7D"/>
    <w:rsid w:val="1F087131"/>
    <w:rsid w:val="1F0F65FB"/>
    <w:rsid w:val="1F114A63"/>
    <w:rsid w:val="1F115D33"/>
    <w:rsid w:val="1F233D95"/>
    <w:rsid w:val="1F2F5F8E"/>
    <w:rsid w:val="1F42409C"/>
    <w:rsid w:val="1F4522CC"/>
    <w:rsid w:val="1F464351"/>
    <w:rsid w:val="1F4D177B"/>
    <w:rsid w:val="1F4F0F9A"/>
    <w:rsid w:val="1F611FED"/>
    <w:rsid w:val="1F630954"/>
    <w:rsid w:val="1F6B2BC8"/>
    <w:rsid w:val="1F714B49"/>
    <w:rsid w:val="1F7F2C8C"/>
    <w:rsid w:val="1F8A7DE4"/>
    <w:rsid w:val="1F8B275A"/>
    <w:rsid w:val="1F924453"/>
    <w:rsid w:val="1FA24B81"/>
    <w:rsid w:val="1FAF1436"/>
    <w:rsid w:val="1FB43BC6"/>
    <w:rsid w:val="1FB95844"/>
    <w:rsid w:val="1FB97998"/>
    <w:rsid w:val="1FD7167B"/>
    <w:rsid w:val="1FDA610A"/>
    <w:rsid w:val="1FE168A9"/>
    <w:rsid w:val="1FFA2257"/>
    <w:rsid w:val="200978D3"/>
    <w:rsid w:val="200A12AB"/>
    <w:rsid w:val="200C27B6"/>
    <w:rsid w:val="20120C1D"/>
    <w:rsid w:val="20141FA9"/>
    <w:rsid w:val="20171B8C"/>
    <w:rsid w:val="201A0721"/>
    <w:rsid w:val="201A75A0"/>
    <w:rsid w:val="202277DA"/>
    <w:rsid w:val="203150CB"/>
    <w:rsid w:val="203254EB"/>
    <w:rsid w:val="20356E03"/>
    <w:rsid w:val="203A04E7"/>
    <w:rsid w:val="20454846"/>
    <w:rsid w:val="20455F75"/>
    <w:rsid w:val="20546F73"/>
    <w:rsid w:val="205B6B40"/>
    <w:rsid w:val="20600A10"/>
    <w:rsid w:val="20601C02"/>
    <w:rsid w:val="2064698A"/>
    <w:rsid w:val="20695EC3"/>
    <w:rsid w:val="206A4625"/>
    <w:rsid w:val="206D2012"/>
    <w:rsid w:val="206E1F4D"/>
    <w:rsid w:val="207B6EE7"/>
    <w:rsid w:val="20862C79"/>
    <w:rsid w:val="208716B2"/>
    <w:rsid w:val="20B32243"/>
    <w:rsid w:val="20B34127"/>
    <w:rsid w:val="20B627FE"/>
    <w:rsid w:val="20B74057"/>
    <w:rsid w:val="20CB24ED"/>
    <w:rsid w:val="20CE1C4D"/>
    <w:rsid w:val="20D24E25"/>
    <w:rsid w:val="20DD3DB8"/>
    <w:rsid w:val="20E36E34"/>
    <w:rsid w:val="20F0628E"/>
    <w:rsid w:val="20FB17E4"/>
    <w:rsid w:val="21053910"/>
    <w:rsid w:val="21150C66"/>
    <w:rsid w:val="211E31CB"/>
    <w:rsid w:val="21247C7E"/>
    <w:rsid w:val="21262AC3"/>
    <w:rsid w:val="212A20DE"/>
    <w:rsid w:val="213415BD"/>
    <w:rsid w:val="21342040"/>
    <w:rsid w:val="213C54CA"/>
    <w:rsid w:val="214D5B7C"/>
    <w:rsid w:val="214E4537"/>
    <w:rsid w:val="215D336C"/>
    <w:rsid w:val="21641421"/>
    <w:rsid w:val="217A2E0F"/>
    <w:rsid w:val="218C54DC"/>
    <w:rsid w:val="218D3B2C"/>
    <w:rsid w:val="2190457D"/>
    <w:rsid w:val="2194300F"/>
    <w:rsid w:val="21A40A5F"/>
    <w:rsid w:val="21A870E7"/>
    <w:rsid w:val="21BB1E53"/>
    <w:rsid w:val="21C11051"/>
    <w:rsid w:val="21C21A22"/>
    <w:rsid w:val="21C9474B"/>
    <w:rsid w:val="21CA181C"/>
    <w:rsid w:val="21D01696"/>
    <w:rsid w:val="21E20C1C"/>
    <w:rsid w:val="21EB600E"/>
    <w:rsid w:val="220C246C"/>
    <w:rsid w:val="22242822"/>
    <w:rsid w:val="222F24C6"/>
    <w:rsid w:val="22311A43"/>
    <w:rsid w:val="22323084"/>
    <w:rsid w:val="22334AF4"/>
    <w:rsid w:val="2237604C"/>
    <w:rsid w:val="223F0988"/>
    <w:rsid w:val="22431EAF"/>
    <w:rsid w:val="224B6A17"/>
    <w:rsid w:val="22507B65"/>
    <w:rsid w:val="2257273D"/>
    <w:rsid w:val="225D3D01"/>
    <w:rsid w:val="226213D1"/>
    <w:rsid w:val="226F53DC"/>
    <w:rsid w:val="2272644B"/>
    <w:rsid w:val="22730643"/>
    <w:rsid w:val="2276739F"/>
    <w:rsid w:val="228D1798"/>
    <w:rsid w:val="22934012"/>
    <w:rsid w:val="22945884"/>
    <w:rsid w:val="22AD0C2A"/>
    <w:rsid w:val="22B5350F"/>
    <w:rsid w:val="22B9659F"/>
    <w:rsid w:val="22BB322B"/>
    <w:rsid w:val="22BD7151"/>
    <w:rsid w:val="22C2607F"/>
    <w:rsid w:val="22C604E0"/>
    <w:rsid w:val="22C9213E"/>
    <w:rsid w:val="22E94AB1"/>
    <w:rsid w:val="22EE1F90"/>
    <w:rsid w:val="22F2208A"/>
    <w:rsid w:val="22F772F1"/>
    <w:rsid w:val="22FE2784"/>
    <w:rsid w:val="23002037"/>
    <w:rsid w:val="230B0940"/>
    <w:rsid w:val="230E24AC"/>
    <w:rsid w:val="23322038"/>
    <w:rsid w:val="233F5379"/>
    <w:rsid w:val="2347109D"/>
    <w:rsid w:val="23512E0C"/>
    <w:rsid w:val="235204E6"/>
    <w:rsid w:val="23542ADE"/>
    <w:rsid w:val="23616034"/>
    <w:rsid w:val="2364575A"/>
    <w:rsid w:val="23656985"/>
    <w:rsid w:val="2368536F"/>
    <w:rsid w:val="2373040B"/>
    <w:rsid w:val="2379726B"/>
    <w:rsid w:val="2381456E"/>
    <w:rsid w:val="23886124"/>
    <w:rsid w:val="239F3402"/>
    <w:rsid w:val="23A51E18"/>
    <w:rsid w:val="23AA0394"/>
    <w:rsid w:val="23BC64A6"/>
    <w:rsid w:val="23C17E7C"/>
    <w:rsid w:val="23C50F1D"/>
    <w:rsid w:val="23F024D5"/>
    <w:rsid w:val="23F35F5F"/>
    <w:rsid w:val="23FA4566"/>
    <w:rsid w:val="240418FD"/>
    <w:rsid w:val="240572D9"/>
    <w:rsid w:val="240D3AC6"/>
    <w:rsid w:val="24174945"/>
    <w:rsid w:val="241909B7"/>
    <w:rsid w:val="24191866"/>
    <w:rsid w:val="241C69F8"/>
    <w:rsid w:val="24232F7D"/>
    <w:rsid w:val="24267C58"/>
    <w:rsid w:val="242F09CF"/>
    <w:rsid w:val="2436643F"/>
    <w:rsid w:val="24413E93"/>
    <w:rsid w:val="24424A6E"/>
    <w:rsid w:val="24427790"/>
    <w:rsid w:val="24471153"/>
    <w:rsid w:val="244E03E6"/>
    <w:rsid w:val="24535587"/>
    <w:rsid w:val="24565B3A"/>
    <w:rsid w:val="24754533"/>
    <w:rsid w:val="247B3488"/>
    <w:rsid w:val="24893C84"/>
    <w:rsid w:val="249B0B85"/>
    <w:rsid w:val="249E6456"/>
    <w:rsid w:val="24A90873"/>
    <w:rsid w:val="24AB2B08"/>
    <w:rsid w:val="24B81B41"/>
    <w:rsid w:val="24C45A46"/>
    <w:rsid w:val="24CA28B6"/>
    <w:rsid w:val="24D274C0"/>
    <w:rsid w:val="24D275D2"/>
    <w:rsid w:val="24D45A2D"/>
    <w:rsid w:val="24DC3896"/>
    <w:rsid w:val="24E32B45"/>
    <w:rsid w:val="24E444CC"/>
    <w:rsid w:val="24EA054D"/>
    <w:rsid w:val="24EE4DE2"/>
    <w:rsid w:val="24F072DB"/>
    <w:rsid w:val="24F42ED8"/>
    <w:rsid w:val="2500187D"/>
    <w:rsid w:val="25033CD2"/>
    <w:rsid w:val="251076B1"/>
    <w:rsid w:val="25213874"/>
    <w:rsid w:val="2527244E"/>
    <w:rsid w:val="2534254E"/>
    <w:rsid w:val="25383D75"/>
    <w:rsid w:val="25396E06"/>
    <w:rsid w:val="25420B0A"/>
    <w:rsid w:val="25433F14"/>
    <w:rsid w:val="254F3C66"/>
    <w:rsid w:val="2554089B"/>
    <w:rsid w:val="25543369"/>
    <w:rsid w:val="25570085"/>
    <w:rsid w:val="25590D47"/>
    <w:rsid w:val="255A6A33"/>
    <w:rsid w:val="25633F3D"/>
    <w:rsid w:val="256C056F"/>
    <w:rsid w:val="257324A8"/>
    <w:rsid w:val="258624C1"/>
    <w:rsid w:val="25923550"/>
    <w:rsid w:val="25956E98"/>
    <w:rsid w:val="25993A71"/>
    <w:rsid w:val="259D3FBA"/>
    <w:rsid w:val="25A96929"/>
    <w:rsid w:val="25AB1F27"/>
    <w:rsid w:val="25B05051"/>
    <w:rsid w:val="25B90704"/>
    <w:rsid w:val="25BA1E1C"/>
    <w:rsid w:val="25DC4D1F"/>
    <w:rsid w:val="25E312AC"/>
    <w:rsid w:val="25E558C7"/>
    <w:rsid w:val="25EB65E2"/>
    <w:rsid w:val="25EC1E66"/>
    <w:rsid w:val="25ED33D2"/>
    <w:rsid w:val="25EE1190"/>
    <w:rsid w:val="25F862B3"/>
    <w:rsid w:val="26013435"/>
    <w:rsid w:val="26294138"/>
    <w:rsid w:val="262D5689"/>
    <w:rsid w:val="263F7428"/>
    <w:rsid w:val="266346E2"/>
    <w:rsid w:val="26662074"/>
    <w:rsid w:val="266F245B"/>
    <w:rsid w:val="266F5831"/>
    <w:rsid w:val="267758CC"/>
    <w:rsid w:val="267C7CB4"/>
    <w:rsid w:val="268A2E91"/>
    <w:rsid w:val="268C7C25"/>
    <w:rsid w:val="268E6E1C"/>
    <w:rsid w:val="269173C1"/>
    <w:rsid w:val="26967D4F"/>
    <w:rsid w:val="269A7114"/>
    <w:rsid w:val="26B3580F"/>
    <w:rsid w:val="26B4679E"/>
    <w:rsid w:val="26BC3415"/>
    <w:rsid w:val="26C24FB6"/>
    <w:rsid w:val="26C3077E"/>
    <w:rsid w:val="26C95489"/>
    <w:rsid w:val="26D24077"/>
    <w:rsid w:val="26D26C6A"/>
    <w:rsid w:val="26D94133"/>
    <w:rsid w:val="26E00AF2"/>
    <w:rsid w:val="26E312AF"/>
    <w:rsid w:val="26E35247"/>
    <w:rsid w:val="26E7154D"/>
    <w:rsid w:val="26EF1180"/>
    <w:rsid w:val="2713062B"/>
    <w:rsid w:val="271367EC"/>
    <w:rsid w:val="27256622"/>
    <w:rsid w:val="27262AE2"/>
    <w:rsid w:val="272B516E"/>
    <w:rsid w:val="27410EC2"/>
    <w:rsid w:val="274A69E0"/>
    <w:rsid w:val="276175F4"/>
    <w:rsid w:val="276D0529"/>
    <w:rsid w:val="27736336"/>
    <w:rsid w:val="2779749B"/>
    <w:rsid w:val="277F08A2"/>
    <w:rsid w:val="278109DC"/>
    <w:rsid w:val="27894C03"/>
    <w:rsid w:val="27933927"/>
    <w:rsid w:val="27992A4C"/>
    <w:rsid w:val="279938C3"/>
    <w:rsid w:val="279B3ADF"/>
    <w:rsid w:val="27A33E35"/>
    <w:rsid w:val="27A83A9A"/>
    <w:rsid w:val="27A94296"/>
    <w:rsid w:val="27B60BEB"/>
    <w:rsid w:val="27BD0064"/>
    <w:rsid w:val="27C34DE1"/>
    <w:rsid w:val="27C67E36"/>
    <w:rsid w:val="27D46DC6"/>
    <w:rsid w:val="27D73488"/>
    <w:rsid w:val="27D8374E"/>
    <w:rsid w:val="27DA0F13"/>
    <w:rsid w:val="27DD1DCA"/>
    <w:rsid w:val="27EB437A"/>
    <w:rsid w:val="27EF125D"/>
    <w:rsid w:val="27F528CB"/>
    <w:rsid w:val="27F56315"/>
    <w:rsid w:val="28110A08"/>
    <w:rsid w:val="2828350A"/>
    <w:rsid w:val="282F72FA"/>
    <w:rsid w:val="283907CE"/>
    <w:rsid w:val="28571957"/>
    <w:rsid w:val="28623C15"/>
    <w:rsid w:val="28697350"/>
    <w:rsid w:val="286E334A"/>
    <w:rsid w:val="287050B3"/>
    <w:rsid w:val="28755CC9"/>
    <w:rsid w:val="287F4399"/>
    <w:rsid w:val="28816505"/>
    <w:rsid w:val="2889440F"/>
    <w:rsid w:val="288F5571"/>
    <w:rsid w:val="28965033"/>
    <w:rsid w:val="28A052D3"/>
    <w:rsid w:val="28A06F4C"/>
    <w:rsid w:val="28AC6B03"/>
    <w:rsid w:val="28B02224"/>
    <w:rsid w:val="28B1615B"/>
    <w:rsid w:val="28B22BA5"/>
    <w:rsid w:val="28B278C0"/>
    <w:rsid w:val="28B766F6"/>
    <w:rsid w:val="28C146C3"/>
    <w:rsid w:val="28CA51CD"/>
    <w:rsid w:val="28CB1172"/>
    <w:rsid w:val="28CE738E"/>
    <w:rsid w:val="28D67316"/>
    <w:rsid w:val="290254C7"/>
    <w:rsid w:val="29087A30"/>
    <w:rsid w:val="291B5205"/>
    <w:rsid w:val="29236F16"/>
    <w:rsid w:val="292F6200"/>
    <w:rsid w:val="29331E5F"/>
    <w:rsid w:val="29334BDF"/>
    <w:rsid w:val="29436595"/>
    <w:rsid w:val="294C6C0B"/>
    <w:rsid w:val="29515B93"/>
    <w:rsid w:val="295676E3"/>
    <w:rsid w:val="295F57D7"/>
    <w:rsid w:val="29733705"/>
    <w:rsid w:val="297A56E5"/>
    <w:rsid w:val="29814635"/>
    <w:rsid w:val="29A36393"/>
    <w:rsid w:val="29A76063"/>
    <w:rsid w:val="29AB72C4"/>
    <w:rsid w:val="29B85251"/>
    <w:rsid w:val="29BA74BA"/>
    <w:rsid w:val="29C749A4"/>
    <w:rsid w:val="29CF5EA1"/>
    <w:rsid w:val="29E90386"/>
    <w:rsid w:val="29F15C38"/>
    <w:rsid w:val="29F1767A"/>
    <w:rsid w:val="29FF65A7"/>
    <w:rsid w:val="2A0019E0"/>
    <w:rsid w:val="2A045FE7"/>
    <w:rsid w:val="2A072146"/>
    <w:rsid w:val="2A0F729D"/>
    <w:rsid w:val="2A172745"/>
    <w:rsid w:val="2A1D74F2"/>
    <w:rsid w:val="2A2D7895"/>
    <w:rsid w:val="2A3F0385"/>
    <w:rsid w:val="2A430216"/>
    <w:rsid w:val="2A444CBB"/>
    <w:rsid w:val="2A454605"/>
    <w:rsid w:val="2A475317"/>
    <w:rsid w:val="2A4B7186"/>
    <w:rsid w:val="2A5670C9"/>
    <w:rsid w:val="2A5E0C02"/>
    <w:rsid w:val="2A636FAD"/>
    <w:rsid w:val="2A642161"/>
    <w:rsid w:val="2A685432"/>
    <w:rsid w:val="2A726A27"/>
    <w:rsid w:val="2A7351C7"/>
    <w:rsid w:val="2A7C32F6"/>
    <w:rsid w:val="2A822840"/>
    <w:rsid w:val="2A9233FE"/>
    <w:rsid w:val="2A9602BA"/>
    <w:rsid w:val="2A985E6C"/>
    <w:rsid w:val="2AA70822"/>
    <w:rsid w:val="2AB56028"/>
    <w:rsid w:val="2ACC3887"/>
    <w:rsid w:val="2ACE37B6"/>
    <w:rsid w:val="2AEA2A60"/>
    <w:rsid w:val="2AEA2A93"/>
    <w:rsid w:val="2AED15BA"/>
    <w:rsid w:val="2AEF5470"/>
    <w:rsid w:val="2AF509B4"/>
    <w:rsid w:val="2AF86D11"/>
    <w:rsid w:val="2AFC44BE"/>
    <w:rsid w:val="2B0D4DF8"/>
    <w:rsid w:val="2B1546A8"/>
    <w:rsid w:val="2B231B94"/>
    <w:rsid w:val="2B293D78"/>
    <w:rsid w:val="2B394314"/>
    <w:rsid w:val="2B3B1E2D"/>
    <w:rsid w:val="2B3E5205"/>
    <w:rsid w:val="2B603F9B"/>
    <w:rsid w:val="2B6C40D4"/>
    <w:rsid w:val="2B6E0D08"/>
    <w:rsid w:val="2B6E1D33"/>
    <w:rsid w:val="2B7447F6"/>
    <w:rsid w:val="2B8511D3"/>
    <w:rsid w:val="2B8F3B05"/>
    <w:rsid w:val="2B997A76"/>
    <w:rsid w:val="2B9E755E"/>
    <w:rsid w:val="2BB16E20"/>
    <w:rsid w:val="2BD31423"/>
    <w:rsid w:val="2BD862CC"/>
    <w:rsid w:val="2BE06716"/>
    <w:rsid w:val="2BE96133"/>
    <w:rsid w:val="2BFB567E"/>
    <w:rsid w:val="2BFE300B"/>
    <w:rsid w:val="2C085772"/>
    <w:rsid w:val="2C0B3A0F"/>
    <w:rsid w:val="2C0E0E81"/>
    <w:rsid w:val="2C110B72"/>
    <w:rsid w:val="2C120BF2"/>
    <w:rsid w:val="2C233268"/>
    <w:rsid w:val="2C34202D"/>
    <w:rsid w:val="2C3D4A6C"/>
    <w:rsid w:val="2C474C25"/>
    <w:rsid w:val="2C541121"/>
    <w:rsid w:val="2C703BB0"/>
    <w:rsid w:val="2C7F2782"/>
    <w:rsid w:val="2C827724"/>
    <w:rsid w:val="2C935F3D"/>
    <w:rsid w:val="2C9E1903"/>
    <w:rsid w:val="2CA32DB0"/>
    <w:rsid w:val="2CA43C41"/>
    <w:rsid w:val="2CAF7EB1"/>
    <w:rsid w:val="2CB8065D"/>
    <w:rsid w:val="2CBC5486"/>
    <w:rsid w:val="2CBE1783"/>
    <w:rsid w:val="2CC124B9"/>
    <w:rsid w:val="2CC97325"/>
    <w:rsid w:val="2CCE168E"/>
    <w:rsid w:val="2CD93B86"/>
    <w:rsid w:val="2CE3074D"/>
    <w:rsid w:val="2CE73DBF"/>
    <w:rsid w:val="2CEA56B6"/>
    <w:rsid w:val="2CEF4854"/>
    <w:rsid w:val="2CF5740A"/>
    <w:rsid w:val="2CFE0737"/>
    <w:rsid w:val="2CFE4B72"/>
    <w:rsid w:val="2D023C70"/>
    <w:rsid w:val="2D0B00FE"/>
    <w:rsid w:val="2D0F4A83"/>
    <w:rsid w:val="2D1D6D45"/>
    <w:rsid w:val="2D31698D"/>
    <w:rsid w:val="2D3367EB"/>
    <w:rsid w:val="2D36335F"/>
    <w:rsid w:val="2D3B2CC7"/>
    <w:rsid w:val="2D423636"/>
    <w:rsid w:val="2D4E072A"/>
    <w:rsid w:val="2D5E5EA2"/>
    <w:rsid w:val="2D661D22"/>
    <w:rsid w:val="2D725AAF"/>
    <w:rsid w:val="2D730FC1"/>
    <w:rsid w:val="2D8674BF"/>
    <w:rsid w:val="2D8874B6"/>
    <w:rsid w:val="2D8C76AE"/>
    <w:rsid w:val="2D956579"/>
    <w:rsid w:val="2D9771B8"/>
    <w:rsid w:val="2D983348"/>
    <w:rsid w:val="2DA34493"/>
    <w:rsid w:val="2DAC2659"/>
    <w:rsid w:val="2DC168A1"/>
    <w:rsid w:val="2DC81E94"/>
    <w:rsid w:val="2DD37126"/>
    <w:rsid w:val="2DE32195"/>
    <w:rsid w:val="2DE96A14"/>
    <w:rsid w:val="2DF27D78"/>
    <w:rsid w:val="2DF74FF8"/>
    <w:rsid w:val="2DFD129D"/>
    <w:rsid w:val="2DFF60D5"/>
    <w:rsid w:val="2E100D83"/>
    <w:rsid w:val="2E241E0A"/>
    <w:rsid w:val="2E283FBB"/>
    <w:rsid w:val="2E292267"/>
    <w:rsid w:val="2E2959A0"/>
    <w:rsid w:val="2E347B0A"/>
    <w:rsid w:val="2E3C2E20"/>
    <w:rsid w:val="2E3D0A0C"/>
    <w:rsid w:val="2E3F3833"/>
    <w:rsid w:val="2E402E5B"/>
    <w:rsid w:val="2E4162D4"/>
    <w:rsid w:val="2E4776AD"/>
    <w:rsid w:val="2E5D563B"/>
    <w:rsid w:val="2E633B8A"/>
    <w:rsid w:val="2E6F56B9"/>
    <w:rsid w:val="2E794AF3"/>
    <w:rsid w:val="2E7C70A1"/>
    <w:rsid w:val="2E7F029C"/>
    <w:rsid w:val="2E8A51A3"/>
    <w:rsid w:val="2E9457B5"/>
    <w:rsid w:val="2E9A4F05"/>
    <w:rsid w:val="2E9B28AA"/>
    <w:rsid w:val="2EA77DF5"/>
    <w:rsid w:val="2EAB55BB"/>
    <w:rsid w:val="2EB32E8D"/>
    <w:rsid w:val="2EC4145B"/>
    <w:rsid w:val="2ECA0EEF"/>
    <w:rsid w:val="2ECF238B"/>
    <w:rsid w:val="2ED02202"/>
    <w:rsid w:val="2ED346F4"/>
    <w:rsid w:val="2EEC5878"/>
    <w:rsid w:val="2EF51EE3"/>
    <w:rsid w:val="2EF77968"/>
    <w:rsid w:val="2EF83766"/>
    <w:rsid w:val="2EF85571"/>
    <w:rsid w:val="2F03447D"/>
    <w:rsid w:val="2F0C1716"/>
    <w:rsid w:val="2F1264FD"/>
    <w:rsid w:val="2F131BDA"/>
    <w:rsid w:val="2F1E2431"/>
    <w:rsid w:val="2F2626A7"/>
    <w:rsid w:val="2F277782"/>
    <w:rsid w:val="2F2F78FF"/>
    <w:rsid w:val="2F33425A"/>
    <w:rsid w:val="2F40795E"/>
    <w:rsid w:val="2F436A32"/>
    <w:rsid w:val="2F585349"/>
    <w:rsid w:val="2F600A4D"/>
    <w:rsid w:val="2F6C578F"/>
    <w:rsid w:val="2F7B24D1"/>
    <w:rsid w:val="2F83447A"/>
    <w:rsid w:val="2F8B0E09"/>
    <w:rsid w:val="2F9711E1"/>
    <w:rsid w:val="2FA01C92"/>
    <w:rsid w:val="2FA94010"/>
    <w:rsid w:val="2FAA2A46"/>
    <w:rsid w:val="2FAD43AF"/>
    <w:rsid w:val="2FBB48F5"/>
    <w:rsid w:val="2FC82F9D"/>
    <w:rsid w:val="2FCC58AE"/>
    <w:rsid w:val="2FD32DD7"/>
    <w:rsid w:val="2FD57D60"/>
    <w:rsid w:val="2FD8752E"/>
    <w:rsid w:val="2FDE00E6"/>
    <w:rsid w:val="2FEC3BB6"/>
    <w:rsid w:val="2FEF045A"/>
    <w:rsid w:val="2FFA067A"/>
    <w:rsid w:val="2FFD0EE1"/>
    <w:rsid w:val="2FFF4CDE"/>
    <w:rsid w:val="30020B17"/>
    <w:rsid w:val="3016517A"/>
    <w:rsid w:val="302A05CA"/>
    <w:rsid w:val="302A358E"/>
    <w:rsid w:val="30341738"/>
    <w:rsid w:val="30354F2F"/>
    <w:rsid w:val="303F05C3"/>
    <w:rsid w:val="30403AEC"/>
    <w:rsid w:val="3049392A"/>
    <w:rsid w:val="305D7B83"/>
    <w:rsid w:val="305F182D"/>
    <w:rsid w:val="306A75D7"/>
    <w:rsid w:val="307B141B"/>
    <w:rsid w:val="30812E4D"/>
    <w:rsid w:val="3082744B"/>
    <w:rsid w:val="308275EA"/>
    <w:rsid w:val="308D6AFB"/>
    <w:rsid w:val="308F6075"/>
    <w:rsid w:val="30944600"/>
    <w:rsid w:val="30B9486B"/>
    <w:rsid w:val="30D66A99"/>
    <w:rsid w:val="30D9386E"/>
    <w:rsid w:val="30DF79C5"/>
    <w:rsid w:val="30E74543"/>
    <w:rsid w:val="30F11543"/>
    <w:rsid w:val="30F2736A"/>
    <w:rsid w:val="30F40C14"/>
    <w:rsid w:val="30F42C52"/>
    <w:rsid w:val="30F513E7"/>
    <w:rsid w:val="30F620F0"/>
    <w:rsid w:val="31206CAF"/>
    <w:rsid w:val="312F3E90"/>
    <w:rsid w:val="31301752"/>
    <w:rsid w:val="31350214"/>
    <w:rsid w:val="31360F60"/>
    <w:rsid w:val="31376626"/>
    <w:rsid w:val="31485711"/>
    <w:rsid w:val="314B0750"/>
    <w:rsid w:val="315B7E50"/>
    <w:rsid w:val="316C0946"/>
    <w:rsid w:val="316F5291"/>
    <w:rsid w:val="318077DA"/>
    <w:rsid w:val="31943A79"/>
    <w:rsid w:val="31952860"/>
    <w:rsid w:val="31B91BCA"/>
    <w:rsid w:val="31BD7603"/>
    <w:rsid w:val="31C156AF"/>
    <w:rsid w:val="31C765B0"/>
    <w:rsid w:val="31D04EA3"/>
    <w:rsid w:val="31D33632"/>
    <w:rsid w:val="31D60C88"/>
    <w:rsid w:val="31D856DB"/>
    <w:rsid w:val="31DF3400"/>
    <w:rsid w:val="31E248BF"/>
    <w:rsid w:val="31E50463"/>
    <w:rsid w:val="31ED419C"/>
    <w:rsid w:val="32147265"/>
    <w:rsid w:val="3226177E"/>
    <w:rsid w:val="322744A0"/>
    <w:rsid w:val="322A5811"/>
    <w:rsid w:val="3230537A"/>
    <w:rsid w:val="32473D90"/>
    <w:rsid w:val="32474245"/>
    <w:rsid w:val="324E2E71"/>
    <w:rsid w:val="3253096B"/>
    <w:rsid w:val="32552601"/>
    <w:rsid w:val="32575271"/>
    <w:rsid w:val="3272345D"/>
    <w:rsid w:val="32765E32"/>
    <w:rsid w:val="3284604D"/>
    <w:rsid w:val="32914DC9"/>
    <w:rsid w:val="32957364"/>
    <w:rsid w:val="329E7F73"/>
    <w:rsid w:val="32B02EB7"/>
    <w:rsid w:val="32B86B24"/>
    <w:rsid w:val="32CB6F7E"/>
    <w:rsid w:val="32D91C6F"/>
    <w:rsid w:val="32D97036"/>
    <w:rsid w:val="32DF21C2"/>
    <w:rsid w:val="32E11FA2"/>
    <w:rsid w:val="32E213F3"/>
    <w:rsid w:val="32ED2891"/>
    <w:rsid w:val="32EE25C6"/>
    <w:rsid w:val="330208DF"/>
    <w:rsid w:val="33032076"/>
    <w:rsid w:val="33035CB7"/>
    <w:rsid w:val="330E0160"/>
    <w:rsid w:val="3312251F"/>
    <w:rsid w:val="33237F61"/>
    <w:rsid w:val="332467E5"/>
    <w:rsid w:val="33262E95"/>
    <w:rsid w:val="33337F0A"/>
    <w:rsid w:val="333E2CA0"/>
    <w:rsid w:val="33432875"/>
    <w:rsid w:val="335759EC"/>
    <w:rsid w:val="335C0183"/>
    <w:rsid w:val="335E3242"/>
    <w:rsid w:val="337D0F97"/>
    <w:rsid w:val="338E40D2"/>
    <w:rsid w:val="339D3C39"/>
    <w:rsid w:val="33A540C1"/>
    <w:rsid w:val="33A871A4"/>
    <w:rsid w:val="33A9665D"/>
    <w:rsid w:val="33AE08E1"/>
    <w:rsid w:val="33B43691"/>
    <w:rsid w:val="33BA2267"/>
    <w:rsid w:val="33BD0809"/>
    <w:rsid w:val="33C641FE"/>
    <w:rsid w:val="33D47EAB"/>
    <w:rsid w:val="33DD30F0"/>
    <w:rsid w:val="33DE7074"/>
    <w:rsid w:val="340749FE"/>
    <w:rsid w:val="34082A81"/>
    <w:rsid w:val="34093853"/>
    <w:rsid w:val="34144457"/>
    <w:rsid w:val="341A1C5C"/>
    <w:rsid w:val="342147A0"/>
    <w:rsid w:val="34236EE7"/>
    <w:rsid w:val="34254D93"/>
    <w:rsid w:val="34290276"/>
    <w:rsid w:val="343612DE"/>
    <w:rsid w:val="344B1B35"/>
    <w:rsid w:val="344D4F8E"/>
    <w:rsid w:val="34557EB5"/>
    <w:rsid w:val="345C0111"/>
    <w:rsid w:val="3494067B"/>
    <w:rsid w:val="34A1174B"/>
    <w:rsid w:val="34A81304"/>
    <w:rsid w:val="34AF26D6"/>
    <w:rsid w:val="34B33D14"/>
    <w:rsid w:val="34B50F41"/>
    <w:rsid w:val="34BC2A3C"/>
    <w:rsid w:val="34BC7739"/>
    <w:rsid w:val="34BD2138"/>
    <w:rsid w:val="34C84854"/>
    <w:rsid w:val="34DD0BBB"/>
    <w:rsid w:val="34DE3166"/>
    <w:rsid w:val="34DE523E"/>
    <w:rsid w:val="34E061B4"/>
    <w:rsid w:val="34E071D2"/>
    <w:rsid w:val="34EA1DE0"/>
    <w:rsid w:val="3507314D"/>
    <w:rsid w:val="350C5CE7"/>
    <w:rsid w:val="351B1E6E"/>
    <w:rsid w:val="352263E4"/>
    <w:rsid w:val="352B7666"/>
    <w:rsid w:val="352E62D6"/>
    <w:rsid w:val="35363338"/>
    <w:rsid w:val="353F0589"/>
    <w:rsid w:val="35423E95"/>
    <w:rsid w:val="354E0428"/>
    <w:rsid w:val="355475E3"/>
    <w:rsid w:val="355A4DC7"/>
    <w:rsid w:val="355D6B2E"/>
    <w:rsid w:val="355E286B"/>
    <w:rsid w:val="356C5C5F"/>
    <w:rsid w:val="35757D45"/>
    <w:rsid w:val="357A31FD"/>
    <w:rsid w:val="357D54E6"/>
    <w:rsid w:val="359D22F6"/>
    <w:rsid w:val="35A67C6D"/>
    <w:rsid w:val="35A97360"/>
    <w:rsid w:val="35AA6445"/>
    <w:rsid w:val="35AC5A16"/>
    <w:rsid w:val="35AE6707"/>
    <w:rsid w:val="35B1695D"/>
    <w:rsid w:val="35C027FD"/>
    <w:rsid w:val="35C15C9F"/>
    <w:rsid w:val="35CB5AA1"/>
    <w:rsid w:val="35E244E1"/>
    <w:rsid w:val="35F82C92"/>
    <w:rsid w:val="360B0560"/>
    <w:rsid w:val="360E3D92"/>
    <w:rsid w:val="360F1C77"/>
    <w:rsid w:val="36121410"/>
    <w:rsid w:val="36252BCC"/>
    <w:rsid w:val="36287BFA"/>
    <w:rsid w:val="36375033"/>
    <w:rsid w:val="364A2085"/>
    <w:rsid w:val="365432CA"/>
    <w:rsid w:val="365774B4"/>
    <w:rsid w:val="365956B3"/>
    <w:rsid w:val="365A06D0"/>
    <w:rsid w:val="36627FCC"/>
    <w:rsid w:val="36636EEA"/>
    <w:rsid w:val="366D4287"/>
    <w:rsid w:val="366F7E88"/>
    <w:rsid w:val="36707B69"/>
    <w:rsid w:val="36733E42"/>
    <w:rsid w:val="36826689"/>
    <w:rsid w:val="36884F23"/>
    <w:rsid w:val="36924E56"/>
    <w:rsid w:val="36B074E7"/>
    <w:rsid w:val="36B201F6"/>
    <w:rsid w:val="36B318D7"/>
    <w:rsid w:val="36B4718B"/>
    <w:rsid w:val="36B63093"/>
    <w:rsid w:val="36C26230"/>
    <w:rsid w:val="36CB22A7"/>
    <w:rsid w:val="36DE1E96"/>
    <w:rsid w:val="36F375F8"/>
    <w:rsid w:val="36F66E70"/>
    <w:rsid w:val="36F87640"/>
    <w:rsid w:val="36F931B8"/>
    <w:rsid w:val="37122C37"/>
    <w:rsid w:val="3713351B"/>
    <w:rsid w:val="37177C76"/>
    <w:rsid w:val="371F6BEB"/>
    <w:rsid w:val="37201325"/>
    <w:rsid w:val="37346A5E"/>
    <w:rsid w:val="37482AF0"/>
    <w:rsid w:val="374C5898"/>
    <w:rsid w:val="375A7D15"/>
    <w:rsid w:val="375D5B79"/>
    <w:rsid w:val="37712B91"/>
    <w:rsid w:val="37743765"/>
    <w:rsid w:val="37745B08"/>
    <w:rsid w:val="37793122"/>
    <w:rsid w:val="377F3E72"/>
    <w:rsid w:val="378055B2"/>
    <w:rsid w:val="378528A8"/>
    <w:rsid w:val="378F140B"/>
    <w:rsid w:val="37B24F59"/>
    <w:rsid w:val="37B37D61"/>
    <w:rsid w:val="37C23051"/>
    <w:rsid w:val="37CF5979"/>
    <w:rsid w:val="37D631A5"/>
    <w:rsid w:val="37DF53E0"/>
    <w:rsid w:val="37E118EB"/>
    <w:rsid w:val="380611BF"/>
    <w:rsid w:val="382039C9"/>
    <w:rsid w:val="382429AE"/>
    <w:rsid w:val="382C677C"/>
    <w:rsid w:val="382F4C63"/>
    <w:rsid w:val="3838196A"/>
    <w:rsid w:val="383C2B89"/>
    <w:rsid w:val="383F60A4"/>
    <w:rsid w:val="38601FC4"/>
    <w:rsid w:val="386661FF"/>
    <w:rsid w:val="386E6695"/>
    <w:rsid w:val="387E162E"/>
    <w:rsid w:val="388C6CF2"/>
    <w:rsid w:val="388D35F0"/>
    <w:rsid w:val="38914F5D"/>
    <w:rsid w:val="389511AE"/>
    <w:rsid w:val="389A1BDF"/>
    <w:rsid w:val="38A54C47"/>
    <w:rsid w:val="38B13472"/>
    <w:rsid w:val="38B93642"/>
    <w:rsid w:val="38DD1588"/>
    <w:rsid w:val="38E12884"/>
    <w:rsid w:val="38EE7C94"/>
    <w:rsid w:val="38FD5F09"/>
    <w:rsid w:val="390C2B73"/>
    <w:rsid w:val="390C2E2D"/>
    <w:rsid w:val="391A645A"/>
    <w:rsid w:val="391B55AF"/>
    <w:rsid w:val="392F783B"/>
    <w:rsid w:val="39405E21"/>
    <w:rsid w:val="394F6727"/>
    <w:rsid w:val="39521E9F"/>
    <w:rsid w:val="3954537C"/>
    <w:rsid w:val="395F2BBE"/>
    <w:rsid w:val="396D6AE8"/>
    <w:rsid w:val="39725A4A"/>
    <w:rsid w:val="3980064E"/>
    <w:rsid w:val="399601BD"/>
    <w:rsid w:val="399A58EA"/>
    <w:rsid w:val="399B2127"/>
    <w:rsid w:val="399F08F3"/>
    <w:rsid w:val="399F1332"/>
    <w:rsid w:val="399F5FDA"/>
    <w:rsid w:val="39A15E7F"/>
    <w:rsid w:val="39A16D33"/>
    <w:rsid w:val="39A502C0"/>
    <w:rsid w:val="39BF238F"/>
    <w:rsid w:val="39C73DB3"/>
    <w:rsid w:val="39DA346B"/>
    <w:rsid w:val="39E46FAD"/>
    <w:rsid w:val="39E91662"/>
    <w:rsid w:val="39F5297E"/>
    <w:rsid w:val="3A0258FE"/>
    <w:rsid w:val="3A39581E"/>
    <w:rsid w:val="3A3C6CFA"/>
    <w:rsid w:val="3A3C78D6"/>
    <w:rsid w:val="3A3E3E9F"/>
    <w:rsid w:val="3A40244E"/>
    <w:rsid w:val="3A413469"/>
    <w:rsid w:val="3A480A6E"/>
    <w:rsid w:val="3A4F2943"/>
    <w:rsid w:val="3A6463E4"/>
    <w:rsid w:val="3A6B176D"/>
    <w:rsid w:val="3A6B710D"/>
    <w:rsid w:val="3A700D10"/>
    <w:rsid w:val="3A714443"/>
    <w:rsid w:val="3A7D0D21"/>
    <w:rsid w:val="3A84298B"/>
    <w:rsid w:val="3A937158"/>
    <w:rsid w:val="3A997D1F"/>
    <w:rsid w:val="3AA26A5D"/>
    <w:rsid w:val="3AA844FF"/>
    <w:rsid w:val="3AAA4B7B"/>
    <w:rsid w:val="3AB1112B"/>
    <w:rsid w:val="3AC52C0A"/>
    <w:rsid w:val="3AC7743B"/>
    <w:rsid w:val="3ACE70B0"/>
    <w:rsid w:val="3AD164BB"/>
    <w:rsid w:val="3AD5074D"/>
    <w:rsid w:val="3AD67FB2"/>
    <w:rsid w:val="3AD7738D"/>
    <w:rsid w:val="3ADC39B3"/>
    <w:rsid w:val="3AE768F9"/>
    <w:rsid w:val="3AF634E6"/>
    <w:rsid w:val="3AF963F9"/>
    <w:rsid w:val="3AFC0789"/>
    <w:rsid w:val="3B0475E9"/>
    <w:rsid w:val="3B0A6176"/>
    <w:rsid w:val="3B10004F"/>
    <w:rsid w:val="3B100557"/>
    <w:rsid w:val="3B1D0F96"/>
    <w:rsid w:val="3B1F0A32"/>
    <w:rsid w:val="3B21328C"/>
    <w:rsid w:val="3B235BCB"/>
    <w:rsid w:val="3B3F3F46"/>
    <w:rsid w:val="3B4874EB"/>
    <w:rsid w:val="3B4E0843"/>
    <w:rsid w:val="3B5211E7"/>
    <w:rsid w:val="3B6B6801"/>
    <w:rsid w:val="3B84771D"/>
    <w:rsid w:val="3B8819BE"/>
    <w:rsid w:val="3B897E24"/>
    <w:rsid w:val="3BB513C6"/>
    <w:rsid w:val="3BBB470B"/>
    <w:rsid w:val="3BCF04EA"/>
    <w:rsid w:val="3BE10919"/>
    <w:rsid w:val="3BE66D84"/>
    <w:rsid w:val="3BEE2461"/>
    <w:rsid w:val="3BF55114"/>
    <w:rsid w:val="3BF8627E"/>
    <w:rsid w:val="3C0274FD"/>
    <w:rsid w:val="3C0F4376"/>
    <w:rsid w:val="3C0F6F56"/>
    <w:rsid w:val="3C14548B"/>
    <w:rsid w:val="3C1D1172"/>
    <w:rsid w:val="3C230DE9"/>
    <w:rsid w:val="3C2F70BE"/>
    <w:rsid w:val="3C3073EF"/>
    <w:rsid w:val="3C320FE1"/>
    <w:rsid w:val="3C325493"/>
    <w:rsid w:val="3C3616AF"/>
    <w:rsid w:val="3C385BD6"/>
    <w:rsid w:val="3C3B6C18"/>
    <w:rsid w:val="3C3C69F3"/>
    <w:rsid w:val="3C4E0450"/>
    <w:rsid w:val="3C545870"/>
    <w:rsid w:val="3C7B3B44"/>
    <w:rsid w:val="3C7E77FF"/>
    <w:rsid w:val="3CA45331"/>
    <w:rsid w:val="3CA57CFE"/>
    <w:rsid w:val="3CA64660"/>
    <w:rsid w:val="3CAA23D0"/>
    <w:rsid w:val="3CAE4CF8"/>
    <w:rsid w:val="3CAE7AEC"/>
    <w:rsid w:val="3CCC781D"/>
    <w:rsid w:val="3CCE7C2A"/>
    <w:rsid w:val="3CD20411"/>
    <w:rsid w:val="3CDF2588"/>
    <w:rsid w:val="3CE17A2B"/>
    <w:rsid w:val="3CE77340"/>
    <w:rsid w:val="3CE90379"/>
    <w:rsid w:val="3CFF37D8"/>
    <w:rsid w:val="3D195B95"/>
    <w:rsid w:val="3D21160E"/>
    <w:rsid w:val="3D2329FD"/>
    <w:rsid w:val="3D29684E"/>
    <w:rsid w:val="3D2B3F35"/>
    <w:rsid w:val="3D2D2003"/>
    <w:rsid w:val="3D39578E"/>
    <w:rsid w:val="3D4C09F9"/>
    <w:rsid w:val="3D4D27F5"/>
    <w:rsid w:val="3D52619D"/>
    <w:rsid w:val="3D534EBF"/>
    <w:rsid w:val="3D5D4D44"/>
    <w:rsid w:val="3D614D99"/>
    <w:rsid w:val="3D6E5D8B"/>
    <w:rsid w:val="3D76742B"/>
    <w:rsid w:val="3D8948B8"/>
    <w:rsid w:val="3D8E3230"/>
    <w:rsid w:val="3D9C4C5C"/>
    <w:rsid w:val="3DA205AA"/>
    <w:rsid w:val="3DA701B4"/>
    <w:rsid w:val="3DA83998"/>
    <w:rsid w:val="3DA861DB"/>
    <w:rsid w:val="3DB16D2A"/>
    <w:rsid w:val="3DB80722"/>
    <w:rsid w:val="3DBD65F0"/>
    <w:rsid w:val="3DC7203E"/>
    <w:rsid w:val="3DD43D14"/>
    <w:rsid w:val="3DDA4533"/>
    <w:rsid w:val="3DE1146E"/>
    <w:rsid w:val="3DE12F32"/>
    <w:rsid w:val="3DEA3F0C"/>
    <w:rsid w:val="3DEB35D1"/>
    <w:rsid w:val="3DF65F0E"/>
    <w:rsid w:val="3DFB25C5"/>
    <w:rsid w:val="3DFF226A"/>
    <w:rsid w:val="3E025CF4"/>
    <w:rsid w:val="3E09759C"/>
    <w:rsid w:val="3E144F0D"/>
    <w:rsid w:val="3E174D97"/>
    <w:rsid w:val="3E1A10E9"/>
    <w:rsid w:val="3E1A2100"/>
    <w:rsid w:val="3E1B7092"/>
    <w:rsid w:val="3E1F2909"/>
    <w:rsid w:val="3E1F40C4"/>
    <w:rsid w:val="3E20348B"/>
    <w:rsid w:val="3E217503"/>
    <w:rsid w:val="3E376CF4"/>
    <w:rsid w:val="3E3877ED"/>
    <w:rsid w:val="3E392CD6"/>
    <w:rsid w:val="3E3D5661"/>
    <w:rsid w:val="3E43042F"/>
    <w:rsid w:val="3E5A71D5"/>
    <w:rsid w:val="3E7304ED"/>
    <w:rsid w:val="3E73624E"/>
    <w:rsid w:val="3E7A069B"/>
    <w:rsid w:val="3E960E27"/>
    <w:rsid w:val="3E971BFA"/>
    <w:rsid w:val="3E985F61"/>
    <w:rsid w:val="3EAD3EF7"/>
    <w:rsid w:val="3EAD5631"/>
    <w:rsid w:val="3ED20B16"/>
    <w:rsid w:val="3EDA153E"/>
    <w:rsid w:val="3EE55913"/>
    <w:rsid w:val="3F002AB5"/>
    <w:rsid w:val="3F007F87"/>
    <w:rsid w:val="3F1339B8"/>
    <w:rsid w:val="3F196A9F"/>
    <w:rsid w:val="3F1C125E"/>
    <w:rsid w:val="3F1C1904"/>
    <w:rsid w:val="3F224B09"/>
    <w:rsid w:val="3F240B0A"/>
    <w:rsid w:val="3F24608D"/>
    <w:rsid w:val="3F263CBB"/>
    <w:rsid w:val="3F2653A3"/>
    <w:rsid w:val="3F284847"/>
    <w:rsid w:val="3F2E191C"/>
    <w:rsid w:val="3F3E4D72"/>
    <w:rsid w:val="3F4460BD"/>
    <w:rsid w:val="3F487A21"/>
    <w:rsid w:val="3F4D2FAB"/>
    <w:rsid w:val="3F625DFB"/>
    <w:rsid w:val="3F6741A7"/>
    <w:rsid w:val="3F67457A"/>
    <w:rsid w:val="3F67457E"/>
    <w:rsid w:val="3F7A2BAD"/>
    <w:rsid w:val="3F8C6BED"/>
    <w:rsid w:val="3F96539B"/>
    <w:rsid w:val="3F9A38BF"/>
    <w:rsid w:val="3F9C5D3D"/>
    <w:rsid w:val="3FA615BB"/>
    <w:rsid w:val="3FAE6978"/>
    <w:rsid w:val="3FB65F72"/>
    <w:rsid w:val="3FB9297E"/>
    <w:rsid w:val="3FC43B3E"/>
    <w:rsid w:val="3FC921C5"/>
    <w:rsid w:val="3FCF0135"/>
    <w:rsid w:val="3FD86EB0"/>
    <w:rsid w:val="3FE56688"/>
    <w:rsid w:val="3FEE25A6"/>
    <w:rsid w:val="3FEF0646"/>
    <w:rsid w:val="3FEF543D"/>
    <w:rsid w:val="3FFA7C3D"/>
    <w:rsid w:val="3FFC2040"/>
    <w:rsid w:val="3FFF7674"/>
    <w:rsid w:val="401B034E"/>
    <w:rsid w:val="40213B31"/>
    <w:rsid w:val="402F643A"/>
    <w:rsid w:val="40323DF2"/>
    <w:rsid w:val="4043244B"/>
    <w:rsid w:val="404400A2"/>
    <w:rsid w:val="404B0AFD"/>
    <w:rsid w:val="405A761E"/>
    <w:rsid w:val="405B3E44"/>
    <w:rsid w:val="405C4FD6"/>
    <w:rsid w:val="40633724"/>
    <w:rsid w:val="4073511D"/>
    <w:rsid w:val="407511A9"/>
    <w:rsid w:val="40751584"/>
    <w:rsid w:val="408740B2"/>
    <w:rsid w:val="408B409E"/>
    <w:rsid w:val="408E54D0"/>
    <w:rsid w:val="40B77ACC"/>
    <w:rsid w:val="40BD2482"/>
    <w:rsid w:val="40CE01B2"/>
    <w:rsid w:val="40D44447"/>
    <w:rsid w:val="40DB2823"/>
    <w:rsid w:val="40E3448C"/>
    <w:rsid w:val="40EE4695"/>
    <w:rsid w:val="40EE583F"/>
    <w:rsid w:val="40EF2E8F"/>
    <w:rsid w:val="40F27C5E"/>
    <w:rsid w:val="40F42748"/>
    <w:rsid w:val="40FA76BD"/>
    <w:rsid w:val="40FD344B"/>
    <w:rsid w:val="40FE26D2"/>
    <w:rsid w:val="410228FE"/>
    <w:rsid w:val="41044BF4"/>
    <w:rsid w:val="410B01A8"/>
    <w:rsid w:val="41252762"/>
    <w:rsid w:val="412E0DDF"/>
    <w:rsid w:val="412F731A"/>
    <w:rsid w:val="41353F90"/>
    <w:rsid w:val="41490CF5"/>
    <w:rsid w:val="414B5671"/>
    <w:rsid w:val="41503639"/>
    <w:rsid w:val="41514F68"/>
    <w:rsid w:val="415D50BB"/>
    <w:rsid w:val="41670752"/>
    <w:rsid w:val="416A0599"/>
    <w:rsid w:val="41712625"/>
    <w:rsid w:val="41741AA2"/>
    <w:rsid w:val="417C32DA"/>
    <w:rsid w:val="418C16CB"/>
    <w:rsid w:val="41A5473E"/>
    <w:rsid w:val="41A6399F"/>
    <w:rsid w:val="41B938EB"/>
    <w:rsid w:val="41BD4A1A"/>
    <w:rsid w:val="41C55588"/>
    <w:rsid w:val="41C76C5D"/>
    <w:rsid w:val="41CC7FB7"/>
    <w:rsid w:val="41CD41ED"/>
    <w:rsid w:val="41DB6B04"/>
    <w:rsid w:val="41DB7ACA"/>
    <w:rsid w:val="41E63E46"/>
    <w:rsid w:val="41E64231"/>
    <w:rsid w:val="41ED4A55"/>
    <w:rsid w:val="41FF4DD1"/>
    <w:rsid w:val="42027EA1"/>
    <w:rsid w:val="420B1F27"/>
    <w:rsid w:val="42182D34"/>
    <w:rsid w:val="42291598"/>
    <w:rsid w:val="42375A27"/>
    <w:rsid w:val="424259D6"/>
    <w:rsid w:val="4243274E"/>
    <w:rsid w:val="424610F7"/>
    <w:rsid w:val="424802AA"/>
    <w:rsid w:val="424E1A22"/>
    <w:rsid w:val="425D5BCF"/>
    <w:rsid w:val="42793113"/>
    <w:rsid w:val="42896F92"/>
    <w:rsid w:val="428A4FE0"/>
    <w:rsid w:val="428E2E24"/>
    <w:rsid w:val="429017FC"/>
    <w:rsid w:val="42914EC6"/>
    <w:rsid w:val="4297701F"/>
    <w:rsid w:val="42977427"/>
    <w:rsid w:val="429951AC"/>
    <w:rsid w:val="429C554F"/>
    <w:rsid w:val="42A26D50"/>
    <w:rsid w:val="42A73EBF"/>
    <w:rsid w:val="42B00F6D"/>
    <w:rsid w:val="42B10DBC"/>
    <w:rsid w:val="42B66625"/>
    <w:rsid w:val="42BA1E7D"/>
    <w:rsid w:val="42BC6219"/>
    <w:rsid w:val="42C121F4"/>
    <w:rsid w:val="42C512CA"/>
    <w:rsid w:val="42C7289D"/>
    <w:rsid w:val="42C85A7F"/>
    <w:rsid w:val="42CE47E6"/>
    <w:rsid w:val="42D54D2A"/>
    <w:rsid w:val="42D86242"/>
    <w:rsid w:val="42E80214"/>
    <w:rsid w:val="42EF5BE0"/>
    <w:rsid w:val="42F851DA"/>
    <w:rsid w:val="42FE4918"/>
    <w:rsid w:val="430355D1"/>
    <w:rsid w:val="430565C8"/>
    <w:rsid w:val="430931EF"/>
    <w:rsid w:val="43094FC5"/>
    <w:rsid w:val="430C285C"/>
    <w:rsid w:val="4313669C"/>
    <w:rsid w:val="431A01C5"/>
    <w:rsid w:val="43253BC4"/>
    <w:rsid w:val="432927A6"/>
    <w:rsid w:val="432A5BD6"/>
    <w:rsid w:val="432B7DEC"/>
    <w:rsid w:val="43342642"/>
    <w:rsid w:val="433821C6"/>
    <w:rsid w:val="433B122E"/>
    <w:rsid w:val="433F416A"/>
    <w:rsid w:val="435E5073"/>
    <w:rsid w:val="43645BF7"/>
    <w:rsid w:val="436C0027"/>
    <w:rsid w:val="43771E90"/>
    <w:rsid w:val="43821D42"/>
    <w:rsid w:val="43963653"/>
    <w:rsid w:val="43987604"/>
    <w:rsid w:val="43B7549F"/>
    <w:rsid w:val="43B9286F"/>
    <w:rsid w:val="43BB4049"/>
    <w:rsid w:val="43BB4C9D"/>
    <w:rsid w:val="43C93EA9"/>
    <w:rsid w:val="43D65537"/>
    <w:rsid w:val="43DD2294"/>
    <w:rsid w:val="43E12102"/>
    <w:rsid w:val="43E92280"/>
    <w:rsid w:val="43F421E8"/>
    <w:rsid w:val="43F707D8"/>
    <w:rsid w:val="4401313F"/>
    <w:rsid w:val="4402298A"/>
    <w:rsid w:val="440A7998"/>
    <w:rsid w:val="440C2EEA"/>
    <w:rsid w:val="441D2BDD"/>
    <w:rsid w:val="441D3234"/>
    <w:rsid w:val="441F6C55"/>
    <w:rsid w:val="4420224D"/>
    <w:rsid w:val="442074C6"/>
    <w:rsid w:val="44243A14"/>
    <w:rsid w:val="44244565"/>
    <w:rsid w:val="44291B11"/>
    <w:rsid w:val="44311C57"/>
    <w:rsid w:val="44370325"/>
    <w:rsid w:val="44482FF1"/>
    <w:rsid w:val="44514687"/>
    <w:rsid w:val="445459C2"/>
    <w:rsid w:val="44617D0A"/>
    <w:rsid w:val="44682D18"/>
    <w:rsid w:val="44691024"/>
    <w:rsid w:val="446944E9"/>
    <w:rsid w:val="446F13F6"/>
    <w:rsid w:val="44723BA6"/>
    <w:rsid w:val="4473705C"/>
    <w:rsid w:val="44783538"/>
    <w:rsid w:val="447A346E"/>
    <w:rsid w:val="447C5BAA"/>
    <w:rsid w:val="4480015B"/>
    <w:rsid w:val="448174D9"/>
    <w:rsid w:val="44885E87"/>
    <w:rsid w:val="4490304D"/>
    <w:rsid w:val="44973FBF"/>
    <w:rsid w:val="449A759B"/>
    <w:rsid w:val="44A9401A"/>
    <w:rsid w:val="44AC3086"/>
    <w:rsid w:val="44BD076D"/>
    <w:rsid w:val="44C30184"/>
    <w:rsid w:val="44C8435A"/>
    <w:rsid w:val="44C93ABA"/>
    <w:rsid w:val="44CB6A19"/>
    <w:rsid w:val="44CC451B"/>
    <w:rsid w:val="44DB36D1"/>
    <w:rsid w:val="44EB3F4C"/>
    <w:rsid w:val="44F75C85"/>
    <w:rsid w:val="44FB5FAE"/>
    <w:rsid w:val="44FB6168"/>
    <w:rsid w:val="44FC3194"/>
    <w:rsid w:val="44FD00BD"/>
    <w:rsid w:val="45031836"/>
    <w:rsid w:val="4504637B"/>
    <w:rsid w:val="45167FEB"/>
    <w:rsid w:val="452306AA"/>
    <w:rsid w:val="45266F78"/>
    <w:rsid w:val="453C4611"/>
    <w:rsid w:val="4542601F"/>
    <w:rsid w:val="45471252"/>
    <w:rsid w:val="455B0F07"/>
    <w:rsid w:val="455B70CF"/>
    <w:rsid w:val="455F21AD"/>
    <w:rsid w:val="456125FB"/>
    <w:rsid w:val="45646D5D"/>
    <w:rsid w:val="456B16C4"/>
    <w:rsid w:val="456E27EF"/>
    <w:rsid w:val="45723D75"/>
    <w:rsid w:val="459E70EB"/>
    <w:rsid w:val="45B304D2"/>
    <w:rsid w:val="45C2259A"/>
    <w:rsid w:val="45C972E7"/>
    <w:rsid w:val="45D66454"/>
    <w:rsid w:val="45F146F2"/>
    <w:rsid w:val="45F710E6"/>
    <w:rsid w:val="45FB5F89"/>
    <w:rsid w:val="45FF1EFE"/>
    <w:rsid w:val="460C4432"/>
    <w:rsid w:val="461058D9"/>
    <w:rsid w:val="46165015"/>
    <w:rsid w:val="461B0A25"/>
    <w:rsid w:val="46280A29"/>
    <w:rsid w:val="462A1664"/>
    <w:rsid w:val="463B4251"/>
    <w:rsid w:val="465027ED"/>
    <w:rsid w:val="46582079"/>
    <w:rsid w:val="465F4343"/>
    <w:rsid w:val="46663080"/>
    <w:rsid w:val="466A41DE"/>
    <w:rsid w:val="468539A4"/>
    <w:rsid w:val="468A0B4E"/>
    <w:rsid w:val="46C66179"/>
    <w:rsid w:val="46CB17EB"/>
    <w:rsid w:val="46DE668F"/>
    <w:rsid w:val="46E551CD"/>
    <w:rsid w:val="46EE4683"/>
    <w:rsid w:val="47014483"/>
    <w:rsid w:val="4703333D"/>
    <w:rsid w:val="471A4405"/>
    <w:rsid w:val="471E4B3E"/>
    <w:rsid w:val="471E6417"/>
    <w:rsid w:val="472F4367"/>
    <w:rsid w:val="473A5E83"/>
    <w:rsid w:val="473B2404"/>
    <w:rsid w:val="473E2B97"/>
    <w:rsid w:val="473F3688"/>
    <w:rsid w:val="47522D9A"/>
    <w:rsid w:val="47546291"/>
    <w:rsid w:val="475915CF"/>
    <w:rsid w:val="475B68AF"/>
    <w:rsid w:val="47763C9E"/>
    <w:rsid w:val="4778738B"/>
    <w:rsid w:val="477A3E46"/>
    <w:rsid w:val="47865720"/>
    <w:rsid w:val="478A29F0"/>
    <w:rsid w:val="478A3249"/>
    <w:rsid w:val="478A7058"/>
    <w:rsid w:val="478C0ADF"/>
    <w:rsid w:val="478D5D75"/>
    <w:rsid w:val="4790736A"/>
    <w:rsid w:val="47943558"/>
    <w:rsid w:val="479A12BB"/>
    <w:rsid w:val="479E7121"/>
    <w:rsid w:val="47A80B00"/>
    <w:rsid w:val="47AD45F5"/>
    <w:rsid w:val="47BA4FF1"/>
    <w:rsid w:val="47CB6507"/>
    <w:rsid w:val="47D60BBC"/>
    <w:rsid w:val="47D7163B"/>
    <w:rsid w:val="47E064C7"/>
    <w:rsid w:val="47E156BB"/>
    <w:rsid w:val="47E77EB6"/>
    <w:rsid w:val="47F20C0E"/>
    <w:rsid w:val="48002C62"/>
    <w:rsid w:val="480515E9"/>
    <w:rsid w:val="48065890"/>
    <w:rsid w:val="48127D91"/>
    <w:rsid w:val="48162E9B"/>
    <w:rsid w:val="481E0218"/>
    <w:rsid w:val="48273063"/>
    <w:rsid w:val="482759BB"/>
    <w:rsid w:val="482A5811"/>
    <w:rsid w:val="484031A0"/>
    <w:rsid w:val="48460E01"/>
    <w:rsid w:val="48474441"/>
    <w:rsid w:val="484A3A4D"/>
    <w:rsid w:val="485A4946"/>
    <w:rsid w:val="486C5A57"/>
    <w:rsid w:val="487F196B"/>
    <w:rsid w:val="487F438D"/>
    <w:rsid w:val="48843707"/>
    <w:rsid w:val="48865559"/>
    <w:rsid w:val="488B7278"/>
    <w:rsid w:val="488F7885"/>
    <w:rsid w:val="48921589"/>
    <w:rsid w:val="48943290"/>
    <w:rsid w:val="48B1483E"/>
    <w:rsid w:val="48C3184C"/>
    <w:rsid w:val="48E8561D"/>
    <w:rsid w:val="48EC6679"/>
    <w:rsid w:val="48F0103C"/>
    <w:rsid w:val="48F0714D"/>
    <w:rsid w:val="48F3402C"/>
    <w:rsid w:val="48F62D03"/>
    <w:rsid w:val="48F77F22"/>
    <w:rsid w:val="49006A4D"/>
    <w:rsid w:val="49272634"/>
    <w:rsid w:val="492A6E95"/>
    <w:rsid w:val="492E435B"/>
    <w:rsid w:val="4939144E"/>
    <w:rsid w:val="493A24D0"/>
    <w:rsid w:val="493C6687"/>
    <w:rsid w:val="493D20BB"/>
    <w:rsid w:val="493E58F3"/>
    <w:rsid w:val="4959124E"/>
    <w:rsid w:val="495C67D2"/>
    <w:rsid w:val="495D071E"/>
    <w:rsid w:val="496164D0"/>
    <w:rsid w:val="49664EA6"/>
    <w:rsid w:val="496B669D"/>
    <w:rsid w:val="496E712A"/>
    <w:rsid w:val="49722A47"/>
    <w:rsid w:val="4973140F"/>
    <w:rsid w:val="497C4BE1"/>
    <w:rsid w:val="4980732D"/>
    <w:rsid w:val="49A31824"/>
    <w:rsid w:val="49AD1724"/>
    <w:rsid w:val="49AD7C3B"/>
    <w:rsid w:val="49B15E32"/>
    <w:rsid w:val="49B35477"/>
    <w:rsid w:val="49B66EC5"/>
    <w:rsid w:val="49B73BA5"/>
    <w:rsid w:val="49B7682F"/>
    <w:rsid w:val="49BE306A"/>
    <w:rsid w:val="49BE56DF"/>
    <w:rsid w:val="49C071A1"/>
    <w:rsid w:val="49C161D8"/>
    <w:rsid w:val="49C24A88"/>
    <w:rsid w:val="49CC3F16"/>
    <w:rsid w:val="49D81F13"/>
    <w:rsid w:val="49E31136"/>
    <w:rsid w:val="49ED057A"/>
    <w:rsid w:val="49EF1D86"/>
    <w:rsid w:val="49FD0A6D"/>
    <w:rsid w:val="4A057339"/>
    <w:rsid w:val="4A0C2D29"/>
    <w:rsid w:val="4A15629C"/>
    <w:rsid w:val="4A203CA4"/>
    <w:rsid w:val="4A335BDC"/>
    <w:rsid w:val="4A344670"/>
    <w:rsid w:val="4A360F96"/>
    <w:rsid w:val="4A3A2422"/>
    <w:rsid w:val="4A3B40B2"/>
    <w:rsid w:val="4A4C696C"/>
    <w:rsid w:val="4A4E6A63"/>
    <w:rsid w:val="4A520E1F"/>
    <w:rsid w:val="4A551320"/>
    <w:rsid w:val="4A573C9B"/>
    <w:rsid w:val="4A591C97"/>
    <w:rsid w:val="4A5B1925"/>
    <w:rsid w:val="4A9B73F3"/>
    <w:rsid w:val="4AAA45CD"/>
    <w:rsid w:val="4AAC1814"/>
    <w:rsid w:val="4AB50E42"/>
    <w:rsid w:val="4AB82002"/>
    <w:rsid w:val="4AB82B50"/>
    <w:rsid w:val="4ABB4926"/>
    <w:rsid w:val="4ABB6F17"/>
    <w:rsid w:val="4ABE1639"/>
    <w:rsid w:val="4AC24D5B"/>
    <w:rsid w:val="4ADC4024"/>
    <w:rsid w:val="4AE17C2C"/>
    <w:rsid w:val="4AEA24F0"/>
    <w:rsid w:val="4AEF656B"/>
    <w:rsid w:val="4AF5404E"/>
    <w:rsid w:val="4AF55886"/>
    <w:rsid w:val="4AF83131"/>
    <w:rsid w:val="4B036EDC"/>
    <w:rsid w:val="4B063561"/>
    <w:rsid w:val="4B150032"/>
    <w:rsid w:val="4B1D14E7"/>
    <w:rsid w:val="4B1D73DF"/>
    <w:rsid w:val="4B3A4FA6"/>
    <w:rsid w:val="4B3E3AC9"/>
    <w:rsid w:val="4B6937DD"/>
    <w:rsid w:val="4B712CB3"/>
    <w:rsid w:val="4B715C38"/>
    <w:rsid w:val="4B766050"/>
    <w:rsid w:val="4B870600"/>
    <w:rsid w:val="4B88227D"/>
    <w:rsid w:val="4B897805"/>
    <w:rsid w:val="4B8E0170"/>
    <w:rsid w:val="4B8E63E6"/>
    <w:rsid w:val="4B964E4F"/>
    <w:rsid w:val="4BC22732"/>
    <w:rsid w:val="4BC27D75"/>
    <w:rsid w:val="4BC65B99"/>
    <w:rsid w:val="4BCC6CA8"/>
    <w:rsid w:val="4BCD230D"/>
    <w:rsid w:val="4BCD53D9"/>
    <w:rsid w:val="4BCF38CB"/>
    <w:rsid w:val="4BD44271"/>
    <w:rsid w:val="4BE85889"/>
    <w:rsid w:val="4BEF4C5D"/>
    <w:rsid w:val="4BF0140A"/>
    <w:rsid w:val="4BF47196"/>
    <w:rsid w:val="4BFB520C"/>
    <w:rsid w:val="4BFC046E"/>
    <w:rsid w:val="4BFC6236"/>
    <w:rsid w:val="4BFE10D1"/>
    <w:rsid w:val="4C073CF8"/>
    <w:rsid w:val="4C0D64AA"/>
    <w:rsid w:val="4C102782"/>
    <w:rsid w:val="4C132013"/>
    <w:rsid w:val="4C24124B"/>
    <w:rsid w:val="4C322BE9"/>
    <w:rsid w:val="4C4277B4"/>
    <w:rsid w:val="4C4541E5"/>
    <w:rsid w:val="4C473545"/>
    <w:rsid w:val="4C476DF9"/>
    <w:rsid w:val="4C511CEE"/>
    <w:rsid w:val="4C5316E4"/>
    <w:rsid w:val="4C554428"/>
    <w:rsid w:val="4C5C3EA5"/>
    <w:rsid w:val="4C61437A"/>
    <w:rsid w:val="4C631272"/>
    <w:rsid w:val="4C822FF7"/>
    <w:rsid w:val="4C8556B7"/>
    <w:rsid w:val="4C89483F"/>
    <w:rsid w:val="4C8A5A53"/>
    <w:rsid w:val="4C997D3D"/>
    <w:rsid w:val="4C9C7246"/>
    <w:rsid w:val="4C9F6D0C"/>
    <w:rsid w:val="4CA1222F"/>
    <w:rsid w:val="4CA27E8F"/>
    <w:rsid w:val="4CB30071"/>
    <w:rsid w:val="4CB76367"/>
    <w:rsid w:val="4CBF3179"/>
    <w:rsid w:val="4CCB6F14"/>
    <w:rsid w:val="4CCC16DA"/>
    <w:rsid w:val="4CD1326F"/>
    <w:rsid w:val="4CDD168C"/>
    <w:rsid w:val="4CDE1580"/>
    <w:rsid w:val="4CE856A5"/>
    <w:rsid w:val="4D05310C"/>
    <w:rsid w:val="4D0C5E9D"/>
    <w:rsid w:val="4D0F7EAD"/>
    <w:rsid w:val="4D15514C"/>
    <w:rsid w:val="4D166BD9"/>
    <w:rsid w:val="4D1C782A"/>
    <w:rsid w:val="4D2237E5"/>
    <w:rsid w:val="4D2A6914"/>
    <w:rsid w:val="4D341316"/>
    <w:rsid w:val="4D363F23"/>
    <w:rsid w:val="4D4542AC"/>
    <w:rsid w:val="4D4F3E2D"/>
    <w:rsid w:val="4D5077DD"/>
    <w:rsid w:val="4D55429F"/>
    <w:rsid w:val="4D706C30"/>
    <w:rsid w:val="4DA15110"/>
    <w:rsid w:val="4DB56ED5"/>
    <w:rsid w:val="4DB73A62"/>
    <w:rsid w:val="4DB97D79"/>
    <w:rsid w:val="4DD30E27"/>
    <w:rsid w:val="4DD90962"/>
    <w:rsid w:val="4DEE57AE"/>
    <w:rsid w:val="4E02546D"/>
    <w:rsid w:val="4E0C0C92"/>
    <w:rsid w:val="4E1D44D2"/>
    <w:rsid w:val="4E1E3793"/>
    <w:rsid w:val="4E2241CB"/>
    <w:rsid w:val="4E251856"/>
    <w:rsid w:val="4E282639"/>
    <w:rsid w:val="4E317E06"/>
    <w:rsid w:val="4E3E2E69"/>
    <w:rsid w:val="4E416B1D"/>
    <w:rsid w:val="4E4B212D"/>
    <w:rsid w:val="4E4C1829"/>
    <w:rsid w:val="4E505C40"/>
    <w:rsid w:val="4E585AEF"/>
    <w:rsid w:val="4E5C563B"/>
    <w:rsid w:val="4E650E6B"/>
    <w:rsid w:val="4E6E647A"/>
    <w:rsid w:val="4E7642A7"/>
    <w:rsid w:val="4E7E3962"/>
    <w:rsid w:val="4E9B7400"/>
    <w:rsid w:val="4EA548AD"/>
    <w:rsid w:val="4EC30B2B"/>
    <w:rsid w:val="4EC30BAA"/>
    <w:rsid w:val="4ECF07FD"/>
    <w:rsid w:val="4ED406B0"/>
    <w:rsid w:val="4EDB7799"/>
    <w:rsid w:val="4EE80F4D"/>
    <w:rsid w:val="4EED71B1"/>
    <w:rsid w:val="4EF11B96"/>
    <w:rsid w:val="4EF5428A"/>
    <w:rsid w:val="4EF75441"/>
    <w:rsid w:val="4EF85F9A"/>
    <w:rsid w:val="4F067E7F"/>
    <w:rsid w:val="4F0F0E50"/>
    <w:rsid w:val="4F18079A"/>
    <w:rsid w:val="4F1B620F"/>
    <w:rsid w:val="4F206722"/>
    <w:rsid w:val="4F2717D1"/>
    <w:rsid w:val="4F2D66FB"/>
    <w:rsid w:val="4F341D8D"/>
    <w:rsid w:val="4F355697"/>
    <w:rsid w:val="4F460A77"/>
    <w:rsid w:val="4F4D1CD3"/>
    <w:rsid w:val="4F557736"/>
    <w:rsid w:val="4F5C12A0"/>
    <w:rsid w:val="4F616F31"/>
    <w:rsid w:val="4F7760C5"/>
    <w:rsid w:val="4F815C1D"/>
    <w:rsid w:val="4F857B40"/>
    <w:rsid w:val="4F8C20B6"/>
    <w:rsid w:val="4F8C3339"/>
    <w:rsid w:val="4F8D7933"/>
    <w:rsid w:val="4F8F24EB"/>
    <w:rsid w:val="4F923128"/>
    <w:rsid w:val="4F996C7E"/>
    <w:rsid w:val="4F9D7F82"/>
    <w:rsid w:val="4F9E10B3"/>
    <w:rsid w:val="4FA85516"/>
    <w:rsid w:val="4FAA4E3A"/>
    <w:rsid w:val="4FB72501"/>
    <w:rsid w:val="4FDB2A14"/>
    <w:rsid w:val="4FE5216E"/>
    <w:rsid w:val="4FEA544A"/>
    <w:rsid w:val="4FEE43C5"/>
    <w:rsid w:val="4FEF7F19"/>
    <w:rsid w:val="4FF50AA2"/>
    <w:rsid w:val="4FF55E04"/>
    <w:rsid w:val="4FFA1F79"/>
    <w:rsid w:val="4FFE6D44"/>
    <w:rsid w:val="5012408F"/>
    <w:rsid w:val="501C3419"/>
    <w:rsid w:val="501C6CBB"/>
    <w:rsid w:val="501D4063"/>
    <w:rsid w:val="502A5FF4"/>
    <w:rsid w:val="502F4C40"/>
    <w:rsid w:val="50303864"/>
    <w:rsid w:val="50334961"/>
    <w:rsid w:val="50404D00"/>
    <w:rsid w:val="504A2ECF"/>
    <w:rsid w:val="50503A64"/>
    <w:rsid w:val="505A032B"/>
    <w:rsid w:val="505B09D2"/>
    <w:rsid w:val="50611C44"/>
    <w:rsid w:val="50641F16"/>
    <w:rsid w:val="506D39BB"/>
    <w:rsid w:val="506F3338"/>
    <w:rsid w:val="50877E67"/>
    <w:rsid w:val="5094213E"/>
    <w:rsid w:val="509C1B97"/>
    <w:rsid w:val="509E1BF6"/>
    <w:rsid w:val="50A37BD0"/>
    <w:rsid w:val="50A40B8B"/>
    <w:rsid w:val="50A66EF3"/>
    <w:rsid w:val="50AB2E49"/>
    <w:rsid w:val="50AC26DF"/>
    <w:rsid w:val="50AE19B8"/>
    <w:rsid w:val="50B00860"/>
    <w:rsid w:val="50BB1A75"/>
    <w:rsid w:val="50C02457"/>
    <w:rsid w:val="50C22147"/>
    <w:rsid w:val="50DA5D1D"/>
    <w:rsid w:val="50DF3746"/>
    <w:rsid w:val="50E00775"/>
    <w:rsid w:val="50F9524E"/>
    <w:rsid w:val="51065AE3"/>
    <w:rsid w:val="51073487"/>
    <w:rsid w:val="51275918"/>
    <w:rsid w:val="512C2F2E"/>
    <w:rsid w:val="5130697A"/>
    <w:rsid w:val="51407712"/>
    <w:rsid w:val="51606D80"/>
    <w:rsid w:val="51815543"/>
    <w:rsid w:val="518D502C"/>
    <w:rsid w:val="519333FF"/>
    <w:rsid w:val="51984E54"/>
    <w:rsid w:val="51A146B6"/>
    <w:rsid w:val="51AE3CED"/>
    <w:rsid w:val="51B97C10"/>
    <w:rsid w:val="51BB5FF1"/>
    <w:rsid w:val="51C26272"/>
    <w:rsid w:val="51C606FB"/>
    <w:rsid w:val="51D854A9"/>
    <w:rsid w:val="51E30B6A"/>
    <w:rsid w:val="51EF1984"/>
    <w:rsid w:val="51F43BE2"/>
    <w:rsid w:val="51F747E0"/>
    <w:rsid w:val="52103C34"/>
    <w:rsid w:val="52114A1C"/>
    <w:rsid w:val="52147C8F"/>
    <w:rsid w:val="52151D21"/>
    <w:rsid w:val="521A1356"/>
    <w:rsid w:val="52252690"/>
    <w:rsid w:val="52252BF9"/>
    <w:rsid w:val="52307421"/>
    <w:rsid w:val="52337F1C"/>
    <w:rsid w:val="5236531B"/>
    <w:rsid w:val="5249689C"/>
    <w:rsid w:val="524A3FB4"/>
    <w:rsid w:val="52525E85"/>
    <w:rsid w:val="525562DE"/>
    <w:rsid w:val="52567E52"/>
    <w:rsid w:val="526A51AF"/>
    <w:rsid w:val="52802154"/>
    <w:rsid w:val="528B4CAA"/>
    <w:rsid w:val="528C13A2"/>
    <w:rsid w:val="528E1B19"/>
    <w:rsid w:val="52BF6099"/>
    <w:rsid w:val="52C55BC0"/>
    <w:rsid w:val="52CD0B04"/>
    <w:rsid w:val="52D935FA"/>
    <w:rsid w:val="52DA789D"/>
    <w:rsid w:val="52E84EAB"/>
    <w:rsid w:val="52F13016"/>
    <w:rsid w:val="52FA4A88"/>
    <w:rsid w:val="530326EF"/>
    <w:rsid w:val="531955E1"/>
    <w:rsid w:val="53210278"/>
    <w:rsid w:val="532173A6"/>
    <w:rsid w:val="53311999"/>
    <w:rsid w:val="533C45DC"/>
    <w:rsid w:val="534534A3"/>
    <w:rsid w:val="53460BCE"/>
    <w:rsid w:val="534C36C4"/>
    <w:rsid w:val="535B5FF9"/>
    <w:rsid w:val="53663AD9"/>
    <w:rsid w:val="536D21D8"/>
    <w:rsid w:val="53796342"/>
    <w:rsid w:val="53820BB2"/>
    <w:rsid w:val="538418DC"/>
    <w:rsid w:val="538B36FB"/>
    <w:rsid w:val="538D79B9"/>
    <w:rsid w:val="5398169E"/>
    <w:rsid w:val="539911C5"/>
    <w:rsid w:val="53AA73C8"/>
    <w:rsid w:val="53B06E15"/>
    <w:rsid w:val="53C029D2"/>
    <w:rsid w:val="53C241C4"/>
    <w:rsid w:val="53C429B7"/>
    <w:rsid w:val="53D43002"/>
    <w:rsid w:val="53D904AE"/>
    <w:rsid w:val="53E81D64"/>
    <w:rsid w:val="53EB712E"/>
    <w:rsid w:val="53F5628E"/>
    <w:rsid w:val="53F94527"/>
    <w:rsid w:val="54003C95"/>
    <w:rsid w:val="540A4448"/>
    <w:rsid w:val="54183F4F"/>
    <w:rsid w:val="541C53CD"/>
    <w:rsid w:val="54241077"/>
    <w:rsid w:val="54251052"/>
    <w:rsid w:val="542E1E30"/>
    <w:rsid w:val="542E520F"/>
    <w:rsid w:val="54303B2F"/>
    <w:rsid w:val="54391E2A"/>
    <w:rsid w:val="543F370E"/>
    <w:rsid w:val="54505D70"/>
    <w:rsid w:val="5454111A"/>
    <w:rsid w:val="545C1B55"/>
    <w:rsid w:val="54631A1F"/>
    <w:rsid w:val="54660E4D"/>
    <w:rsid w:val="547055A0"/>
    <w:rsid w:val="54787ECC"/>
    <w:rsid w:val="54812C87"/>
    <w:rsid w:val="548361DF"/>
    <w:rsid w:val="54957EB4"/>
    <w:rsid w:val="54AA7585"/>
    <w:rsid w:val="54AC3060"/>
    <w:rsid w:val="54AF794C"/>
    <w:rsid w:val="54B67786"/>
    <w:rsid w:val="54BB6BD3"/>
    <w:rsid w:val="54C63A10"/>
    <w:rsid w:val="54C8390C"/>
    <w:rsid w:val="54DA5C4C"/>
    <w:rsid w:val="54DB7858"/>
    <w:rsid w:val="54E50145"/>
    <w:rsid w:val="54F70681"/>
    <w:rsid w:val="54FB522F"/>
    <w:rsid w:val="55006CF5"/>
    <w:rsid w:val="550D5140"/>
    <w:rsid w:val="55132040"/>
    <w:rsid w:val="551A6E9C"/>
    <w:rsid w:val="55211C4B"/>
    <w:rsid w:val="55265024"/>
    <w:rsid w:val="55293427"/>
    <w:rsid w:val="552C79A0"/>
    <w:rsid w:val="553E6CB0"/>
    <w:rsid w:val="55437516"/>
    <w:rsid w:val="554A1CE4"/>
    <w:rsid w:val="554B0A2E"/>
    <w:rsid w:val="555A19E2"/>
    <w:rsid w:val="555B33C1"/>
    <w:rsid w:val="55607B9B"/>
    <w:rsid w:val="5569463C"/>
    <w:rsid w:val="55755D7B"/>
    <w:rsid w:val="55757CBD"/>
    <w:rsid w:val="557C5594"/>
    <w:rsid w:val="55957379"/>
    <w:rsid w:val="55966F76"/>
    <w:rsid w:val="55AC349A"/>
    <w:rsid w:val="55B4733C"/>
    <w:rsid w:val="55B52048"/>
    <w:rsid w:val="55BD174C"/>
    <w:rsid w:val="55C81BB8"/>
    <w:rsid w:val="55CE6A55"/>
    <w:rsid w:val="55DF5269"/>
    <w:rsid w:val="55E216F8"/>
    <w:rsid w:val="55E25788"/>
    <w:rsid w:val="55E417AE"/>
    <w:rsid w:val="55EF6F20"/>
    <w:rsid w:val="55FF40FA"/>
    <w:rsid w:val="56047661"/>
    <w:rsid w:val="560D3F28"/>
    <w:rsid w:val="560F3D55"/>
    <w:rsid w:val="56105F34"/>
    <w:rsid w:val="56147900"/>
    <w:rsid w:val="561671B6"/>
    <w:rsid w:val="56231287"/>
    <w:rsid w:val="5629232E"/>
    <w:rsid w:val="562A339F"/>
    <w:rsid w:val="563450DB"/>
    <w:rsid w:val="563E0D12"/>
    <w:rsid w:val="56444033"/>
    <w:rsid w:val="5649778D"/>
    <w:rsid w:val="56582EC5"/>
    <w:rsid w:val="565A1147"/>
    <w:rsid w:val="565A6D9C"/>
    <w:rsid w:val="56635A76"/>
    <w:rsid w:val="566E512C"/>
    <w:rsid w:val="56743965"/>
    <w:rsid w:val="567808EC"/>
    <w:rsid w:val="56864983"/>
    <w:rsid w:val="568E7350"/>
    <w:rsid w:val="56984E38"/>
    <w:rsid w:val="569B4737"/>
    <w:rsid w:val="56A47248"/>
    <w:rsid w:val="56B96F71"/>
    <w:rsid w:val="56C44362"/>
    <w:rsid w:val="56CA4BBB"/>
    <w:rsid w:val="56D83364"/>
    <w:rsid w:val="56DD6AC9"/>
    <w:rsid w:val="56DF277A"/>
    <w:rsid w:val="56E03E16"/>
    <w:rsid w:val="56ED3EE4"/>
    <w:rsid w:val="56F00B76"/>
    <w:rsid w:val="56F55395"/>
    <w:rsid w:val="56F745A8"/>
    <w:rsid w:val="56FF6F78"/>
    <w:rsid w:val="571635A1"/>
    <w:rsid w:val="57352F0E"/>
    <w:rsid w:val="57354B82"/>
    <w:rsid w:val="573B48F4"/>
    <w:rsid w:val="57415D44"/>
    <w:rsid w:val="57422253"/>
    <w:rsid w:val="5746251C"/>
    <w:rsid w:val="57492FF5"/>
    <w:rsid w:val="574A5AA3"/>
    <w:rsid w:val="575C1A86"/>
    <w:rsid w:val="57767700"/>
    <w:rsid w:val="57825F9E"/>
    <w:rsid w:val="579A6EF3"/>
    <w:rsid w:val="579B330C"/>
    <w:rsid w:val="57A178D5"/>
    <w:rsid w:val="57A37560"/>
    <w:rsid w:val="57A83858"/>
    <w:rsid w:val="57A94D61"/>
    <w:rsid w:val="57AF5C54"/>
    <w:rsid w:val="57B2759A"/>
    <w:rsid w:val="57B42188"/>
    <w:rsid w:val="57B45112"/>
    <w:rsid w:val="57B4655E"/>
    <w:rsid w:val="57CC6CEA"/>
    <w:rsid w:val="57D70A47"/>
    <w:rsid w:val="57D903E2"/>
    <w:rsid w:val="57E005EC"/>
    <w:rsid w:val="57FB0019"/>
    <w:rsid w:val="580D4B29"/>
    <w:rsid w:val="581A5F5A"/>
    <w:rsid w:val="58215951"/>
    <w:rsid w:val="5822625D"/>
    <w:rsid w:val="58264612"/>
    <w:rsid w:val="58306021"/>
    <w:rsid w:val="583078AE"/>
    <w:rsid w:val="583D2C7F"/>
    <w:rsid w:val="5843317B"/>
    <w:rsid w:val="58507329"/>
    <w:rsid w:val="58623FD0"/>
    <w:rsid w:val="587D5FE6"/>
    <w:rsid w:val="58821087"/>
    <w:rsid w:val="588D22B7"/>
    <w:rsid w:val="588F1C60"/>
    <w:rsid w:val="58953FF1"/>
    <w:rsid w:val="589849BB"/>
    <w:rsid w:val="589A731F"/>
    <w:rsid w:val="58B41748"/>
    <w:rsid w:val="58C039AA"/>
    <w:rsid w:val="58C33DB9"/>
    <w:rsid w:val="58C425E3"/>
    <w:rsid w:val="58CF4446"/>
    <w:rsid w:val="58D1737A"/>
    <w:rsid w:val="58EE76E8"/>
    <w:rsid w:val="58F67780"/>
    <w:rsid w:val="58FD2B7C"/>
    <w:rsid w:val="58FF0E69"/>
    <w:rsid w:val="59174271"/>
    <w:rsid w:val="59206ABC"/>
    <w:rsid w:val="59256ED3"/>
    <w:rsid w:val="59271FEC"/>
    <w:rsid w:val="59350CC7"/>
    <w:rsid w:val="59393975"/>
    <w:rsid w:val="59417210"/>
    <w:rsid w:val="5946051F"/>
    <w:rsid w:val="59572BBD"/>
    <w:rsid w:val="595B07E0"/>
    <w:rsid w:val="596719AD"/>
    <w:rsid w:val="59692FF0"/>
    <w:rsid w:val="597645D2"/>
    <w:rsid w:val="597E00FB"/>
    <w:rsid w:val="597E453F"/>
    <w:rsid w:val="597E49BB"/>
    <w:rsid w:val="598A0D18"/>
    <w:rsid w:val="59932EFC"/>
    <w:rsid w:val="59967306"/>
    <w:rsid w:val="599D37A3"/>
    <w:rsid w:val="59B10E52"/>
    <w:rsid w:val="59B76C32"/>
    <w:rsid w:val="59C67DEE"/>
    <w:rsid w:val="59C9568A"/>
    <w:rsid w:val="59D00AB8"/>
    <w:rsid w:val="59E74322"/>
    <w:rsid w:val="5A002FA3"/>
    <w:rsid w:val="5A007669"/>
    <w:rsid w:val="5A007E30"/>
    <w:rsid w:val="5A0343C9"/>
    <w:rsid w:val="5A0471D8"/>
    <w:rsid w:val="5A08125A"/>
    <w:rsid w:val="5A0E7F63"/>
    <w:rsid w:val="5A160D56"/>
    <w:rsid w:val="5A2179FB"/>
    <w:rsid w:val="5A243921"/>
    <w:rsid w:val="5A2776EF"/>
    <w:rsid w:val="5A45521F"/>
    <w:rsid w:val="5A4752B6"/>
    <w:rsid w:val="5A4F5EDF"/>
    <w:rsid w:val="5A5051A4"/>
    <w:rsid w:val="5A621F97"/>
    <w:rsid w:val="5A6A69B7"/>
    <w:rsid w:val="5A6B504C"/>
    <w:rsid w:val="5A885001"/>
    <w:rsid w:val="5A8960C5"/>
    <w:rsid w:val="5A99743F"/>
    <w:rsid w:val="5A9E1877"/>
    <w:rsid w:val="5AA87A7C"/>
    <w:rsid w:val="5AA91D17"/>
    <w:rsid w:val="5AAC3162"/>
    <w:rsid w:val="5AB216C4"/>
    <w:rsid w:val="5ABC1E55"/>
    <w:rsid w:val="5ADD4D11"/>
    <w:rsid w:val="5AE26CDD"/>
    <w:rsid w:val="5AE42730"/>
    <w:rsid w:val="5AE75385"/>
    <w:rsid w:val="5AEA0953"/>
    <w:rsid w:val="5AEC23B4"/>
    <w:rsid w:val="5B052047"/>
    <w:rsid w:val="5B0D3DD0"/>
    <w:rsid w:val="5B0F7EB6"/>
    <w:rsid w:val="5B266F16"/>
    <w:rsid w:val="5B2E301B"/>
    <w:rsid w:val="5B32108D"/>
    <w:rsid w:val="5B3625B8"/>
    <w:rsid w:val="5B3B3368"/>
    <w:rsid w:val="5B3F47FC"/>
    <w:rsid w:val="5B41351D"/>
    <w:rsid w:val="5B624147"/>
    <w:rsid w:val="5B640BA4"/>
    <w:rsid w:val="5B7339AD"/>
    <w:rsid w:val="5B813703"/>
    <w:rsid w:val="5B842A8E"/>
    <w:rsid w:val="5B9F61D8"/>
    <w:rsid w:val="5BA86394"/>
    <w:rsid w:val="5BB82B14"/>
    <w:rsid w:val="5BB95B06"/>
    <w:rsid w:val="5BC03858"/>
    <w:rsid w:val="5BD536D5"/>
    <w:rsid w:val="5BE34B31"/>
    <w:rsid w:val="5BF2787E"/>
    <w:rsid w:val="5BFA335F"/>
    <w:rsid w:val="5C143599"/>
    <w:rsid w:val="5C322A65"/>
    <w:rsid w:val="5C46536D"/>
    <w:rsid w:val="5C500B2B"/>
    <w:rsid w:val="5C526F7B"/>
    <w:rsid w:val="5C595364"/>
    <w:rsid w:val="5C6959CB"/>
    <w:rsid w:val="5C6C51C1"/>
    <w:rsid w:val="5C7B6810"/>
    <w:rsid w:val="5C7E1616"/>
    <w:rsid w:val="5C805B19"/>
    <w:rsid w:val="5C8252D4"/>
    <w:rsid w:val="5C84485C"/>
    <w:rsid w:val="5C861F85"/>
    <w:rsid w:val="5C917CB2"/>
    <w:rsid w:val="5C92145C"/>
    <w:rsid w:val="5C99030E"/>
    <w:rsid w:val="5C9A4295"/>
    <w:rsid w:val="5C9B4F43"/>
    <w:rsid w:val="5C9E3C9E"/>
    <w:rsid w:val="5CAD01E8"/>
    <w:rsid w:val="5CB149DB"/>
    <w:rsid w:val="5CB5471F"/>
    <w:rsid w:val="5CC434C5"/>
    <w:rsid w:val="5CD3177D"/>
    <w:rsid w:val="5CD40035"/>
    <w:rsid w:val="5CDC0140"/>
    <w:rsid w:val="5CDF2B73"/>
    <w:rsid w:val="5CE9458D"/>
    <w:rsid w:val="5CF138A4"/>
    <w:rsid w:val="5CF20760"/>
    <w:rsid w:val="5D0449CF"/>
    <w:rsid w:val="5D0E21AC"/>
    <w:rsid w:val="5D1C3E29"/>
    <w:rsid w:val="5D3468C4"/>
    <w:rsid w:val="5D3B635D"/>
    <w:rsid w:val="5D434714"/>
    <w:rsid w:val="5D457A5D"/>
    <w:rsid w:val="5D4E3012"/>
    <w:rsid w:val="5D4E3C68"/>
    <w:rsid w:val="5D5F23EC"/>
    <w:rsid w:val="5D797731"/>
    <w:rsid w:val="5D7E7E9A"/>
    <w:rsid w:val="5DA70253"/>
    <w:rsid w:val="5DA82CCD"/>
    <w:rsid w:val="5DB55C27"/>
    <w:rsid w:val="5DCB09A1"/>
    <w:rsid w:val="5DCB5CF0"/>
    <w:rsid w:val="5DDC29E4"/>
    <w:rsid w:val="5DF239A3"/>
    <w:rsid w:val="5DF3456E"/>
    <w:rsid w:val="5E0E1390"/>
    <w:rsid w:val="5E12327B"/>
    <w:rsid w:val="5E213EF8"/>
    <w:rsid w:val="5E2C29D6"/>
    <w:rsid w:val="5E2F5CFC"/>
    <w:rsid w:val="5E3036B9"/>
    <w:rsid w:val="5E32252F"/>
    <w:rsid w:val="5E42228C"/>
    <w:rsid w:val="5E464496"/>
    <w:rsid w:val="5E4D0988"/>
    <w:rsid w:val="5E61698D"/>
    <w:rsid w:val="5E6A32E8"/>
    <w:rsid w:val="5E7E60A9"/>
    <w:rsid w:val="5E901A68"/>
    <w:rsid w:val="5EB17513"/>
    <w:rsid w:val="5EB860D2"/>
    <w:rsid w:val="5EBC2E54"/>
    <w:rsid w:val="5EDA2CAC"/>
    <w:rsid w:val="5EDB00E0"/>
    <w:rsid w:val="5EDE5287"/>
    <w:rsid w:val="5EDE6F04"/>
    <w:rsid w:val="5EE61F49"/>
    <w:rsid w:val="5F1950E1"/>
    <w:rsid w:val="5F1E54FC"/>
    <w:rsid w:val="5F1E7070"/>
    <w:rsid w:val="5F315AA9"/>
    <w:rsid w:val="5F3634EE"/>
    <w:rsid w:val="5F3F74F9"/>
    <w:rsid w:val="5F445B2E"/>
    <w:rsid w:val="5F5A7308"/>
    <w:rsid w:val="5F5F359D"/>
    <w:rsid w:val="5F6E41B1"/>
    <w:rsid w:val="5F714634"/>
    <w:rsid w:val="5F714A57"/>
    <w:rsid w:val="5F715D02"/>
    <w:rsid w:val="5F785CFF"/>
    <w:rsid w:val="5F7B5532"/>
    <w:rsid w:val="5F8C05DD"/>
    <w:rsid w:val="5F9136E2"/>
    <w:rsid w:val="5F945C6E"/>
    <w:rsid w:val="5F9609A6"/>
    <w:rsid w:val="5F976056"/>
    <w:rsid w:val="5F9A541A"/>
    <w:rsid w:val="5FA03C55"/>
    <w:rsid w:val="5FA96BB5"/>
    <w:rsid w:val="5FC26490"/>
    <w:rsid w:val="5FCB0FAC"/>
    <w:rsid w:val="5FCC0F20"/>
    <w:rsid w:val="5FD7050C"/>
    <w:rsid w:val="5FE3287C"/>
    <w:rsid w:val="5FE502FA"/>
    <w:rsid w:val="5FEF66DA"/>
    <w:rsid w:val="5FF727EF"/>
    <w:rsid w:val="600A2620"/>
    <w:rsid w:val="600D7226"/>
    <w:rsid w:val="6010367B"/>
    <w:rsid w:val="60177C95"/>
    <w:rsid w:val="601C03AD"/>
    <w:rsid w:val="60226395"/>
    <w:rsid w:val="60282BEF"/>
    <w:rsid w:val="602B20E7"/>
    <w:rsid w:val="602F7A19"/>
    <w:rsid w:val="603C224B"/>
    <w:rsid w:val="60444B10"/>
    <w:rsid w:val="604C03D2"/>
    <w:rsid w:val="60612816"/>
    <w:rsid w:val="60615277"/>
    <w:rsid w:val="60695999"/>
    <w:rsid w:val="607346D5"/>
    <w:rsid w:val="607B7ACE"/>
    <w:rsid w:val="608D470F"/>
    <w:rsid w:val="608F1164"/>
    <w:rsid w:val="60A023E2"/>
    <w:rsid w:val="60AC0BDD"/>
    <w:rsid w:val="60C86DFB"/>
    <w:rsid w:val="60D46DAF"/>
    <w:rsid w:val="60D52922"/>
    <w:rsid w:val="60F87B91"/>
    <w:rsid w:val="6100676D"/>
    <w:rsid w:val="61032C9D"/>
    <w:rsid w:val="610757A6"/>
    <w:rsid w:val="61096DE8"/>
    <w:rsid w:val="610A1465"/>
    <w:rsid w:val="6110560E"/>
    <w:rsid w:val="61122616"/>
    <w:rsid w:val="61124738"/>
    <w:rsid w:val="61143FE6"/>
    <w:rsid w:val="61224AC8"/>
    <w:rsid w:val="612416C4"/>
    <w:rsid w:val="612F062B"/>
    <w:rsid w:val="61316948"/>
    <w:rsid w:val="61355264"/>
    <w:rsid w:val="61366397"/>
    <w:rsid w:val="613D1908"/>
    <w:rsid w:val="613E6B14"/>
    <w:rsid w:val="61466D6C"/>
    <w:rsid w:val="61474679"/>
    <w:rsid w:val="61561989"/>
    <w:rsid w:val="61651B50"/>
    <w:rsid w:val="616B34F1"/>
    <w:rsid w:val="61762A25"/>
    <w:rsid w:val="61967EE9"/>
    <w:rsid w:val="619F0AE4"/>
    <w:rsid w:val="61A8544A"/>
    <w:rsid w:val="61B34920"/>
    <w:rsid w:val="61B8363E"/>
    <w:rsid w:val="61BD0199"/>
    <w:rsid w:val="61D35210"/>
    <w:rsid w:val="61D404A6"/>
    <w:rsid w:val="61D62588"/>
    <w:rsid w:val="61E10F96"/>
    <w:rsid w:val="61E20CAB"/>
    <w:rsid w:val="61E26A39"/>
    <w:rsid w:val="61EA1899"/>
    <w:rsid w:val="61EE361C"/>
    <w:rsid w:val="61F2346C"/>
    <w:rsid w:val="61F3564A"/>
    <w:rsid w:val="620455FF"/>
    <w:rsid w:val="62051E5E"/>
    <w:rsid w:val="620751EB"/>
    <w:rsid w:val="62096860"/>
    <w:rsid w:val="620D5CAE"/>
    <w:rsid w:val="620F5FBB"/>
    <w:rsid w:val="621141EC"/>
    <w:rsid w:val="621B439A"/>
    <w:rsid w:val="622542A4"/>
    <w:rsid w:val="622F4676"/>
    <w:rsid w:val="62357B4C"/>
    <w:rsid w:val="623C3E79"/>
    <w:rsid w:val="623F79D3"/>
    <w:rsid w:val="624B1DCB"/>
    <w:rsid w:val="624D3860"/>
    <w:rsid w:val="62642BCA"/>
    <w:rsid w:val="627110E9"/>
    <w:rsid w:val="627830C8"/>
    <w:rsid w:val="627E4AA6"/>
    <w:rsid w:val="628C2580"/>
    <w:rsid w:val="6299479C"/>
    <w:rsid w:val="629D3C8C"/>
    <w:rsid w:val="62AE5634"/>
    <w:rsid w:val="62B775E1"/>
    <w:rsid w:val="62B8695E"/>
    <w:rsid w:val="62C054DC"/>
    <w:rsid w:val="62C20E6C"/>
    <w:rsid w:val="62CD43DC"/>
    <w:rsid w:val="62D50569"/>
    <w:rsid w:val="62D877BF"/>
    <w:rsid w:val="62DD303E"/>
    <w:rsid w:val="62E03F56"/>
    <w:rsid w:val="62EB1915"/>
    <w:rsid w:val="62EC4F39"/>
    <w:rsid w:val="62F05B79"/>
    <w:rsid w:val="62F43C66"/>
    <w:rsid w:val="62F54D21"/>
    <w:rsid w:val="62F83111"/>
    <w:rsid w:val="62FD1B4E"/>
    <w:rsid w:val="630925DA"/>
    <w:rsid w:val="630E2BEE"/>
    <w:rsid w:val="63145F63"/>
    <w:rsid w:val="63153B67"/>
    <w:rsid w:val="63191F45"/>
    <w:rsid w:val="631A114F"/>
    <w:rsid w:val="631F4897"/>
    <w:rsid w:val="6327117C"/>
    <w:rsid w:val="63272EBA"/>
    <w:rsid w:val="633270F6"/>
    <w:rsid w:val="63340F00"/>
    <w:rsid w:val="633849E8"/>
    <w:rsid w:val="633F742D"/>
    <w:rsid w:val="63446387"/>
    <w:rsid w:val="63541E44"/>
    <w:rsid w:val="6359534E"/>
    <w:rsid w:val="636C63D7"/>
    <w:rsid w:val="6372336A"/>
    <w:rsid w:val="637A1FAF"/>
    <w:rsid w:val="638350A5"/>
    <w:rsid w:val="63854194"/>
    <w:rsid w:val="639123D5"/>
    <w:rsid w:val="63936CEA"/>
    <w:rsid w:val="63945C4D"/>
    <w:rsid w:val="6394724E"/>
    <w:rsid w:val="639532D1"/>
    <w:rsid w:val="63A91068"/>
    <w:rsid w:val="63AA53D6"/>
    <w:rsid w:val="63AF6032"/>
    <w:rsid w:val="63B7308A"/>
    <w:rsid w:val="63BA23B1"/>
    <w:rsid w:val="63BE0768"/>
    <w:rsid w:val="63BE1EAF"/>
    <w:rsid w:val="63BE38DD"/>
    <w:rsid w:val="63BE4877"/>
    <w:rsid w:val="63CC1E6C"/>
    <w:rsid w:val="63D42E6F"/>
    <w:rsid w:val="63D56733"/>
    <w:rsid w:val="63DF01FA"/>
    <w:rsid w:val="63ED7418"/>
    <w:rsid w:val="63F55F2B"/>
    <w:rsid w:val="63FB2A16"/>
    <w:rsid w:val="64085A7D"/>
    <w:rsid w:val="640E09AC"/>
    <w:rsid w:val="641423F7"/>
    <w:rsid w:val="6414705B"/>
    <w:rsid w:val="6418742C"/>
    <w:rsid w:val="64241675"/>
    <w:rsid w:val="642E0DC1"/>
    <w:rsid w:val="64383811"/>
    <w:rsid w:val="643A375C"/>
    <w:rsid w:val="643B1DDB"/>
    <w:rsid w:val="6445282D"/>
    <w:rsid w:val="64527EE2"/>
    <w:rsid w:val="6463704A"/>
    <w:rsid w:val="64680B35"/>
    <w:rsid w:val="646C72A7"/>
    <w:rsid w:val="646D4927"/>
    <w:rsid w:val="64746411"/>
    <w:rsid w:val="64773568"/>
    <w:rsid w:val="64784319"/>
    <w:rsid w:val="647F5072"/>
    <w:rsid w:val="648A53C3"/>
    <w:rsid w:val="649609B3"/>
    <w:rsid w:val="649C3ACA"/>
    <w:rsid w:val="64AC465A"/>
    <w:rsid w:val="64AD6C47"/>
    <w:rsid w:val="64AF3495"/>
    <w:rsid w:val="64B1582E"/>
    <w:rsid w:val="64BC471C"/>
    <w:rsid w:val="64C007C5"/>
    <w:rsid w:val="64C25AE1"/>
    <w:rsid w:val="64CC53E2"/>
    <w:rsid w:val="64D8522D"/>
    <w:rsid w:val="64E25229"/>
    <w:rsid w:val="64F459EF"/>
    <w:rsid w:val="64FC6A39"/>
    <w:rsid w:val="64FF5554"/>
    <w:rsid w:val="64FF5B33"/>
    <w:rsid w:val="650C735C"/>
    <w:rsid w:val="651A528F"/>
    <w:rsid w:val="652210F7"/>
    <w:rsid w:val="65252373"/>
    <w:rsid w:val="652D20EA"/>
    <w:rsid w:val="65310787"/>
    <w:rsid w:val="65320BD1"/>
    <w:rsid w:val="654A0485"/>
    <w:rsid w:val="655679F7"/>
    <w:rsid w:val="65582360"/>
    <w:rsid w:val="655C0221"/>
    <w:rsid w:val="655E1860"/>
    <w:rsid w:val="656A3DE1"/>
    <w:rsid w:val="656B28FD"/>
    <w:rsid w:val="657958FF"/>
    <w:rsid w:val="657A4E84"/>
    <w:rsid w:val="657F02BE"/>
    <w:rsid w:val="6584001B"/>
    <w:rsid w:val="658558D2"/>
    <w:rsid w:val="658B2995"/>
    <w:rsid w:val="65911C80"/>
    <w:rsid w:val="65981B19"/>
    <w:rsid w:val="65A264C4"/>
    <w:rsid w:val="65AC7F98"/>
    <w:rsid w:val="65AF43C4"/>
    <w:rsid w:val="65AF7515"/>
    <w:rsid w:val="65B01F8D"/>
    <w:rsid w:val="65D63A96"/>
    <w:rsid w:val="65F46A63"/>
    <w:rsid w:val="65FF233E"/>
    <w:rsid w:val="660367A1"/>
    <w:rsid w:val="6607745E"/>
    <w:rsid w:val="66093FCB"/>
    <w:rsid w:val="660C1008"/>
    <w:rsid w:val="66106E4C"/>
    <w:rsid w:val="66130AAB"/>
    <w:rsid w:val="66247877"/>
    <w:rsid w:val="663F3D5C"/>
    <w:rsid w:val="66442B47"/>
    <w:rsid w:val="6645606B"/>
    <w:rsid w:val="664A5DB0"/>
    <w:rsid w:val="664F5592"/>
    <w:rsid w:val="666138BE"/>
    <w:rsid w:val="666B61C1"/>
    <w:rsid w:val="66704DB8"/>
    <w:rsid w:val="667430BA"/>
    <w:rsid w:val="667D6E94"/>
    <w:rsid w:val="667E376F"/>
    <w:rsid w:val="66814262"/>
    <w:rsid w:val="6687181F"/>
    <w:rsid w:val="668F4233"/>
    <w:rsid w:val="6692162D"/>
    <w:rsid w:val="66956B8B"/>
    <w:rsid w:val="66991703"/>
    <w:rsid w:val="669D565A"/>
    <w:rsid w:val="669D5DF0"/>
    <w:rsid w:val="669F08D1"/>
    <w:rsid w:val="66A04B27"/>
    <w:rsid w:val="66AB0232"/>
    <w:rsid w:val="66AC42E9"/>
    <w:rsid w:val="66B20A89"/>
    <w:rsid w:val="66B327B0"/>
    <w:rsid w:val="66B57968"/>
    <w:rsid w:val="66B92610"/>
    <w:rsid w:val="66C65DA4"/>
    <w:rsid w:val="66CB27C0"/>
    <w:rsid w:val="66CD7497"/>
    <w:rsid w:val="66D525AE"/>
    <w:rsid w:val="66DB4A1E"/>
    <w:rsid w:val="66E67C21"/>
    <w:rsid w:val="66EA41B3"/>
    <w:rsid w:val="66F939B6"/>
    <w:rsid w:val="67027284"/>
    <w:rsid w:val="6721041B"/>
    <w:rsid w:val="673575E5"/>
    <w:rsid w:val="674027E5"/>
    <w:rsid w:val="67475E38"/>
    <w:rsid w:val="67537032"/>
    <w:rsid w:val="67656864"/>
    <w:rsid w:val="6766467F"/>
    <w:rsid w:val="676B362B"/>
    <w:rsid w:val="676D60D7"/>
    <w:rsid w:val="67775F53"/>
    <w:rsid w:val="67805079"/>
    <w:rsid w:val="67816B8F"/>
    <w:rsid w:val="67873F03"/>
    <w:rsid w:val="679773D7"/>
    <w:rsid w:val="679E131D"/>
    <w:rsid w:val="67A2624C"/>
    <w:rsid w:val="67AE39D7"/>
    <w:rsid w:val="67B2779B"/>
    <w:rsid w:val="67B42723"/>
    <w:rsid w:val="67C26BE9"/>
    <w:rsid w:val="67C935E9"/>
    <w:rsid w:val="67CD5390"/>
    <w:rsid w:val="67CF66A0"/>
    <w:rsid w:val="67D55811"/>
    <w:rsid w:val="67D73840"/>
    <w:rsid w:val="67F41BB8"/>
    <w:rsid w:val="67F60BB7"/>
    <w:rsid w:val="67FB60A5"/>
    <w:rsid w:val="67FC1404"/>
    <w:rsid w:val="68022384"/>
    <w:rsid w:val="6806232A"/>
    <w:rsid w:val="680901EC"/>
    <w:rsid w:val="680B049B"/>
    <w:rsid w:val="681329CD"/>
    <w:rsid w:val="681E50F5"/>
    <w:rsid w:val="682870E2"/>
    <w:rsid w:val="682B1DC8"/>
    <w:rsid w:val="68514045"/>
    <w:rsid w:val="68541A0A"/>
    <w:rsid w:val="686E2CBE"/>
    <w:rsid w:val="68995A67"/>
    <w:rsid w:val="689E408E"/>
    <w:rsid w:val="68B77FEA"/>
    <w:rsid w:val="68BE2805"/>
    <w:rsid w:val="68CC65D0"/>
    <w:rsid w:val="68D121D5"/>
    <w:rsid w:val="68D45F2D"/>
    <w:rsid w:val="68D8103F"/>
    <w:rsid w:val="68EE6D9D"/>
    <w:rsid w:val="68FB681C"/>
    <w:rsid w:val="69005F31"/>
    <w:rsid w:val="69010FD4"/>
    <w:rsid w:val="690A53FA"/>
    <w:rsid w:val="690E0534"/>
    <w:rsid w:val="691B3FD3"/>
    <w:rsid w:val="69214F2D"/>
    <w:rsid w:val="69294D34"/>
    <w:rsid w:val="692E58B7"/>
    <w:rsid w:val="6934460D"/>
    <w:rsid w:val="693508DD"/>
    <w:rsid w:val="694A5299"/>
    <w:rsid w:val="694E280C"/>
    <w:rsid w:val="69554EBE"/>
    <w:rsid w:val="695568D4"/>
    <w:rsid w:val="69607A6C"/>
    <w:rsid w:val="696B7A43"/>
    <w:rsid w:val="696D0FD1"/>
    <w:rsid w:val="697C6401"/>
    <w:rsid w:val="697D34E1"/>
    <w:rsid w:val="69822039"/>
    <w:rsid w:val="69865073"/>
    <w:rsid w:val="698C58DA"/>
    <w:rsid w:val="69954DA9"/>
    <w:rsid w:val="6999348E"/>
    <w:rsid w:val="69A7696E"/>
    <w:rsid w:val="69AB6664"/>
    <w:rsid w:val="69C37CDD"/>
    <w:rsid w:val="69CD70A4"/>
    <w:rsid w:val="69D973C3"/>
    <w:rsid w:val="69DF007F"/>
    <w:rsid w:val="69E63DBE"/>
    <w:rsid w:val="69EA2A1E"/>
    <w:rsid w:val="69F27551"/>
    <w:rsid w:val="6A017D99"/>
    <w:rsid w:val="6A095812"/>
    <w:rsid w:val="6A114CCF"/>
    <w:rsid w:val="6A195EB9"/>
    <w:rsid w:val="6A322912"/>
    <w:rsid w:val="6A483D54"/>
    <w:rsid w:val="6A497372"/>
    <w:rsid w:val="6A4C7F9A"/>
    <w:rsid w:val="6A4E7F60"/>
    <w:rsid w:val="6A4F0FE3"/>
    <w:rsid w:val="6A632100"/>
    <w:rsid w:val="6A647A43"/>
    <w:rsid w:val="6A6E3D8A"/>
    <w:rsid w:val="6A702E47"/>
    <w:rsid w:val="6A81003E"/>
    <w:rsid w:val="6A907C90"/>
    <w:rsid w:val="6ABD2B8A"/>
    <w:rsid w:val="6AC122A3"/>
    <w:rsid w:val="6AC36259"/>
    <w:rsid w:val="6ACA5FB0"/>
    <w:rsid w:val="6ACF4C27"/>
    <w:rsid w:val="6ADE18EE"/>
    <w:rsid w:val="6ADF3594"/>
    <w:rsid w:val="6AE73F4D"/>
    <w:rsid w:val="6AF17318"/>
    <w:rsid w:val="6AFA3924"/>
    <w:rsid w:val="6B0B1D32"/>
    <w:rsid w:val="6B0F0139"/>
    <w:rsid w:val="6B0F0659"/>
    <w:rsid w:val="6B2142CE"/>
    <w:rsid w:val="6B2315D2"/>
    <w:rsid w:val="6B25182E"/>
    <w:rsid w:val="6B276A3E"/>
    <w:rsid w:val="6B30021B"/>
    <w:rsid w:val="6B3B0707"/>
    <w:rsid w:val="6B471513"/>
    <w:rsid w:val="6B56083E"/>
    <w:rsid w:val="6B5D2250"/>
    <w:rsid w:val="6B5F2E07"/>
    <w:rsid w:val="6B6B376C"/>
    <w:rsid w:val="6B7C613A"/>
    <w:rsid w:val="6B7F0990"/>
    <w:rsid w:val="6B850C29"/>
    <w:rsid w:val="6B954CEF"/>
    <w:rsid w:val="6B9A16B0"/>
    <w:rsid w:val="6BA840D6"/>
    <w:rsid w:val="6BAC1043"/>
    <w:rsid w:val="6BAD2A66"/>
    <w:rsid w:val="6BB87FC4"/>
    <w:rsid w:val="6BBE61C0"/>
    <w:rsid w:val="6BD46B4D"/>
    <w:rsid w:val="6BDE22A7"/>
    <w:rsid w:val="6BE73798"/>
    <w:rsid w:val="6BEC2FCA"/>
    <w:rsid w:val="6BF419EF"/>
    <w:rsid w:val="6BFF2E92"/>
    <w:rsid w:val="6C182FA3"/>
    <w:rsid w:val="6C1A082E"/>
    <w:rsid w:val="6C3707E3"/>
    <w:rsid w:val="6C5D623A"/>
    <w:rsid w:val="6C68223F"/>
    <w:rsid w:val="6C693AEA"/>
    <w:rsid w:val="6C6958BA"/>
    <w:rsid w:val="6C69732B"/>
    <w:rsid w:val="6C6A2B82"/>
    <w:rsid w:val="6C6E6BE1"/>
    <w:rsid w:val="6C6F3102"/>
    <w:rsid w:val="6C784971"/>
    <w:rsid w:val="6C860712"/>
    <w:rsid w:val="6C860B71"/>
    <w:rsid w:val="6C863AD3"/>
    <w:rsid w:val="6C8E2897"/>
    <w:rsid w:val="6C8F0FB6"/>
    <w:rsid w:val="6C975335"/>
    <w:rsid w:val="6C995B9F"/>
    <w:rsid w:val="6C9C715F"/>
    <w:rsid w:val="6CB03800"/>
    <w:rsid w:val="6CB36312"/>
    <w:rsid w:val="6CB543F8"/>
    <w:rsid w:val="6CD3191A"/>
    <w:rsid w:val="6CE83B52"/>
    <w:rsid w:val="6CF71267"/>
    <w:rsid w:val="6CFD7470"/>
    <w:rsid w:val="6D193B0B"/>
    <w:rsid w:val="6D1E7058"/>
    <w:rsid w:val="6D2162B4"/>
    <w:rsid w:val="6D216DEF"/>
    <w:rsid w:val="6D222178"/>
    <w:rsid w:val="6D2C13DF"/>
    <w:rsid w:val="6D2F5008"/>
    <w:rsid w:val="6D351109"/>
    <w:rsid w:val="6D39408A"/>
    <w:rsid w:val="6D535020"/>
    <w:rsid w:val="6D5A4F02"/>
    <w:rsid w:val="6D644C93"/>
    <w:rsid w:val="6D66428B"/>
    <w:rsid w:val="6D6A5CC8"/>
    <w:rsid w:val="6D6B3F91"/>
    <w:rsid w:val="6D7538E1"/>
    <w:rsid w:val="6D7707C3"/>
    <w:rsid w:val="6D86428B"/>
    <w:rsid w:val="6D8901BC"/>
    <w:rsid w:val="6D9346AE"/>
    <w:rsid w:val="6DB05BE3"/>
    <w:rsid w:val="6DB16CB7"/>
    <w:rsid w:val="6DB22D18"/>
    <w:rsid w:val="6DB96B12"/>
    <w:rsid w:val="6DC30A82"/>
    <w:rsid w:val="6DC918BA"/>
    <w:rsid w:val="6DCE7E6C"/>
    <w:rsid w:val="6DD16FED"/>
    <w:rsid w:val="6DE04488"/>
    <w:rsid w:val="6DEE7E36"/>
    <w:rsid w:val="6DF13000"/>
    <w:rsid w:val="6DF90DFC"/>
    <w:rsid w:val="6E132BBF"/>
    <w:rsid w:val="6E154224"/>
    <w:rsid w:val="6E156AB9"/>
    <w:rsid w:val="6E255579"/>
    <w:rsid w:val="6E2A1D7A"/>
    <w:rsid w:val="6E2D17B9"/>
    <w:rsid w:val="6E347D9E"/>
    <w:rsid w:val="6E39640B"/>
    <w:rsid w:val="6E457FD7"/>
    <w:rsid w:val="6E4E1431"/>
    <w:rsid w:val="6E5140E8"/>
    <w:rsid w:val="6E523ECC"/>
    <w:rsid w:val="6E6A4D62"/>
    <w:rsid w:val="6E733917"/>
    <w:rsid w:val="6E777980"/>
    <w:rsid w:val="6E8C433E"/>
    <w:rsid w:val="6E915325"/>
    <w:rsid w:val="6E950807"/>
    <w:rsid w:val="6E9C45CA"/>
    <w:rsid w:val="6EAE5828"/>
    <w:rsid w:val="6EBF54EA"/>
    <w:rsid w:val="6ECB09B7"/>
    <w:rsid w:val="6ECC5B21"/>
    <w:rsid w:val="6ED0560A"/>
    <w:rsid w:val="6EE42C42"/>
    <w:rsid w:val="6EE62D04"/>
    <w:rsid w:val="6EEC353D"/>
    <w:rsid w:val="6EEF1C1D"/>
    <w:rsid w:val="6EF05FA7"/>
    <w:rsid w:val="6EF43A7A"/>
    <w:rsid w:val="6F097E86"/>
    <w:rsid w:val="6F151595"/>
    <w:rsid w:val="6F2C025F"/>
    <w:rsid w:val="6F2C25D4"/>
    <w:rsid w:val="6F2D598D"/>
    <w:rsid w:val="6F4308A1"/>
    <w:rsid w:val="6F46405D"/>
    <w:rsid w:val="6F476D16"/>
    <w:rsid w:val="6F5603AA"/>
    <w:rsid w:val="6F582142"/>
    <w:rsid w:val="6F6311C3"/>
    <w:rsid w:val="6F6F143A"/>
    <w:rsid w:val="6F7B4F57"/>
    <w:rsid w:val="6F8173A5"/>
    <w:rsid w:val="6F8731F0"/>
    <w:rsid w:val="6F98023F"/>
    <w:rsid w:val="6FAF5EAE"/>
    <w:rsid w:val="6FBC0E57"/>
    <w:rsid w:val="6FC57B35"/>
    <w:rsid w:val="6FCB5618"/>
    <w:rsid w:val="6FE26034"/>
    <w:rsid w:val="6FF551F5"/>
    <w:rsid w:val="6FF567F7"/>
    <w:rsid w:val="6FF901E4"/>
    <w:rsid w:val="6FFA68F6"/>
    <w:rsid w:val="7004100D"/>
    <w:rsid w:val="701820FB"/>
    <w:rsid w:val="70224DE3"/>
    <w:rsid w:val="703503A4"/>
    <w:rsid w:val="7036351C"/>
    <w:rsid w:val="703D6CEF"/>
    <w:rsid w:val="70412B93"/>
    <w:rsid w:val="70553D44"/>
    <w:rsid w:val="705D42D1"/>
    <w:rsid w:val="7062375F"/>
    <w:rsid w:val="70706378"/>
    <w:rsid w:val="7075364D"/>
    <w:rsid w:val="70771B88"/>
    <w:rsid w:val="708B2925"/>
    <w:rsid w:val="708D6597"/>
    <w:rsid w:val="70B16ED7"/>
    <w:rsid w:val="70BE359C"/>
    <w:rsid w:val="70C06B12"/>
    <w:rsid w:val="70C55B89"/>
    <w:rsid w:val="70C95948"/>
    <w:rsid w:val="70CE5088"/>
    <w:rsid w:val="70D900D5"/>
    <w:rsid w:val="70E96DC7"/>
    <w:rsid w:val="70EC759C"/>
    <w:rsid w:val="70EF6FAE"/>
    <w:rsid w:val="71066EA0"/>
    <w:rsid w:val="71091DB7"/>
    <w:rsid w:val="710A05D6"/>
    <w:rsid w:val="71164870"/>
    <w:rsid w:val="71215B48"/>
    <w:rsid w:val="712357B2"/>
    <w:rsid w:val="712D66C5"/>
    <w:rsid w:val="71315B56"/>
    <w:rsid w:val="713425DE"/>
    <w:rsid w:val="71362F91"/>
    <w:rsid w:val="71380537"/>
    <w:rsid w:val="71395FAD"/>
    <w:rsid w:val="713C7860"/>
    <w:rsid w:val="7158707F"/>
    <w:rsid w:val="715F7096"/>
    <w:rsid w:val="71634934"/>
    <w:rsid w:val="71684551"/>
    <w:rsid w:val="716C7616"/>
    <w:rsid w:val="71723E36"/>
    <w:rsid w:val="71760E9C"/>
    <w:rsid w:val="71895007"/>
    <w:rsid w:val="718C2955"/>
    <w:rsid w:val="718C3250"/>
    <w:rsid w:val="719528E3"/>
    <w:rsid w:val="719C38AD"/>
    <w:rsid w:val="719D43E5"/>
    <w:rsid w:val="71A234AE"/>
    <w:rsid w:val="71BA2D03"/>
    <w:rsid w:val="71BE0807"/>
    <w:rsid w:val="71D13370"/>
    <w:rsid w:val="71D14DF2"/>
    <w:rsid w:val="71DD2475"/>
    <w:rsid w:val="71DD54E0"/>
    <w:rsid w:val="71E25D9B"/>
    <w:rsid w:val="71EA1849"/>
    <w:rsid w:val="71EF67A8"/>
    <w:rsid w:val="71F4319C"/>
    <w:rsid w:val="71FB2E51"/>
    <w:rsid w:val="71FC4024"/>
    <w:rsid w:val="72097561"/>
    <w:rsid w:val="72167FDA"/>
    <w:rsid w:val="721B506B"/>
    <w:rsid w:val="72331F17"/>
    <w:rsid w:val="724033F7"/>
    <w:rsid w:val="72416679"/>
    <w:rsid w:val="72433065"/>
    <w:rsid w:val="72457278"/>
    <w:rsid w:val="726E0B11"/>
    <w:rsid w:val="727D4585"/>
    <w:rsid w:val="728175C3"/>
    <w:rsid w:val="728729C7"/>
    <w:rsid w:val="728E5109"/>
    <w:rsid w:val="72A16F64"/>
    <w:rsid w:val="72A2415E"/>
    <w:rsid w:val="72A32C3B"/>
    <w:rsid w:val="72AC288B"/>
    <w:rsid w:val="72B266AC"/>
    <w:rsid w:val="72BE6CD8"/>
    <w:rsid w:val="72C03295"/>
    <w:rsid w:val="72C346BD"/>
    <w:rsid w:val="72CE404E"/>
    <w:rsid w:val="72E47A77"/>
    <w:rsid w:val="72EB7CFE"/>
    <w:rsid w:val="72ED4786"/>
    <w:rsid w:val="72F5500F"/>
    <w:rsid w:val="72FA404C"/>
    <w:rsid w:val="72FD4B94"/>
    <w:rsid w:val="73035024"/>
    <w:rsid w:val="731822C5"/>
    <w:rsid w:val="73261C73"/>
    <w:rsid w:val="73274383"/>
    <w:rsid w:val="73296A24"/>
    <w:rsid w:val="733B25A8"/>
    <w:rsid w:val="733E766B"/>
    <w:rsid w:val="733F3107"/>
    <w:rsid w:val="734A04E5"/>
    <w:rsid w:val="735019D7"/>
    <w:rsid w:val="736F044F"/>
    <w:rsid w:val="737410AC"/>
    <w:rsid w:val="73785F09"/>
    <w:rsid w:val="7391679E"/>
    <w:rsid w:val="73A53482"/>
    <w:rsid w:val="73AA5EEC"/>
    <w:rsid w:val="73B04236"/>
    <w:rsid w:val="73B431A6"/>
    <w:rsid w:val="73BB09D2"/>
    <w:rsid w:val="73BD186A"/>
    <w:rsid w:val="73BF77D7"/>
    <w:rsid w:val="73CB6CEC"/>
    <w:rsid w:val="73DD4830"/>
    <w:rsid w:val="73E27B00"/>
    <w:rsid w:val="73E65029"/>
    <w:rsid w:val="73EF3643"/>
    <w:rsid w:val="73EF42A9"/>
    <w:rsid w:val="73F017DA"/>
    <w:rsid w:val="73F07D9A"/>
    <w:rsid w:val="73F12351"/>
    <w:rsid w:val="73F41526"/>
    <w:rsid w:val="740613CF"/>
    <w:rsid w:val="74090D59"/>
    <w:rsid w:val="74180BBF"/>
    <w:rsid w:val="74266B95"/>
    <w:rsid w:val="742E35AD"/>
    <w:rsid w:val="742E73BF"/>
    <w:rsid w:val="743D2A5D"/>
    <w:rsid w:val="74451C3B"/>
    <w:rsid w:val="74566DBA"/>
    <w:rsid w:val="745A0BA9"/>
    <w:rsid w:val="745D2796"/>
    <w:rsid w:val="7460605D"/>
    <w:rsid w:val="74645E2C"/>
    <w:rsid w:val="746C5BB4"/>
    <w:rsid w:val="747A5C59"/>
    <w:rsid w:val="747B1953"/>
    <w:rsid w:val="74814F15"/>
    <w:rsid w:val="748D4D0B"/>
    <w:rsid w:val="748F2873"/>
    <w:rsid w:val="749C2484"/>
    <w:rsid w:val="74A27DD2"/>
    <w:rsid w:val="74AA513B"/>
    <w:rsid w:val="74B47A08"/>
    <w:rsid w:val="74C07362"/>
    <w:rsid w:val="74C74B98"/>
    <w:rsid w:val="74E0416E"/>
    <w:rsid w:val="74EE09B3"/>
    <w:rsid w:val="74F16FF8"/>
    <w:rsid w:val="75032417"/>
    <w:rsid w:val="75115B78"/>
    <w:rsid w:val="751630F3"/>
    <w:rsid w:val="751B0EF7"/>
    <w:rsid w:val="751D677C"/>
    <w:rsid w:val="751E11BF"/>
    <w:rsid w:val="75231E7F"/>
    <w:rsid w:val="75315F8E"/>
    <w:rsid w:val="7544346D"/>
    <w:rsid w:val="75494DE0"/>
    <w:rsid w:val="754A58F7"/>
    <w:rsid w:val="75590E73"/>
    <w:rsid w:val="755D4311"/>
    <w:rsid w:val="75684184"/>
    <w:rsid w:val="75782865"/>
    <w:rsid w:val="7580783F"/>
    <w:rsid w:val="758D23F8"/>
    <w:rsid w:val="759146BB"/>
    <w:rsid w:val="759B05B0"/>
    <w:rsid w:val="75A20554"/>
    <w:rsid w:val="75B30DD6"/>
    <w:rsid w:val="75C25231"/>
    <w:rsid w:val="75C876B4"/>
    <w:rsid w:val="75DF4381"/>
    <w:rsid w:val="75E142B9"/>
    <w:rsid w:val="75E5151B"/>
    <w:rsid w:val="75EC37AE"/>
    <w:rsid w:val="75F11993"/>
    <w:rsid w:val="75F16CCA"/>
    <w:rsid w:val="75FE747D"/>
    <w:rsid w:val="76054A17"/>
    <w:rsid w:val="76185AAD"/>
    <w:rsid w:val="76211AF6"/>
    <w:rsid w:val="76275FAE"/>
    <w:rsid w:val="762E39BD"/>
    <w:rsid w:val="762F6E99"/>
    <w:rsid w:val="763537F6"/>
    <w:rsid w:val="763B3B81"/>
    <w:rsid w:val="76417696"/>
    <w:rsid w:val="76453603"/>
    <w:rsid w:val="764F3097"/>
    <w:rsid w:val="76686B17"/>
    <w:rsid w:val="766F7C81"/>
    <w:rsid w:val="76760936"/>
    <w:rsid w:val="767F314F"/>
    <w:rsid w:val="7683750C"/>
    <w:rsid w:val="769120F5"/>
    <w:rsid w:val="7692307B"/>
    <w:rsid w:val="76940D5A"/>
    <w:rsid w:val="7695521B"/>
    <w:rsid w:val="769F638C"/>
    <w:rsid w:val="76BB697E"/>
    <w:rsid w:val="76C35B93"/>
    <w:rsid w:val="76D11E42"/>
    <w:rsid w:val="76D5246B"/>
    <w:rsid w:val="76D613FE"/>
    <w:rsid w:val="76D61C06"/>
    <w:rsid w:val="77123450"/>
    <w:rsid w:val="771E342D"/>
    <w:rsid w:val="77241334"/>
    <w:rsid w:val="772E3EC9"/>
    <w:rsid w:val="778B74B3"/>
    <w:rsid w:val="779C66D3"/>
    <w:rsid w:val="77A52D33"/>
    <w:rsid w:val="77B86D8D"/>
    <w:rsid w:val="77B95085"/>
    <w:rsid w:val="77C01277"/>
    <w:rsid w:val="77C82507"/>
    <w:rsid w:val="77C94A5C"/>
    <w:rsid w:val="77CE0154"/>
    <w:rsid w:val="77D51602"/>
    <w:rsid w:val="77ED2A98"/>
    <w:rsid w:val="77F359E9"/>
    <w:rsid w:val="77FA3B58"/>
    <w:rsid w:val="780E6346"/>
    <w:rsid w:val="7810476F"/>
    <w:rsid w:val="781B4D0B"/>
    <w:rsid w:val="781B6277"/>
    <w:rsid w:val="782402F6"/>
    <w:rsid w:val="7826124C"/>
    <w:rsid w:val="782D5E70"/>
    <w:rsid w:val="782E0211"/>
    <w:rsid w:val="783E6B68"/>
    <w:rsid w:val="78490F79"/>
    <w:rsid w:val="786308D6"/>
    <w:rsid w:val="786660BB"/>
    <w:rsid w:val="786D13B6"/>
    <w:rsid w:val="7876280E"/>
    <w:rsid w:val="787967A0"/>
    <w:rsid w:val="787E5DA4"/>
    <w:rsid w:val="7886011F"/>
    <w:rsid w:val="788620D6"/>
    <w:rsid w:val="788E4C33"/>
    <w:rsid w:val="789A14D5"/>
    <w:rsid w:val="78A23C35"/>
    <w:rsid w:val="78AE55B9"/>
    <w:rsid w:val="78B1241F"/>
    <w:rsid w:val="78B5402C"/>
    <w:rsid w:val="78C33580"/>
    <w:rsid w:val="78C44908"/>
    <w:rsid w:val="78CA3104"/>
    <w:rsid w:val="78CD5726"/>
    <w:rsid w:val="78DD724E"/>
    <w:rsid w:val="78E144CE"/>
    <w:rsid w:val="78E46F81"/>
    <w:rsid w:val="78E64FEF"/>
    <w:rsid w:val="78E97DB2"/>
    <w:rsid w:val="78FB0EF8"/>
    <w:rsid w:val="78FD349A"/>
    <w:rsid w:val="78FE7A25"/>
    <w:rsid w:val="790300B9"/>
    <w:rsid w:val="792C6D0B"/>
    <w:rsid w:val="793731E3"/>
    <w:rsid w:val="79392389"/>
    <w:rsid w:val="793B39FE"/>
    <w:rsid w:val="793F4619"/>
    <w:rsid w:val="79476D94"/>
    <w:rsid w:val="795200ED"/>
    <w:rsid w:val="79533E74"/>
    <w:rsid w:val="79537BB7"/>
    <w:rsid w:val="79590D62"/>
    <w:rsid w:val="79651C45"/>
    <w:rsid w:val="796C1BE9"/>
    <w:rsid w:val="7972462B"/>
    <w:rsid w:val="79742E29"/>
    <w:rsid w:val="797C1FFB"/>
    <w:rsid w:val="79853AF3"/>
    <w:rsid w:val="798F727F"/>
    <w:rsid w:val="79933267"/>
    <w:rsid w:val="7998292C"/>
    <w:rsid w:val="79BC5130"/>
    <w:rsid w:val="79C439E3"/>
    <w:rsid w:val="79F075B1"/>
    <w:rsid w:val="79F24581"/>
    <w:rsid w:val="79FB0C04"/>
    <w:rsid w:val="79FD459D"/>
    <w:rsid w:val="79FE5779"/>
    <w:rsid w:val="7A0144E6"/>
    <w:rsid w:val="7A082841"/>
    <w:rsid w:val="7A0C5205"/>
    <w:rsid w:val="7A314E83"/>
    <w:rsid w:val="7A31635E"/>
    <w:rsid w:val="7A320584"/>
    <w:rsid w:val="7A444B44"/>
    <w:rsid w:val="7A4568FC"/>
    <w:rsid w:val="7A6639DD"/>
    <w:rsid w:val="7A697475"/>
    <w:rsid w:val="7A6D79AA"/>
    <w:rsid w:val="7A7A62B5"/>
    <w:rsid w:val="7A7C4599"/>
    <w:rsid w:val="7A8157F4"/>
    <w:rsid w:val="7A8210D7"/>
    <w:rsid w:val="7A8D418E"/>
    <w:rsid w:val="7A8E0619"/>
    <w:rsid w:val="7A9D6F98"/>
    <w:rsid w:val="7AC4228B"/>
    <w:rsid w:val="7AC552F2"/>
    <w:rsid w:val="7AD53C91"/>
    <w:rsid w:val="7AD91D8E"/>
    <w:rsid w:val="7ADB5C40"/>
    <w:rsid w:val="7ADD7099"/>
    <w:rsid w:val="7AE53FA2"/>
    <w:rsid w:val="7AE91E92"/>
    <w:rsid w:val="7AF37660"/>
    <w:rsid w:val="7AF406B1"/>
    <w:rsid w:val="7B0D54DA"/>
    <w:rsid w:val="7B126289"/>
    <w:rsid w:val="7B212D78"/>
    <w:rsid w:val="7B30530E"/>
    <w:rsid w:val="7B3846C8"/>
    <w:rsid w:val="7B390DDA"/>
    <w:rsid w:val="7B693808"/>
    <w:rsid w:val="7B6D58DE"/>
    <w:rsid w:val="7B8F488C"/>
    <w:rsid w:val="7B974F1E"/>
    <w:rsid w:val="7B993DA4"/>
    <w:rsid w:val="7B9E0E8A"/>
    <w:rsid w:val="7BAA71B9"/>
    <w:rsid w:val="7BAF7D8E"/>
    <w:rsid w:val="7BB07905"/>
    <w:rsid w:val="7BB10B07"/>
    <w:rsid w:val="7BB35BDB"/>
    <w:rsid w:val="7BB41F7B"/>
    <w:rsid w:val="7BBF1BA5"/>
    <w:rsid w:val="7BDC2D7A"/>
    <w:rsid w:val="7BEA6E48"/>
    <w:rsid w:val="7BF71F56"/>
    <w:rsid w:val="7BFB33F0"/>
    <w:rsid w:val="7C0433BA"/>
    <w:rsid w:val="7C0467F7"/>
    <w:rsid w:val="7C052A99"/>
    <w:rsid w:val="7C1C2365"/>
    <w:rsid w:val="7C440D38"/>
    <w:rsid w:val="7C4A0704"/>
    <w:rsid w:val="7C4A26E6"/>
    <w:rsid w:val="7C59098D"/>
    <w:rsid w:val="7C5D0A3D"/>
    <w:rsid w:val="7C816640"/>
    <w:rsid w:val="7C907C58"/>
    <w:rsid w:val="7C9573CA"/>
    <w:rsid w:val="7C973ADB"/>
    <w:rsid w:val="7C973CE5"/>
    <w:rsid w:val="7C9C5AAF"/>
    <w:rsid w:val="7CA26400"/>
    <w:rsid w:val="7CA504FC"/>
    <w:rsid w:val="7CA8348B"/>
    <w:rsid w:val="7CA92D22"/>
    <w:rsid w:val="7CAB1228"/>
    <w:rsid w:val="7CB13DE8"/>
    <w:rsid w:val="7CB53CE5"/>
    <w:rsid w:val="7CB8747E"/>
    <w:rsid w:val="7CC66EA5"/>
    <w:rsid w:val="7CD3492C"/>
    <w:rsid w:val="7CD91ED4"/>
    <w:rsid w:val="7CDA083F"/>
    <w:rsid w:val="7CDA4FD7"/>
    <w:rsid w:val="7CDE6632"/>
    <w:rsid w:val="7CE31486"/>
    <w:rsid w:val="7CE355AB"/>
    <w:rsid w:val="7CE95E3F"/>
    <w:rsid w:val="7CED4739"/>
    <w:rsid w:val="7CF81AC1"/>
    <w:rsid w:val="7CFE5817"/>
    <w:rsid w:val="7D051E6D"/>
    <w:rsid w:val="7D130BAA"/>
    <w:rsid w:val="7D1D7C55"/>
    <w:rsid w:val="7D293E37"/>
    <w:rsid w:val="7D2C2A2C"/>
    <w:rsid w:val="7D342497"/>
    <w:rsid w:val="7D3C3A40"/>
    <w:rsid w:val="7D3D1E08"/>
    <w:rsid w:val="7D3F49EB"/>
    <w:rsid w:val="7D42460F"/>
    <w:rsid w:val="7D491923"/>
    <w:rsid w:val="7D4B0579"/>
    <w:rsid w:val="7D555FAC"/>
    <w:rsid w:val="7D5E6C78"/>
    <w:rsid w:val="7D625500"/>
    <w:rsid w:val="7D661AAB"/>
    <w:rsid w:val="7D6B63FA"/>
    <w:rsid w:val="7D6C6BA9"/>
    <w:rsid w:val="7D7F0A40"/>
    <w:rsid w:val="7D8201F6"/>
    <w:rsid w:val="7D873270"/>
    <w:rsid w:val="7D8E409D"/>
    <w:rsid w:val="7D9E5BDD"/>
    <w:rsid w:val="7DC151FE"/>
    <w:rsid w:val="7DD05B20"/>
    <w:rsid w:val="7DDA0FC1"/>
    <w:rsid w:val="7DDC6964"/>
    <w:rsid w:val="7DE065A7"/>
    <w:rsid w:val="7DEB5334"/>
    <w:rsid w:val="7DF305CB"/>
    <w:rsid w:val="7DF52D47"/>
    <w:rsid w:val="7DFA7B58"/>
    <w:rsid w:val="7E054DC3"/>
    <w:rsid w:val="7E0A7D52"/>
    <w:rsid w:val="7E0E2884"/>
    <w:rsid w:val="7E1813FE"/>
    <w:rsid w:val="7E250A47"/>
    <w:rsid w:val="7E276BB4"/>
    <w:rsid w:val="7E2B01D4"/>
    <w:rsid w:val="7E2E5534"/>
    <w:rsid w:val="7E2E67D3"/>
    <w:rsid w:val="7E3139AB"/>
    <w:rsid w:val="7E33168C"/>
    <w:rsid w:val="7E3B6737"/>
    <w:rsid w:val="7E631219"/>
    <w:rsid w:val="7E64128C"/>
    <w:rsid w:val="7E671940"/>
    <w:rsid w:val="7E6B536E"/>
    <w:rsid w:val="7E7517E8"/>
    <w:rsid w:val="7E8E203F"/>
    <w:rsid w:val="7E8F25D0"/>
    <w:rsid w:val="7E923935"/>
    <w:rsid w:val="7EAB29B1"/>
    <w:rsid w:val="7EAC6DCF"/>
    <w:rsid w:val="7EAF3AF1"/>
    <w:rsid w:val="7EBC1F58"/>
    <w:rsid w:val="7EC9106A"/>
    <w:rsid w:val="7EC957DD"/>
    <w:rsid w:val="7ED14DB6"/>
    <w:rsid w:val="7ED16578"/>
    <w:rsid w:val="7EDC3B37"/>
    <w:rsid w:val="7EE75461"/>
    <w:rsid w:val="7EE76915"/>
    <w:rsid w:val="7EEC6E13"/>
    <w:rsid w:val="7EEC7F9A"/>
    <w:rsid w:val="7EF118F1"/>
    <w:rsid w:val="7EF47DC2"/>
    <w:rsid w:val="7EF60A7C"/>
    <w:rsid w:val="7F0B68A2"/>
    <w:rsid w:val="7F115E56"/>
    <w:rsid w:val="7F2039B5"/>
    <w:rsid w:val="7F24500C"/>
    <w:rsid w:val="7F26493B"/>
    <w:rsid w:val="7F2A6727"/>
    <w:rsid w:val="7F2F1B61"/>
    <w:rsid w:val="7F4419AA"/>
    <w:rsid w:val="7F45214C"/>
    <w:rsid w:val="7F4E793F"/>
    <w:rsid w:val="7F5579B0"/>
    <w:rsid w:val="7F58405D"/>
    <w:rsid w:val="7F617E8B"/>
    <w:rsid w:val="7F6A7EA9"/>
    <w:rsid w:val="7F6D53FE"/>
    <w:rsid w:val="7F7807C4"/>
    <w:rsid w:val="7F837A9D"/>
    <w:rsid w:val="7F947FF8"/>
    <w:rsid w:val="7F977394"/>
    <w:rsid w:val="7F9D1D7D"/>
    <w:rsid w:val="7F9E1A24"/>
    <w:rsid w:val="7F9E328B"/>
    <w:rsid w:val="7FA450A9"/>
    <w:rsid w:val="7FA87001"/>
    <w:rsid w:val="7FB25208"/>
    <w:rsid w:val="7FB3330A"/>
    <w:rsid w:val="7FBE350D"/>
    <w:rsid w:val="7FCB08BB"/>
    <w:rsid w:val="7FCC0E95"/>
    <w:rsid w:val="7FD17A99"/>
    <w:rsid w:val="7FDA4E4D"/>
    <w:rsid w:val="7FFC5E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pPr>
    <w:rPr>
      <w:rFonts w:ascii="Tahoma" w:hAnsi="Tahoma" w:eastAsia="微软雅黑" w:cstheme="minorBidi"/>
      <w:sz w:val="22"/>
      <w:szCs w:val="22"/>
      <w:lang w:val="en-US" w:eastAsia="zh-CN" w:bidi="ar-SA"/>
    </w:rPr>
  </w:style>
  <w:style w:type="paragraph" w:styleId="3">
    <w:name w:val="heading 1"/>
    <w:basedOn w:val="1"/>
    <w:next w:val="1"/>
    <w:qFormat/>
    <w:uiPriority w:val="0"/>
    <w:pPr>
      <w:keepNext/>
      <w:keepLines/>
      <w:outlineLvl w:val="0"/>
    </w:pPr>
    <w:rPr>
      <w:b/>
      <w:bCs/>
      <w:kern w:val="44"/>
      <w:szCs w:val="44"/>
    </w:rPr>
  </w:style>
  <w:style w:type="paragraph" w:styleId="4">
    <w:name w:val="heading 2"/>
    <w:basedOn w:val="1"/>
    <w:next w:val="1"/>
    <w:qFormat/>
    <w:uiPriority w:val="0"/>
    <w:pPr>
      <w:keepNext/>
      <w:keepLines/>
      <w:spacing w:line="416" w:lineRule="auto"/>
      <w:outlineLvl w:val="1"/>
    </w:pPr>
    <w:rPr>
      <w:rFonts w:ascii="Arial" w:hAnsi="Arial" w:eastAsia="黑体"/>
      <w:b/>
      <w:bCs/>
      <w:kern w:val="2"/>
      <w:sz w:val="32"/>
      <w:szCs w:val="32"/>
    </w:rPr>
  </w:style>
  <w:style w:type="paragraph" w:styleId="2">
    <w:name w:val="heading 3"/>
    <w:basedOn w:val="1"/>
    <w:next w:val="1"/>
    <w:qFormat/>
    <w:uiPriority w:val="0"/>
    <w:pPr>
      <w:keepNext/>
      <w:outlineLvl w:val="2"/>
    </w:pPr>
    <w:rPr>
      <w:sz w:val="44"/>
      <w:shd w:val="pct10" w:color="auto" w:fill="FFFFFF"/>
    </w:rPr>
  </w:style>
  <w:style w:type="paragraph" w:styleId="5">
    <w:name w:val="heading 6"/>
    <w:basedOn w:val="1"/>
    <w:next w:val="1"/>
    <w:qFormat/>
    <w:uiPriority w:val="1"/>
    <w:pPr>
      <w:spacing w:before="26"/>
      <w:ind w:left="115"/>
      <w:outlineLvl w:val="6"/>
    </w:pPr>
    <w:rPr>
      <w:rFonts w:ascii="宋体" w:hAnsi="宋体" w:eastAsia="宋体"/>
      <w:b/>
      <w:bCs/>
      <w:sz w:val="24"/>
      <w:szCs w:val="24"/>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table of authorities"/>
    <w:basedOn w:val="1"/>
    <w:next w:val="1"/>
    <w:semiHidden/>
    <w:qFormat/>
    <w:uiPriority w:val="0"/>
    <w:pPr>
      <w:ind w:left="420" w:leftChars="200"/>
    </w:pPr>
  </w:style>
  <w:style w:type="paragraph" w:styleId="7">
    <w:name w:val="Note Heading"/>
    <w:basedOn w:val="1"/>
    <w:next w:val="1"/>
    <w:qFormat/>
    <w:uiPriority w:val="0"/>
    <w:pPr>
      <w:jc w:val="center"/>
    </w:pPr>
  </w:style>
  <w:style w:type="paragraph" w:styleId="8">
    <w:name w:val="Normal Indent"/>
    <w:basedOn w:val="1"/>
    <w:qFormat/>
    <w:uiPriority w:val="0"/>
    <w:pPr>
      <w:widowControl w:val="0"/>
      <w:spacing w:beforeLines="50" w:line="360" w:lineRule="auto"/>
      <w:ind w:firstLine="560" w:firstLineChars="200"/>
      <w:jc w:val="both"/>
    </w:pPr>
    <w:rPr>
      <w:kern w:val="2"/>
      <w:sz w:val="28"/>
    </w:rPr>
  </w:style>
  <w:style w:type="paragraph" w:styleId="9">
    <w:name w:val="caption"/>
    <w:basedOn w:val="1"/>
    <w:next w:val="1"/>
    <w:qFormat/>
    <w:uiPriority w:val="0"/>
    <w:pPr>
      <w:jc w:val="center"/>
    </w:pPr>
    <w:rPr>
      <w:rFonts w:ascii="Arial" w:hAnsi="Arial" w:cs="Arial"/>
      <w:sz w:val="24"/>
    </w:rPr>
  </w:style>
  <w:style w:type="paragraph" w:styleId="10">
    <w:name w:val="Document Map"/>
    <w:basedOn w:val="1"/>
    <w:link w:val="67"/>
    <w:qFormat/>
    <w:uiPriority w:val="0"/>
    <w:rPr>
      <w:rFonts w:ascii="宋体" w:eastAsia="宋体"/>
      <w:sz w:val="18"/>
      <w:szCs w:val="18"/>
    </w:rPr>
  </w:style>
  <w:style w:type="paragraph" w:styleId="11">
    <w:name w:val="annotation text"/>
    <w:basedOn w:val="1"/>
    <w:qFormat/>
    <w:uiPriority w:val="0"/>
  </w:style>
  <w:style w:type="paragraph" w:styleId="12">
    <w:name w:val="Body Text"/>
    <w:basedOn w:val="1"/>
    <w:next w:val="7"/>
    <w:qFormat/>
    <w:uiPriority w:val="0"/>
    <w:rPr>
      <w:rFonts w:eastAsia="楷体_GB2312"/>
      <w:spacing w:val="-8"/>
      <w:sz w:val="24"/>
    </w:rPr>
  </w:style>
  <w:style w:type="paragraph" w:styleId="13">
    <w:name w:val="Body Text Indent"/>
    <w:basedOn w:val="1"/>
    <w:qFormat/>
    <w:uiPriority w:val="0"/>
    <w:pPr>
      <w:jc w:val="center"/>
    </w:pPr>
    <w:rPr>
      <w:rFonts w:eastAsia="楷体_GB2312"/>
      <w:sz w:val="24"/>
    </w:rPr>
  </w:style>
  <w:style w:type="paragraph" w:styleId="14">
    <w:name w:val="Block Text"/>
    <w:basedOn w:val="1"/>
    <w:qFormat/>
    <w:uiPriority w:val="0"/>
    <w:pPr>
      <w:spacing w:line="440" w:lineRule="exact"/>
      <w:ind w:left="113" w:right="113" w:firstLine="567"/>
    </w:pPr>
    <w:rPr>
      <w:rFonts w:ascii="仿宋_GB2312" w:eastAsia="仿宋_GB2312"/>
      <w:sz w:val="28"/>
      <w:szCs w:val="20"/>
    </w:rPr>
  </w:style>
  <w:style w:type="paragraph" w:styleId="15">
    <w:name w:val="Plain Text"/>
    <w:basedOn w:val="1"/>
    <w:unhideWhenUsed/>
    <w:qFormat/>
    <w:uiPriority w:val="99"/>
    <w:rPr>
      <w:rFonts w:ascii="宋体" w:hAnsi="Courier New"/>
      <w:sz w:val="20"/>
      <w:szCs w:val="21"/>
    </w:rPr>
  </w:style>
  <w:style w:type="paragraph" w:styleId="16">
    <w:name w:val="Body Text Indent 2"/>
    <w:basedOn w:val="1"/>
    <w:qFormat/>
    <w:uiPriority w:val="99"/>
    <w:pPr>
      <w:spacing w:after="120" w:line="480" w:lineRule="auto"/>
      <w:ind w:left="420" w:leftChars="200"/>
    </w:pPr>
  </w:style>
  <w:style w:type="paragraph" w:styleId="17">
    <w:name w:val="Balloon Text"/>
    <w:basedOn w:val="1"/>
    <w:link w:val="65"/>
    <w:qFormat/>
    <w:uiPriority w:val="0"/>
    <w:rPr>
      <w:sz w:val="18"/>
      <w:szCs w:val="18"/>
    </w:rPr>
  </w:style>
  <w:style w:type="paragraph" w:styleId="18">
    <w:name w:val="footer"/>
    <w:basedOn w:val="1"/>
    <w:link w:val="66"/>
    <w:qFormat/>
    <w:uiPriority w:val="99"/>
    <w:pPr>
      <w:tabs>
        <w:tab w:val="center" w:pos="4153"/>
        <w:tab w:val="right" w:pos="8306"/>
      </w:tabs>
    </w:pPr>
    <w:rPr>
      <w:sz w:val="18"/>
      <w:szCs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20">
    <w:name w:val="toc 1"/>
    <w:basedOn w:val="1"/>
    <w:next w:val="1"/>
    <w:qFormat/>
    <w:uiPriority w:val="0"/>
  </w:style>
  <w:style w:type="paragraph" w:styleId="21">
    <w:name w:val="List"/>
    <w:basedOn w:val="1"/>
    <w:qFormat/>
    <w:uiPriority w:val="0"/>
    <w:pPr>
      <w:ind w:left="200" w:hanging="200" w:hangingChars="200"/>
    </w:pPr>
  </w:style>
  <w:style w:type="paragraph" w:styleId="22">
    <w:name w:val="Normal (Web)"/>
    <w:basedOn w:val="1"/>
    <w:qFormat/>
    <w:uiPriority w:val="0"/>
    <w:pPr>
      <w:spacing w:before="100" w:beforeAutospacing="1" w:after="100" w:afterAutospacing="1"/>
    </w:pPr>
    <w:rPr>
      <w:rFonts w:ascii="宋体" w:hAnsi="宋体" w:cs="宋体"/>
      <w:sz w:val="24"/>
    </w:rPr>
  </w:style>
  <w:style w:type="paragraph" w:styleId="23">
    <w:name w:val="Body Text First Indent"/>
    <w:basedOn w:val="12"/>
    <w:qFormat/>
    <w:uiPriority w:val="0"/>
    <w:pPr>
      <w:ind w:firstLine="420" w:firstLineChars="100"/>
    </w:pPr>
    <w:rPr>
      <w:sz w:val="18"/>
    </w:rPr>
  </w:style>
  <w:style w:type="paragraph" w:styleId="24">
    <w:name w:val="Body Text First Indent 2"/>
    <w:basedOn w:val="13"/>
    <w:qFormat/>
    <w:uiPriority w:val="0"/>
    <w:pPr>
      <w:ind w:firstLine="42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basedOn w:val="27"/>
    <w:qFormat/>
    <w:uiPriority w:val="0"/>
  </w:style>
  <w:style w:type="character" w:styleId="29">
    <w:name w:val="FollowedHyperlink"/>
    <w:basedOn w:val="27"/>
    <w:qFormat/>
    <w:uiPriority w:val="0"/>
    <w:rPr>
      <w:color w:val="000000"/>
      <w:u w:val="none"/>
    </w:rPr>
  </w:style>
  <w:style w:type="character" w:styleId="30">
    <w:name w:val="Emphasis"/>
    <w:basedOn w:val="27"/>
    <w:qFormat/>
    <w:uiPriority w:val="0"/>
  </w:style>
  <w:style w:type="character" w:styleId="31">
    <w:name w:val="Hyperlink"/>
    <w:basedOn w:val="27"/>
    <w:qFormat/>
    <w:uiPriority w:val="0"/>
    <w:rPr>
      <w:color w:val="000000"/>
      <w:u w:val="none"/>
    </w:rPr>
  </w:style>
  <w:style w:type="character" w:styleId="32">
    <w:name w:val="annotation reference"/>
    <w:semiHidden/>
    <w:qFormat/>
    <w:uiPriority w:val="0"/>
    <w:rPr>
      <w:sz w:val="21"/>
      <w:szCs w:val="21"/>
    </w:rPr>
  </w:style>
  <w:style w:type="paragraph" w:customStyle="1" w:styleId="33">
    <w:name w:val="样式 首行缩进:  2 字符1"/>
    <w:basedOn w:val="1"/>
    <w:qFormat/>
    <w:uiPriority w:val="0"/>
    <w:pPr>
      <w:spacing w:line="360" w:lineRule="auto"/>
      <w:ind w:firstLine="480" w:firstLineChars="200"/>
    </w:pPr>
    <w:rPr>
      <w:rFonts w:cs="宋体"/>
      <w:szCs w:val="20"/>
    </w:rPr>
  </w:style>
  <w:style w:type="paragraph" w:customStyle="1" w:styleId="34">
    <w:name w:val="正文(首行缩进)"/>
    <w:basedOn w:val="1"/>
    <w:qFormat/>
    <w:uiPriority w:val="0"/>
    <w:pPr>
      <w:widowControl w:val="0"/>
      <w:adjustRightInd w:val="0"/>
      <w:snapToGrid w:val="0"/>
      <w:spacing w:line="360" w:lineRule="auto"/>
      <w:ind w:firstLine="200" w:firstLineChars="200"/>
      <w:jc w:val="both"/>
    </w:pPr>
    <w:rPr>
      <w:snapToGrid w:val="0"/>
      <w:szCs w:val="24"/>
    </w:rPr>
  </w:style>
  <w:style w:type="paragraph" w:customStyle="1" w:styleId="35">
    <w:name w:val="Char Char Char Char Char2 Char Char Char Char"/>
    <w:basedOn w:val="1"/>
    <w:qFormat/>
    <w:uiPriority w:val="0"/>
    <w:pPr>
      <w:spacing w:line="360" w:lineRule="auto"/>
      <w:ind w:firstLine="200" w:firstLineChars="200"/>
    </w:pPr>
  </w:style>
  <w:style w:type="paragraph" w:customStyle="1" w:styleId="36">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7">
    <w:name w:val="列出段落1"/>
    <w:basedOn w:val="1"/>
    <w:qFormat/>
    <w:uiPriority w:val="0"/>
    <w:pPr>
      <w:widowControl w:val="0"/>
      <w:adjustRightInd/>
      <w:snapToGrid/>
      <w:ind w:firstLine="420" w:firstLineChars="200"/>
      <w:jc w:val="both"/>
    </w:pPr>
    <w:rPr>
      <w:rFonts w:ascii="Times New Roman" w:hAnsi="Times New Roman" w:eastAsia="宋体"/>
      <w:kern w:val="2"/>
      <w:sz w:val="21"/>
      <w:szCs w:val="20"/>
    </w:rPr>
  </w:style>
  <w:style w:type="paragraph" w:customStyle="1" w:styleId="38">
    <w:name w:val="谢—正文"/>
    <w:basedOn w:val="1"/>
    <w:qFormat/>
    <w:uiPriority w:val="0"/>
    <w:pPr>
      <w:spacing w:line="500" w:lineRule="exact"/>
      <w:ind w:firstLine="200" w:firstLineChars="200"/>
    </w:pPr>
    <w:rPr>
      <w:rFonts w:eastAsia="楷体_GB2312"/>
      <w:sz w:val="28"/>
    </w:rPr>
  </w:style>
  <w:style w:type="paragraph" w:customStyle="1" w:styleId="39">
    <w:name w:val="p0"/>
    <w:basedOn w:val="1"/>
    <w:qFormat/>
    <w:uiPriority w:val="0"/>
    <w:pPr>
      <w:spacing w:line="365" w:lineRule="atLeast"/>
      <w:ind w:left="1"/>
      <w:textAlignment w:val="bottom"/>
    </w:pPr>
    <w:rPr>
      <w:sz w:val="20"/>
      <w:szCs w:val="20"/>
    </w:rPr>
  </w:style>
  <w:style w:type="paragraph" w:customStyle="1" w:styleId="40">
    <w:name w:val="表格1"/>
    <w:basedOn w:val="15"/>
    <w:next w:val="1"/>
    <w:qFormat/>
    <w:uiPriority w:val="0"/>
  </w:style>
  <w:style w:type="paragraph" w:customStyle="1" w:styleId="41">
    <w:name w:val="0正文"/>
    <w:basedOn w:val="1"/>
    <w:semiHidden/>
    <w:qFormat/>
    <w:uiPriority w:val="99"/>
    <w:pPr>
      <w:spacing w:line="360" w:lineRule="auto"/>
      <w:ind w:firstLine="720" w:firstLineChars="200"/>
    </w:pPr>
    <w:rPr>
      <w:sz w:val="24"/>
      <w:szCs w:val="24"/>
    </w:rPr>
  </w:style>
  <w:style w:type="paragraph" w:customStyle="1" w:styleId="42">
    <w:name w:val="表内容123"/>
    <w:basedOn w:val="1"/>
    <w:qFormat/>
    <w:uiPriority w:val="0"/>
    <w:pPr>
      <w:pBdr>
        <w:top w:val="none" w:color="auto" w:sz="0" w:space="1"/>
        <w:left w:val="none" w:color="auto" w:sz="0" w:space="4"/>
        <w:bottom w:val="none" w:color="auto" w:sz="0" w:space="1"/>
        <w:right w:val="none" w:color="auto" w:sz="0" w:space="4"/>
      </w:pBdr>
      <w:spacing w:line="340" w:lineRule="exact"/>
      <w:jc w:val="center"/>
    </w:pPr>
    <w:rPr>
      <w:rFonts w:ascii="Times New Roman" w:hAnsi="Times New Roman"/>
      <w:sz w:val="21"/>
    </w:rPr>
  </w:style>
  <w:style w:type="paragraph" w:customStyle="1" w:styleId="43">
    <w:name w:val="样式4"/>
    <w:basedOn w:val="12"/>
    <w:qFormat/>
    <w:uiPriority w:val="0"/>
    <w:pPr>
      <w:widowControl w:val="0"/>
      <w:spacing w:line="360" w:lineRule="auto"/>
      <w:ind w:right="-120" w:rightChars="-50" w:firstLine="600" w:firstLineChars="250"/>
      <w:jc w:val="both"/>
    </w:pPr>
    <w:rPr>
      <w:rFonts w:hAnsi="宋体" w:eastAsia="宋体"/>
      <w:snapToGrid w:val="0"/>
      <w:spacing w:val="0"/>
      <w:kern w:val="2"/>
      <w:szCs w:val="24"/>
    </w:rPr>
  </w:style>
  <w:style w:type="paragraph" w:customStyle="1" w:styleId="44">
    <w:name w:val="样式1"/>
    <w:basedOn w:val="8"/>
    <w:qFormat/>
    <w:uiPriority w:val="0"/>
    <w:pPr>
      <w:jc w:val="center"/>
    </w:pPr>
    <w:rPr>
      <w:sz w:val="21"/>
      <w:szCs w:val="21"/>
    </w:rPr>
  </w:style>
  <w:style w:type="paragraph" w:customStyle="1" w:styleId="45">
    <w:name w:val="图图正文"/>
    <w:basedOn w:val="1"/>
    <w:qFormat/>
    <w:uiPriority w:val="0"/>
    <w:pPr>
      <w:widowControl w:val="0"/>
      <w:spacing w:line="360" w:lineRule="auto"/>
      <w:ind w:firstLine="200" w:firstLineChars="200"/>
      <w:jc w:val="both"/>
    </w:pPr>
    <w:rPr>
      <w:kern w:val="2"/>
      <w:sz w:val="24"/>
      <w:szCs w:val="24"/>
    </w:rPr>
  </w:style>
  <w:style w:type="paragraph" w:customStyle="1" w:styleId="46">
    <w:name w:val="啊啊正文"/>
    <w:basedOn w:val="1"/>
    <w:qFormat/>
    <w:uiPriority w:val="0"/>
    <w:pPr>
      <w:autoSpaceDE w:val="0"/>
      <w:autoSpaceDN w:val="0"/>
      <w:spacing w:line="360" w:lineRule="auto"/>
      <w:ind w:firstLine="200" w:firstLineChars="200"/>
    </w:pPr>
    <w:rPr>
      <w:rFonts w:cs="仿宋_GB2312"/>
      <w:sz w:val="24"/>
      <w:szCs w:val="28"/>
      <w:lang w:val="zh-CN"/>
    </w:rPr>
  </w:style>
  <w:style w:type="paragraph" w:customStyle="1" w:styleId="47">
    <w:name w:val="宗兴正文"/>
    <w:basedOn w:val="1"/>
    <w:qFormat/>
    <w:uiPriority w:val="0"/>
    <w:pPr>
      <w:ind w:firstLine="200"/>
      <w:jc w:val="both"/>
    </w:pPr>
    <w:rPr>
      <w:rFonts w:ascii="宋体" w:hAnsi="宋体"/>
      <w:spacing w:val="2"/>
      <w:sz w:val="21"/>
    </w:rPr>
  </w:style>
  <w:style w:type="paragraph" w:customStyle="1" w:styleId="48">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标题3"/>
    <w:basedOn w:val="6"/>
    <w:next w:val="2"/>
    <w:qFormat/>
    <w:uiPriority w:val="0"/>
    <w:pPr>
      <w:ind w:left="0" w:leftChars="0"/>
      <w:jc w:val="both"/>
    </w:pPr>
    <w:rPr>
      <w:rFonts w:ascii="宋体" w:hAnsi="宋体"/>
      <w:b/>
      <w:bCs/>
      <w:szCs w:val="24"/>
    </w:rPr>
  </w:style>
  <w:style w:type="paragraph" w:customStyle="1" w:styleId="51">
    <w:name w:val="标题2"/>
    <w:basedOn w:val="6"/>
    <w:qFormat/>
    <w:uiPriority w:val="0"/>
    <w:pPr>
      <w:spacing w:beforeLines="50" w:afterLines="50"/>
      <w:ind w:left="0" w:leftChars="0"/>
      <w:jc w:val="both"/>
    </w:pPr>
    <w:rPr>
      <w:rFonts w:ascii="宋体" w:hAnsi="宋体"/>
      <w:b/>
      <w:sz w:val="28"/>
      <w:szCs w:val="28"/>
    </w:rPr>
  </w:style>
  <w:style w:type="paragraph" w:customStyle="1" w:styleId="52">
    <w:name w:val="啊啊表格内容"/>
    <w:basedOn w:val="1"/>
    <w:qFormat/>
    <w:uiPriority w:val="0"/>
    <w:pPr>
      <w:autoSpaceDE w:val="0"/>
      <w:autoSpaceDN w:val="0"/>
      <w:spacing w:line="340" w:lineRule="exact"/>
    </w:pPr>
    <w:rPr>
      <w:rFonts w:ascii="宋体" w:hAnsi="宋体" w:cs="仿宋_GB2312"/>
      <w:szCs w:val="28"/>
      <w:lang w:val="zh-CN"/>
    </w:rPr>
  </w:style>
  <w:style w:type="paragraph" w:customStyle="1" w:styleId="53">
    <w:name w:val="正文表格"/>
    <w:basedOn w:val="1"/>
    <w:qFormat/>
    <w:uiPriority w:val="0"/>
    <w:pPr>
      <w:jc w:val="center"/>
    </w:pPr>
    <w:rPr>
      <w:rFonts w:eastAsia="楷体_GB2312"/>
      <w:bCs/>
      <w:sz w:val="24"/>
      <w:szCs w:val="20"/>
    </w:rPr>
  </w:style>
  <w:style w:type="paragraph" w:customStyle="1" w:styleId="54">
    <w:name w:val="Table Paragraph"/>
    <w:basedOn w:val="1"/>
    <w:qFormat/>
    <w:uiPriority w:val="0"/>
    <w:rPr>
      <w:rFonts w:ascii="Calibri" w:hAnsi="Calibri"/>
      <w:lang w:eastAsia="en-US"/>
    </w:rPr>
  </w:style>
  <w:style w:type="paragraph" w:customStyle="1" w:styleId="55">
    <w:name w:val="样式2"/>
    <w:basedOn w:val="1"/>
    <w:qFormat/>
    <w:uiPriority w:val="0"/>
    <w:pPr>
      <w:ind w:firstLine="964" w:firstLineChars="400"/>
    </w:pPr>
    <w:rPr>
      <w:rFonts w:ascii="黑体" w:eastAsia="黑体"/>
      <w:b/>
      <w:bCs/>
      <w:sz w:val="24"/>
    </w:rPr>
  </w:style>
  <w:style w:type="paragraph" w:customStyle="1" w:styleId="56">
    <w:name w:val="表"/>
    <w:basedOn w:val="21"/>
    <w:next w:val="1"/>
    <w:qFormat/>
    <w:uiPriority w:val="0"/>
    <w:pPr>
      <w:keepNext/>
      <w:keepLines/>
      <w:spacing w:line="240" w:lineRule="exact"/>
      <w:ind w:left="0" w:firstLine="0" w:firstLineChars="0"/>
      <w:jc w:val="center"/>
    </w:pPr>
  </w:style>
  <w:style w:type="character" w:customStyle="1" w:styleId="57">
    <w:name w:val="font31"/>
    <w:qFormat/>
    <w:uiPriority w:val="0"/>
    <w:rPr>
      <w:rFonts w:hint="eastAsia" w:ascii="宋体" w:hAnsi="宋体" w:eastAsia="宋体" w:cs="宋体"/>
      <w:color w:val="000000"/>
      <w:sz w:val="22"/>
      <w:szCs w:val="22"/>
      <w:u w:val="none"/>
    </w:rPr>
  </w:style>
  <w:style w:type="paragraph" w:customStyle="1" w:styleId="58">
    <w:name w:val="123正文"/>
    <w:basedOn w:val="1"/>
    <w:link w:val="59"/>
    <w:qFormat/>
    <w:uiPriority w:val="0"/>
    <w:pPr>
      <w:spacing w:line="360" w:lineRule="auto"/>
      <w:ind w:firstLine="480" w:firstLineChars="200"/>
    </w:pPr>
    <w:rPr>
      <w:color w:val="0000FF"/>
      <w:sz w:val="24"/>
      <w:lang w:val="zh-CN"/>
    </w:rPr>
  </w:style>
  <w:style w:type="character" w:customStyle="1" w:styleId="59">
    <w:name w:val="123正文 Char"/>
    <w:link w:val="58"/>
    <w:qFormat/>
    <w:uiPriority w:val="0"/>
    <w:rPr>
      <w:color w:val="0000FF"/>
      <w:sz w:val="24"/>
      <w:lang w:val="zh-CN"/>
    </w:rPr>
  </w:style>
  <w:style w:type="paragraph" w:customStyle="1" w:styleId="60">
    <w:name w:val="1.1."/>
    <w:basedOn w:val="4"/>
    <w:qFormat/>
    <w:uiPriority w:val="0"/>
    <w:pPr>
      <w:spacing w:beforeLines="50" w:afterLines="50" w:line="360" w:lineRule="auto"/>
    </w:pPr>
    <w:rPr>
      <w:color w:val="0000FF"/>
      <w:sz w:val="28"/>
      <w:szCs w:val="28"/>
    </w:rPr>
  </w:style>
  <w:style w:type="paragraph" w:customStyle="1" w:styleId="61">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2">
    <w:name w:val="普通(网站)1"/>
    <w:basedOn w:val="1"/>
    <w:qFormat/>
    <w:uiPriority w:val="0"/>
    <w:pPr>
      <w:adjustRightInd/>
      <w:snapToGrid/>
      <w:spacing w:beforeAutospacing="1" w:afterAutospacing="1"/>
    </w:pPr>
    <w:rPr>
      <w:rFonts w:ascii="宋体" w:hAnsi="宋体" w:eastAsia="宋体" w:cs="宋体"/>
      <w:sz w:val="24"/>
      <w:szCs w:val="24"/>
    </w:rPr>
  </w:style>
  <w:style w:type="paragraph" w:customStyle="1" w:styleId="63">
    <w:name w:val="正文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64">
    <w:name w:val="一级aaa"/>
    <w:basedOn w:val="3"/>
    <w:qFormat/>
    <w:uiPriority w:val="0"/>
    <w:pPr>
      <w:keepNext w:val="0"/>
      <w:keepLines w:val="0"/>
      <w:widowControl w:val="0"/>
      <w:spacing w:beforeLines="100" w:afterLines="100" w:line="360" w:lineRule="auto"/>
    </w:pPr>
    <w:rPr>
      <w:kern w:val="0"/>
      <w:sz w:val="32"/>
      <w:szCs w:val="20"/>
    </w:rPr>
  </w:style>
  <w:style w:type="character" w:customStyle="1" w:styleId="65">
    <w:name w:val="批注框文本 Char"/>
    <w:basedOn w:val="27"/>
    <w:link w:val="17"/>
    <w:qFormat/>
    <w:uiPriority w:val="0"/>
    <w:rPr>
      <w:rFonts w:ascii="Tahoma" w:hAnsi="Tahoma" w:eastAsia="微软雅黑" w:cstheme="minorBidi"/>
      <w:sz w:val="18"/>
      <w:szCs w:val="18"/>
    </w:rPr>
  </w:style>
  <w:style w:type="character" w:customStyle="1" w:styleId="66">
    <w:name w:val="页脚 Char"/>
    <w:basedOn w:val="27"/>
    <w:link w:val="18"/>
    <w:qFormat/>
    <w:uiPriority w:val="99"/>
    <w:rPr>
      <w:rFonts w:ascii="Tahoma" w:hAnsi="Tahoma" w:eastAsia="微软雅黑" w:cstheme="minorBidi"/>
      <w:sz w:val="18"/>
      <w:szCs w:val="18"/>
    </w:rPr>
  </w:style>
  <w:style w:type="character" w:customStyle="1" w:styleId="67">
    <w:name w:val="文档结构图 Char"/>
    <w:basedOn w:val="27"/>
    <w:link w:val="10"/>
    <w:qFormat/>
    <w:uiPriority w:val="0"/>
    <w:rPr>
      <w:rFonts w:ascii="宋体" w:hAnsi="Tahoma" w:cstheme="minorBidi"/>
      <w:sz w:val="18"/>
      <w:szCs w:val="18"/>
    </w:rPr>
  </w:style>
  <w:style w:type="paragraph" w:customStyle="1" w:styleId="68">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paragraph" w:customStyle="1" w:styleId="69">
    <w:name w:val="1.1.1"/>
    <w:basedOn w:val="70"/>
    <w:qFormat/>
    <w:uiPriority w:val="0"/>
    <w:pPr>
      <w:spacing w:before="120" w:beforeLines="50" w:after="120" w:afterLines="50"/>
      <w:ind w:firstLine="0" w:firstLineChars="0"/>
      <w:outlineLvl w:val="2"/>
    </w:pPr>
    <w:rPr>
      <w:rFonts w:eastAsia="宋体"/>
      <w:b/>
      <w:color w:val="0000FF"/>
      <w:sz w:val="24"/>
      <w:szCs w:val="24"/>
    </w:rPr>
  </w:style>
  <w:style w:type="paragraph" w:customStyle="1" w:styleId="70">
    <w:name w:val="样式3"/>
    <w:basedOn w:val="1"/>
    <w:qFormat/>
    <w:uiPriority w:val="0"/>
    <w:pPr>
      <w:spacing w:line="360" w:lineRule="auto"/>
      <w:ind w:firstLine="200" w:firstLineChars="200"/>
    </w:pPr>
    <w:rPr>
      <w:rFonts w:eastAsia="楷体_GB2312"/>
      <w:sz w:val="28"/>
      <w:szCs w:val="20"/>
    </w:rPr>
  </w:style>
  <w:style w:type="character" w:customStyle="1" w:styleId="71">
    <w:name w:val="font11"/>
    <w:qFormat/>
    <w:uiPriority w:val="0"/>
    <w:rPr>
      <w:rFonts w:hint="eastAsia" w:ascii="宋体" w:hAnsi="宋体" w:eastAsia="宋体"/>
      <w:color w:val="000000"/>
      <w:sz w:val="21"/>
      <w:szCs w:val="21"/>
      <w:u w:val="none"/>
    </w:rPr>
  </w:style>
  <w:style w:type="paragraph" w:customStyle="1" w:styleId="72">
    <w:name w:val="S正文S"/>
    <w:basedOn w:val="1"/>
    <w:qFormat/>
    <w:uiPriority w:val="0"/>
    <w:pPr>
      <w:snapToGrid w:val="0"/>
      <w:spacing w:line="360" w:lineRule="auto"/>
      <w:ind w:firstLine="200" w:firstLineChars="200"/>
    </w:pPr>
    <w:rPr>
      <w:rFonts w:eastAsia="宋体"/>
      <w:snapToGrid w:val="0"/>
      <w:sz w:val="24"/>
      <w:szCs w:val="24"/>
    </w:rPr>
  </w:style>
  <w:style w:type="paragraph" w:customStyle="1" w:styleId="73">
    <w:name w:val="啊啊二级标题"/>
    <w:basedOn w:val="1"/>
    <w:qFormat/>
    <w:uiPriority w:val="0"/>
    <w:pPr>
      <w:autoSpaceDE w:val="0"/>
      <w:autoSpaceDN w:val="0"/>
      <w:adjustRightInd w:val="0"/>
      <w:spacing w:before="120" w:after="120" w:line="360" w:lineRule="auto"/>
      <w:jc w:val="left"/>
      <w:outlineLvl w:val="1"/>
    </w:pPr>
    <w:rPr>
      <w:rFonts w:cs="仿宋_GB2312"/>
      <w:b/>
      <w:sz w:val="28"/>
      <w:szCs w:val="28"/>
      <w:lang w:val="zh-CN"/>
    </w:rPr>
  </w:style>
  <w:style w:type="paragraph" w:customStyle="1" w:styleId="74">
    <w:name w:val="yang正文"/>
    <w:basedOn w:val="1"/>
    <w:qFormat/>
    <w:uiPriority w:val="0"/>
    <w:pPr>
      <w:spacing w:line="360" w:lineRule="auto"/>
      <w:ind w:firstLine="480" w:firstLineChars="200"/>
    </w:pPr>
    <w:rPr>
      <w:sz w:val="24"/>
      <w:szCs w:val="24"/>
    </w:rPr>
  </w:style>
  <w:style w:type="paragraph" w:customStyle="1" w:styleId="75">
    <w:name w:val="xc正文"/>
    <w:basedOn w:val="1"/>
    <w:qFormat/>
    <w:uiPriority w:val="0"/>
    <w:pPr>
      <w:widowControl/>
      <w:autoSpaceDN w:val="0"/>
      <w:snapToGrid w:val="0"/>
      <w:spacing w:line="360" w:lineRule="auto"/>
      <w:ind w:firstLine="480" w:firstLineChars="200"/>
    </w:pPr>
    <w:rPr>
      <w:sz w:val="24"/>
    </w:rPr>
  </w:style>
  <w:style w:type="paragraph" w:customStyle="1" w:styleId="76">
    <w:name w:val="1.1"/>
    <w:basedOn w:val="4"/>
    <w:qFormat/>
    <w:uiPriority w:val="0"/>
    <w:pPr>
      <w:numPr>
        <w:ilvl w:val="1"/>
        <w:numId w:val="0"/>
      </w:numPr>
      <w:spacing w:before="156" w:beforeLines="50" w:after="156" w:afterLines="50" w:line="360" w:lineRule="auto"/>
    </w:pPr>
    <w:rPr>
      <w:rFonts w:ascii="Times New Roman" w:hAnsi="Times New Roman"/>
      <w:color w:val="0000FF"/>
      <w:sz w:val="28"/>
      <w:szCs w:val="28"/>
    </w:rPr>
  </w:style>
  <w:style w:type="paragraph" w:customStyle="1" w:styleId="77">
    <w:name w:val="表格"/>
    <w:basedOn w:val="78"/>
    <w:next w:val="1"/>
    <w:qFormat/>
    <w:uiPriority w:val="0"/>
    <w:pPr>
      <w:tabs>
        <w:tab w:val="left" w:pos="940"/>
      </w:tabs>
      <w:autoSpaceDE w:val="0"/>
      <w:autoSpaceDN w:val="0"/>
      <w:adjustRightInd w:val="0"/>
      <w:jc w:val="center"/>
    </w:pPr>
    <w:rPr>
      <w:rFonts w:eastAsia="楷体_GB2312"/>
      <w:kern w:val="0"/>
    </w:rPr>
  </w:style>
  <w:style w:type="paragraph" w:customStyle="1" w:styleId="78">
    <w:name w:val="表题"/>
    <w:basedOn w:val="1"/>
    <w:qFormat/>
    <w:uiPriority w:val="0"/>
    <w:pPr>
      <w:tabs>
        <w:tab w:val="left" w:pos="940"/>
      </w:tabs>
      <w:snapToGrid w:val="0"/>
      <w:jc w:val="center"/>
    </w:pPr>
    <w:rPr>
      <w:rFonts w:eastAsia="黑体"/>
      <w:sz w:val="24"/>
    </w:rPr>
  </w:style>
  <w:style w:type="paragraph" w:customStyle="1" w:styleId="79">
    <w:name w:val="表格正文"/>
    <w:basedOn w:val="1"/>
    <w:qFormat/>
    <w:uiPriority w:val="0"/>
    <w:pPr>
      <w:spacing w:line="360" w:lineRule="exact"/>
      <w:jc w:val="center"/>
    </w:pPr>
    <w:rPr>
      <w:rFonts w:ascii="Arial" w:hAnsi="Arial"/>
      <w:szCs w:val="24"/>
    </w:rPr>
  </w:style>
  <w:style w:type="paragraph" w:customStyle="1" w:styleId="80">
    <w:name w:val="List Paragraph1"/>
    <w:basedOn w:val="1"/>
    <w:qFormat/>
    <w:uiPriority w:val="99"/>
    <w:pPr>
      <w:ind w:firstLine="420" w:firstLineChars="200"/>
    </w:pPr>
  </w:style>
  <w:style w:type="character" w:customStyle="1" w:styleId="81">
    <w:name w:val="znspantitle"/>
    <w:basedOn w:val="27"/>
    <w:qFormat/>
    <w:uiPriority w:val="0"/>
    <w:rPr>
      <w:b/>
      <w:bCs/>
      <w:color w:val="333333"/>
    </w:rPr>
  </w:style>
  <w:style w:type="character" w:customStyle="1" w:styleId="82">
    <w:name w:val="cur"/>
    <w:basedOn w:val="27"/>
    <w:qFormat/>
    <w:uiPriority w:val="0"/>
    <w:rPr>
      <w:color w:val="FFFFFF"/>
      <w:shd w:val="clear" w:fill="2F6B98"/>
    </w:rPr>
  </w:style>
  <w:style w:type="character" w:customStyle="1" w:styleId="83">
    <w:name w:val="radio-btn"/>
    <w:basedOn w:val="27"/>
    <w:qFormat/>
    <w:uiPriority w:val="0"/>
    <w:rPr>
      <w:sz w:val="21"/>
      <w:szCs w:val="21"/>
    </w:rPr>
  </w:style>
  <w:style w:type="character" w:customStyle="1" w:styleId="84">
    <w:name w:val="radio-btn1"/>
    <w:basedOn w:val="27"/>
    <w:qFormat/>
    <w:uiPriority w:val="0"/>
    <w:rPr>
      <w:sz w:val="24"/>
      <w:szCs w:val="24"/>
    </w:rPr>
  </w:style>
  <w:style w:type="character" w:customStyle="1" w:styleId="85">
    <w:name w:val="radio-btn2"/>
    <w:basedOn w:val="27"/>
    <w:qFormat/>
    <w:uiPriority w:val="0"/>
    <w:rPr>
      <w:sz w:val="24"/>
      <w:szCs w:val="24"/>
    </w:rPr>
  </w:style>
  <w:style w:type="character" w:customStyle="1" w:styleId="86">
    <w:name w:val="lishishuju"/>
    <w:basedOn w:val="27"/>
    <w:qFormat/>
    <w:uiPriority w:val="0"/>
    <w:rPr>
      <w:b/>
      <w:bCs/>
      <w:color w:val="000052"/>
      <w:sz w:val="24"/>
      <w:szCs w:val="24"/>
      <w:bdr w:val="single" w:color="E3E3E3" w:sz="6" w:space="0"/>
    </w:rPr>
  </w:style>
  <w:style w:type="character" w:customStyle="1" w:styleId="87">
    <w:name w:val="lable"/>
    <w:basedOn w:val="27"/>
    <w:qFormat/>
    <w:uiPriority w:val="0"/>
    <w:rPr>
      <w:sz w:val="24"/>
      <w:szCs w:val="24"/>
    </w:rPr>
  </w:style>
  <w:style w:type="paragraph" w:styleId="88">
    <w:name w:val="List Paragraph"/>
    <w:basedOn w:val="1"/>
    <w:unhideWhenUsed/>
    <w:qFormat/>
    <w:uiPriority w:val="99"/>
    <w:pPr>
      <w:ind w:firstLine="420" w:firstLineChars="200"/>
    </w:pPr>
  </w:style>
  <w:style w:type="paragraph" w:customStyle="1" w:styleId="89">
    <w:name w:val="正文模版（戴）"/>
    <w:basedOn w:val="1"/>
    <w:qFormat/>
    <w:uiPriority w:val="0"/>
    <w:pPr>
      <w:adjustRightInd w:val="0"/>
      <w:snapToGrid w:val="0"/>
      <w:spacing w:line="360" w:lineRule="auto"/>
      <w:ind w:firstLine="464" w:firstLineChars="200"/>
    </w:pPr>
    <w:rPr>
      <w:rFonts w:ascii="宋体" w:hAnsi="宋体" w:cs="宋体"/>
      <w:snapToGrid w:val="0"/>
      <w:color w:val="000000"/>
      <w:spacing w:val="-4"/>
      <w:kern w:val="0"/>
      <w:sz w:val="24"/>
    </w:rPr>
  </w:style>
  <w:style w:type="character" w:customStyle="1" w:styleId="90">
    <w:name w:val="ca-1"/>
    <w:basedOn w:val="27"/>
    <w:qFormat/>
    <w:uiPriority w:val="0"/>
  </w:style>
  <w:style w:type="paragraph" w:customStyle="1" w:styleId="91">
    <w:name w:val="啊啊啊啊正文"/>
    <w:basedOn w:val="1"/>
    <w:qFormat/>
    <w:uiPriority w:val="0"/>
    <w:pPr>
      <w:spacing w:line="360" w:lineRule="auto"/>
      <w:ind w:firstLine="200" w:firstLineChars="200"/>
    </w:pPr>
    <w:rPr>
      <w:rFonts w:ascii="宋体" w:hAnsi="宋体"/>
      <w:sz w:val="24"/>
    </w:rPr>
  </w:style>
  <w:style w:type="paragraph" w:customStyle="1" w:styleId="92">
    <w:name w:val="表正文"/>
    <w:basedOn w:val="1"/>
    <w:qFormat/>
    <w:uiPriority w:val="0"/>
    <w:pPr>
      <w:spacing w:line="360" w:lineRule="auto"/>
      <w:ind w:firstLine="200" w:firstLineChars="200"/>
    </w:pPr>
    <w:rPr>
      <w:sz w:val="24"/>
    </w:rPr>
  </w:style>
  <w:style w:type="paragraph" w:customStyle="1" w:styleId="93">
    <w:name w:val="表内容"/>
    <w:basedOn w:val="1"/>
    <w:qFormat/>
    <w:uiPriority w:val="0"/>
    <w:pPr>
      <w:widowControl/>
      <w:jc w:val="center"/>
    </w:pPr>
    <w:rPr>
      <w:kern w:val="0"/>
      <w:lang w:val="en-GB"/>
    </w:rPr>
  </w:style>
  <w:style w:type="paragraph" w:customStyle="1" w:styleId="94">
    <w:name w:val="环评表格内容"/>
    <w:basedOn w:val="1"/>
    <w:qFormat/>
    <w:uiPriority w:val="0"/>
    <w:pPr>
      <w:widowControl/>
      <w:adjustRightInd w:val="0"/>
      <w:snapToGrid w:val="0"/>
      <w:jc w:val="center"/>
    </w:pPr>
    <w:rPr>
      <w:rFonts w:ascii="宋体" w:hAnsi="宋体"/>
      <w:color w:val="000000"/>
      <w:kern w:val="21"/>
      <w:szCs w:val="21"/>
    </w:rPr>
  </w:style>
  <w:style w:type="paragraph" w:customStyle="1" w:styleId="95">
    <w:name w:val="yang2级标题"/>
    <w:basedOn w:val="1"/>
    <w:next w:val="1"/>
    <w:qFormat/>
    <w:uiPriority w:val="0"/>
    <w:pPr>
      <w:spacing w:line="360" w:lineRule="auto"/>
      <w:jc w:val="both"/>
      <w:outlineLvl w:val="1"/>
    </w:pPr>
    <w:rPr>
      <w:rFonts w:ascii="Times New Roman" w:hAnsi="Times New Roman"/>
      <w:b/>
      <w:sz w:val="28"/>
    </w:rPr>
  </w:style>
  <w:style w:type="paragraph" w:customStyle="1" w:styleId="96">
    <w:name w:val="样式 yang正文"/>
    <w:basedOn w:val="74"/>
    <w:uiPriority w:val="0"/>
    <w:rPr>
      <w:szCs w:val="20"/>
    </w:rPr>
  </w:style>
  <w:style w:type="paragraph" w:customStyle="1" w:styleId="97">
    <w:name w:val="yang3级标题"/>
    <w:basedOn w:val="1"/>
    <w:next w:val="74"/>
    <w:qFormat/>
    <w:uiPriority w:val="0"/>
    <w:pPr>
      <w:spacing w:line="360" w:lineRule="auto"/>
      <w:jc w:val="both"/>
      <w:outlineLvl w:val="2"/>
    </w:pPr>
    <w:rPr>
      <w:rFonts w:ascii="Times New Roman" w:hAnsi="Times New Roman"/>
      <w:b/>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44</Pages>
  <Words>12601</Words>
  <Characters>14365</Characters>
  <Lines>133</Lines>
  <Paragraphs>37</Paragraphs>
  <TotalTime>1</TotalTime>
  <ScaleCrop>false</ScaleCrop>
  <LinksUpToDate>false</LinksUpToDate>
  <CharactersWithSpaces>14556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2018-06-07T06:22:00Z</dcterms:created>
  <dc:creator>sM</dc:creator>
  <cp:lastModifiedBy>WPS_1550155665</cp:lastModifiedBy>
  <cp:lastPrinted>2022-04-29T01:02:00Z</cp:lastPrinted>
  <dcterms:modified xsi:type="dcterms:W3CDTF">2022-09-23T07:33:40Z</dcterms:modified>
  <dc:title>年扩建5000万个纸质品项目竣工环境保护验收监测报告表</dc:title>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635E51B301C544E487D3A94625F34D95</vt:lpwstr>
  </property>
  <property fmtid="{D5CDD505-2E9C-101B-9397-08002B2CF9AE}" pid="4" name="commondata">
    <vt:lpwstr>eyJoZGlkIjoiNTExYzdhN2U1YjlhOTQ5YzY2YjEwYjYwYzNiYzI0NWQifQ==</vt:lpwstr>
  </property>
</Properties>
</file>