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eastAsia="宋体" w:cs="Times New Roman"/>
          <w:b/>
          <w:color w:val="auto"/>
          <w:sz w:val="44"/>
          <w:szCs w:val="44"/>
          <w:lang w:eastAsia="zh-CN"/>
        </w:rPr>
      </w:pPr>
    </w:p>
    <w:p>
      <w:pPr>
        <w:spacing w:line="360" w:lineRule="auto"/>
        <w:jc w:val="center"/>
        <w:rPr>
          <w:rFonts w:hint="eastAsia" w:ascii="Times New Roman" w:hAnsi="Times New Roman" w:eastAsia="宋体" w:cs="Times New Roman"/>
          <w:b/>
          <w:color w:val="auto"/>
          <w:sz w:val="44"/>
          <w:szCs w:val="44"/>
          <w:lang w:eastAsia="zh-CN"/>
        </w:rPr>
      </w:pPr>
    </w:p>
    <w:p>
      <w:pPr>
        <w:spacing w:line="360" w:lineRule="auto"/>
        <w:jc w:val="center"/>
        <w:rPr>
          <w:rFonts w:hint="eastAsia" w:ascii="Times New Roman" w:hAnsi="Times New Roman" w:eastAsia="宋体" w:cs="Times New Roman"/>
          <w:b/>
          <w:color w:val="auto"/>
          <w:sz w:val="52"/>
          <w:szCs w:val="52"/>
          <w:lang w:eastAsia="zh-CN"/>
        </w:rPr>
      </w:pPr>
      <w:r>
        <w:rPr>
          <w:rFonts w:hint="eastAsia" w:ascii="Times New Roman" w:hAnsi="Times New Roman" w:eastAsia="宋体" w:cs="Times New Roman"/>
          <w:b/>
          <w:color w:val="auto"/>
          <w:sz w:val="52"/>
          <w:szCs w:val="52"/>
          <w:lang w:eastAsia="zh-CN"/>
        </w:rPr>
        <w:t>调味料、塑料制品生产项目</w:t>
      </w:r>
    </w:p>
    <w:p>
      <w:pPr>
        <w:spacing w:line="360" w:lineRule="auto"/>
        <w:jc w:val="center"/>
        <w:rPr>
          <w:rFonts w:ascii="Times New Roman" w:hAnsi="Times New Roman" w:eastAsia="宋体" w:cs="Times New Roman"/>
          <w:b/>
          <w:color w:val="auto"/>
          <w:sz w:val="52"/>
          <w:szCs w:val="52"/>
        </w:rPr>
      </w:pPr>
      <w:r>
        <w:rPr>
          <w:rFonts w:ascii="Times New Roman" w:hAnsi="Times New Roman" w:eastAsia="宋体" w:cs="Times New Roman"/>
          <w:b/>
          <w:color w:val="auto"/>
          <w:sz w:val="52"/>
          <w:szCs w:val="52"/>
        </w:rPr>
        <w:t>竣工环境保护验收监测报告表</w:t>
      </w:r>
    </w:p>
    <w:p>
      <w:pPr>
        <w:jc w:val="center"/>
        <w:rPr>
          <w:rFonts w:ascii="Times New Roman" w:hAnsi="Times New Roman" w:eastAsia="宋体" w:cs="Times New Roman"/>
          <w:color w:val="auto"/>
          <w:sz w:val="28"/>
        </w:rPr>
      </w:pPr>
    </w:p>
    <w:p>
      <w:pPr>
        <w:pStyle w:val="24"/>
        <w:rPr>
          <w:color w:val="auto"/>
        </w:rPr>
      </w:pPr>
    </w:p>
    <w:p>
      <w:pPr>
        <w:jc w:val="center"/>
        <w:rPr>
          <w:rFonts w:ascii="Times New Roman" w:hAnsi="Times New Roman" w:eastAsia="宋体" w:cs="Times New Roman"/>
          <w:color w:val="auto"/>
          <w:sz w:val="28"/>
        </w:rPr>
      </w:pPr>
    </w:p>
    <w:p>
      <w:pPr>
        <w:jc w:val="center"/>
        <w:rPr>
          <w:rFonts w:ascii="Times New Roman" w:hAnsi="Times New Roman" w:eastAsia="宋体" w:cs="Times New Roman"/>
          <w:color w:val="auto"/>
          <w:sz w:val="28"/>
        </w:rPr>
      </w:pPr>
    </w:p>
    <w:p>
      <w:pPr>
        <w:pStyle w:val="6"/>
        <w:rPr>
          <w:color w:val="auto"/>
        </w:rPr>
      </w:pPr>
    </w:p>
    <w:p>
      <w:pPr>
        <w:pStyle w:val="24"/>
        <w:rPr>
          <w:rFonts w:ascii="Times New Roman" w:hAnsi="Times New Roman" w:eastAsia="宋体" w:cs="Times New Roman"/>
          <w:color w:val="auto"/>
          <w:sz w:val="28"/>
        </w:rPr>
      </w:pPr>
    </w:p>
    <w:p>
      <w:pPr>
        <w:pStyle w:val="24"/>
        <w:rPr>
          <w:rFonts w:ascii="Times New Roman" w:hAnsi="Times New Roman" w:eastAsia="宋体" w:cs="Times New Roman"/>
          <w:color w:val="auto"/>
          <w:sz w:val="28"/>
        </w:rPr>
      </w:pPr>
    </w:p>
    <w:p>
      <w:pPr>
        <w:pStyle w:val="25"/>
        <w:rPr>
          <w:rFonts w:ascii="Times New Roman" w:hAnsi="Times New Roman" w:eastAsia="宋体" w:cs="Times New Roman"/>
          <w:color w:val="auto"/>
        </w:rPr>
      </w:pPr>
    </w:p>
    <w:p>
      <w:pPr>
        <w:pStyle w:val="24"/>
        <w:ind w:firstLine="164"/>
        <w:rPr>
          <w:rFonts w:ascii="Times New Roman" w:hAnsi="Times New Roman" w:eastAsia="宋体" w:cs="Times New Roman"/>
          <w:color w:val="auto"/>
        </w:rPr>
      </w:pPr>
    </w:p>
    <w:p>
      <w:pPr>
        <w:pStyle w:val="37"/>
        <w:rPr>
          <w:rFonts w:ascii="Times New Roman" w:hAnsi="Times New Roman" w:cs="Times New Roman"/>
          <w:color w:val="auto"/>
          <w:sz w:val="28"/>
        </w:rPr>
      </w:pPr>
    </w:p>
    <w:p>
      <w:pPr>
        <w:pStyle w:val="37"/>
        <w:rPr>
          <w:rFonts w:ascii="Times New Roman" w:hAnsi="Times New Roman" w:cs="Times New Roman"/>
          <w:color w:val="auto"/>
          <w:sz w:val="28"/>
        </w:rPr>
      </w:pPr>
    </w:p>
    <w:p>
      <w:pPr>
        <w:pStyle w:val="37"/>
        <w:rPr>
          <w:rFonts w:ascii="Times New Roman" w:hAnsi="Times New Roman" w:cs="Times New Roman"/>
          <w:color w:val="auto"/>
          <w:sz w:val="28"/>
        </w:rPr>
      </w:pPr>
    </w:p>
    <w:p>
      <w:pPr>
        <w:pStyle w:val="37"/>
        <w:rPr>
          <w:rFonts w:ascii="Times New Roman" w:hAnsi="Times New Roman" w:cs="Times New Roman"/>
          <w:color w:val="auto"/>
          <w:sz w:val="28"/>
        </w:rPr>
      </w:pPr>
    </w:p>
    <w:p>
      <w:pPr>
        <w:pStyle w:val="37"/>
        <w:rPr>
          <w:rFonts w:ascii="Times New Roman" w:hAnsi="Times New Roman" w:cs="Times New Roman"/>
          <w:color w:val="auto"/>
          <w:sz w:val="28"/>
        </w:rPr>
      </w:pPr>
    </w:p>
    <w:p>
      <w:pPr>
        <w:pStyle w:val="25"/>
        <w:rPr>
          <w:rFonts w:ascii="Times New Roman" w:hAnsi="Times New Roman" w:eastAsia="宋体" w:cs="Times New Roman"/>
          <w:color w:val="auto"/>
          <w:sz w:val="28"/>
        </w:rPr>
      </w:pPr>
    </w:p>
    <w:p>
      <w:pPr>
        <w:pStyle w:val="25"/>
        <w:rPr>
          <w:rFonts w:ascii="Times New Roman" w:hAnsi="Times New Roman" w:eastAsia="宋体" w:cs="Times New Roman"/>
          <w:color w:val="auto"/>
          <w:sz w:val="28"/>
        </w:rPr>
      </w:pPr>
    </w:p>
    <w:p>
      <w:pPr>
        <w:pStyle w:val="25"/>
        <w:rPr>
          <w:rFonts w:ascii="Times New Roman" w:hAnsi="Times New Roman" w:eastAsia="宋体" w:cs="Times New Roman"/>
          <w:color w:val="auto"/>
          <w:sz w:val="28"/>
        </w:rPr>
      </w:pPr>
    </w:p>
    <w:p>
      <w:pPr>
        <w:pStyle w:val="25"/>
        <w:rPr>
          <w:rFonts w:ascii="Times New Roman" w:hAnsi="Times New Roman" w:eastAsia="宋体" w:cs="Times New Roman"/>
          <w:color w:val="auto"/>
          <w:sz w:val="28"/>
        </w:rPr>
      </w:pP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ascii="Times New Roman" w:hAnsi="Times New Roman" w:eastAsia="宋体" w:cs="Times New Roman"/>
          <w:color w:val="auto"/>
          <w:sz w:val="36"/>
          <w:szCs w:val="36"/>
          <w:u w:val="single"/>
        </w:rPr>
      </w:pPr>
      <w:r>
        <w:rPr>
          <w:rFonts w:ascii="Times New Roman" w:hAnsi="Times New Roman" w:eastAsia="宋体" w:cs="Times New Roman"/>
          <w:color w:val="auto"/>
          <w:sz w:val="36"/>
          <w:szCs w:val="36"/>
        </w:rPr>
        <w:t>建设单位：</w:t>
      </w:r>
      <w:r>
        <w:rPr>
          <w:rFonts w:hint="eastAsia" w:ascii="Times New Roman" w:hAnsi="Times New Roman" w:eastAsia="宋体" w:cs="Times New Roman"/>
          <w:color w:val="auto"/>
          <w:sz w:val="36"/>
          <w:szCs w:val="36"/>
          <w:u w:val="single"/>
          <w:lang w:val="en-US" w:eastAsia="zh-CN"/>
        </w:rPr>
        <w:t xml:space="preserve"> 福建省皇牌食品有限公司</w:t>
      </w:r>
    </w:p>
    <w:p>
      <w:pPr>
        <w:keepNext w:val="0"/>
        <w:keepLines w:val="0"/>
        <w:pageBreakBefore w:val="0"/>
        <w:widowControl/>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宋体" w:cs="Times New Roman"/>
          <w:color w:val="auto"/>
          <w:sz w:val="36"/>
          <w:szCs w:val="36"/>
          <w:u w:val="single"/>
          <w:lang w:val="en-US" w:eastAsia="zh-CN"/>
        </w:rPr>
      </w:pPr>
      <w:r>
        <w:rPr>
          <w:rFonts w:ascii="Times New Roman" w:hAnsi="Times New Roman" w:eastAsia="宋体" w:cs="Times New Roman"/>
          <w:color w:val="auto"/>
          <w:sz w:val="36"/>
          <w:szCs w:val="36"/>
        </w:rPr>
        <w:t>编制单位：</w:t>
      </w:r>
      <w:r>
        <w:rPr>
          <w:rFonts w:hint="eastAsia" w:ascii="Times New Roman" w:hAnsi="Times New Roman" w:eastAsia="宋体" w:cs="Times New Roman"/>
          <w:color w:val="auto"/>
          <w:sz w:val="36"/>
          <w:szCs w:val="36"/>
          <w:u w:val="single"/>
          <w:lang w:val="en-US" w:eastAsia="zh-CN"/>
        </w:rPr>
        <w:t xml:space="preserve"> 福建省皇牌食品有限公司</w:t>
      </w:r>
    </w:p>
    <w:p>
      <w:pPr>
        <w:pStyle w:val="37"/>
        <w:rPr>
          <w:rFonts w:ascii="Times New Roman" w:hAnsi="Times New Roman" w:cs="Times New Roman"/>
          <w:color w:val="auto"/>
          <w:sz w:val="28"/>
        </w:rPr>
      </w:pPr>
    </w:p>
    <w:p>
      <w:pPr>
        <w:jc w:val="center"/>
        <w:rPr>
          <w:rFonts w:ascii="Times New Roman" w:hAnsi="Times New Roman" w:eastAsia="宋体" w:cs="Times New Roman"/>
          <w:bCs/>
          <w:color w:val="auto"/>
          <w:sz w:val="32"/>
          <w:szCs w:val="32"/>
        </w:rPr>
      </w:pPr>
      <w:r>
        <w:rPr>
          <w:rFonts w:ascii="Times New Roman" w:hAnsi="Times New Roman" w:eastAsia="宋体" w:cs="Times New Roman"/>
          <w:bCs/>
          <w:color w:val="auto"/>
          <w:sz w:val="32"/>
          <w:szCs w:val="32"/>
        </w:rPr>
        <w:t>202</w:t>
      </w:r>
      <w:r>
        <w:rPr>
          <w:rFonts w:hint="eastAsia" w:ascii="Times New Roman" w:hAnsi="Times New Roman" w:eastAsia="宋体" w:cs="Times New Roman"/>
          <w:bCs/>
          <w:color w:val="auto"/>
          <w:sz w:val="32"/>
          <w:szCs w:val="32"/>
          <w:lang w:val="en-US" w:eastAsia="zh-CN"/>
        </w:rPr>
        <w:t>1</w:t>
      </w:r>
      <w:r>
        <w:rPr>
          <w:rFonts w:ascii="Times New Roman" w:hAnsi="Times New Roman" w:eastAsia="宋体" w:cs="Times New Roman"/>
          <w:bCs/>
          <w:color w:val="auto"/>
          <w:sz w:val="32"/>
          <w:szCs w:val="32"/>
        </w:rPr>
        <w:t>年</w:t>
      </w:r>
      <w:r>
        <w:rPr>
          <w:rFonts w:hint="eastAsia" w:ascii="Times New Roman" w:hAnsi="Times New Roman" w:eastAsia="宋体" w:cs="Times New Roman"/>
          <w:bCs/>
          <w:color w:val="auto"/>
          <w:sz w:val="32"/>
          <w:szCs w:val="32"/>
          <w:lang w:val="en-US" w:eastAsia="zh-CN"/>
        </w:rPr>
        <w:t>11</w:t>
      </w:r>
      <w:r>
        <w:rPr>
          <w:rFonts w:ascii="Times New Roman" w:hAnsi="Times New Roman" w:eastAsia="宋体" w:cs="Times New Roman"/>
          <w:bCs/>
          <w:color w:val="auto"/>
          <w:sz w:val="32"/>
          <w:szCs w:val="32"/>
        </w:rPr>
        <w:t>月</w:t>
      </w:r>
    </w:p>
    <w:p>
      <w:pPr>
        <w:spacing w:line="360" w:lineRule="auto"/>
        <w:rPr>
          <w:rFonts w:ascii="Times New Roman" w:hAnsi="Times New Roman" w:eastAsia="宋体" w:cs="Times New Roman"/>
          <w:bCs/>
          <w:color w:val="auto"/>
          <w:sz w:val="28"/>
        </w:rPr>
        <w:sectPr>
          <w:footerReference r:id="rId3"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rPr>
          <w:rFonts w:ascii="Times New Roman" w:hAnsi="Times New Roman" w:eastAsia="宋体" w:cs="Times New Roman"/>
          <w:bCs/>
          <w:color w:val="auto"/>
          <w:sz w:val="28"/>
        </w:rPr>
      </w:pPr>
    </w:p>
    <w:p>
      <w:pPr>
        <w:spacing w:line="360" w:lineRule="auto"/>
        <w:rPr>
          <w:rFonts w:ascii="Times New Roman" w:hAnsi="Times New Roman" w:eastAsia="宋体" w:cs="Times New Roman"/>
          <w:bCs/>
          <w:color w:val="auto"/>
          <w:sz w:val="28"/>
        </w:rPr>
      </w:pPr>
      <w:r>
        <w:rPr>
          <w:rFonts w:ascii="Times New Roman" w:hAnsi="Times New Roman" w:eastAsia="宋体" w:cs="Times New Roman"/>
          <w:bCs/>
          <w:color w:val="auto"/>
          <w:sz w:val="28"/>
        </w:rPr>
        <w:t>建设</w:t>
      </w:r>
      <w:r>
        <w:rPr>
          <w:rFonts w:ascii="Times New Roman" w:hAnsi="Times New Roman" w:eastAsia="宋体" w:cs="Times New Roman"/>
          <w:bCs/>
          <w:color w:val="auto"/>
          <w:sz w:val="28"/>
          <w:szCs w:val="28"/>
        </w:rPr>
        <w:t>单</w:t>
      </w:r>
      <w:r>
        <w:rPr>
          <w:rFonts w:ascii="Times New Roman" w:hAnsi="Times New Roman" w:eastAsia="宋体" w:cs="Times New Roman"/>
          <w:bCs/>
          <w:color w:val="auto"/>
          <w:sz w:val="28"/>
        </w:rPr>
        <w:t xml:space="preserve">位法人代表: </w:t>
      </w:r>
      <w:r>
        <w:rPr>
          <w:rFonts w:hint="eastAsia" w:ascii="Times New Roman" w:hAnsi="Times New Roman" w:eastAsia="宋体" w:cs="Times New Roman"/>
          <w:bCs/>
          <w:color w:val="auto"/>
          <w:sz w:val="28"/>
          <w:lang w:val="en-US" w:eastAsia="zh-CN"/>
        </w:rPr>
        <w:t>许辉城</w:t>
      </w:r>
      <w:r>
        <w:rPr>
          <w:rFonts w:ascii="Times New Roman" w:hAnsi="Times New Roman" w:eastAsia="宋体" w:cs="Times New Roman"/>
          <w:bCs/>
          <w:color w:val="auto"/>
          <w:sz w:val="28"/>
        </w:rPr>
        <w:t xml:space="preserve"> </w:t>
      </w:r>
    </w:p>
    <w:p>
      <w:pPr>
        <w:spacing w:line="360" w:lineRule="auto"/>
        <w:rPr>
          <w:rFonts w:ascii="Times New Roman" w:hAnsi="Times New Roman" w:eastAsia="宋体" w:cs="Times New Roman"/>
          <w:bCs/>
          <w:color w:val="auto"/>
          <w:sz w:val="28"/>
        </w:rPr>
      </w:pPr>
      <w:r>
        <w:rPr>
          <w:rFonts w:ascii="Times New Roman" w:hAnsi="Times New Roman" w:eastAsia="宋体" w:cs="Times New Roman"/>
          <w:bCs/>
          <w:color w:val="auto"/>
          <w:sz w:val="28"/>
        </w:rPr>
        <w:t xml:space="preserve">     </w:t>
      </w:r>
    </w:p>
    <w:p>
      <w:pPr>
        <w:spacing w:line="360" w:lineRule="auto"/>
        <w:rPr>
          <w:rFonts w:hint="eastAsia" w:ascii="Times New Roman" w:hAnsi="Times New Roman" w:eastAsia="宋体" w:cs="Times New Roman"/>
          <w:bCs/>
          <w:color w:val="auto"/>
          <w:sz w:val="28"/>
          <w:lang w:eastAsia="zh-CN"/>
        </w:rPr>
      </w:pPr>
      <w:r>
        <w:rPr>
          <w:rFonts w:ascii="Times New Roman" w:hAnsi="Times New Roman" w:eastAsia="宋体" w:cs="Times New Roman"/>
          <w:bCs/>
          <w:color w:val="auto"/>
          <w:sz w:val="28"/>
        </w:rPr>
        <w:t xml:space="preserve">编制单位法人代表: </w:t>
      </w:r>
      <w:r>
        <w:rPr>
          <w:rFonts w:hint="eastAsia" w:ascii="Times New Roman" w:hAnsi="Times New Roman" w:eastAsia="宋体" w:cs="Times New Roman"/>
          <w:bCs/>
          <w:color w:val="auto"/>
          <w:sz w:val="28"/>
          <w:lang w:val="en-US" w:eastAsia="zh-CN"/>
        </w:rPr>
        <w:t>许辉城</w:t>
      </w:r>
    </w:p>
    <w:p>
      <w:pPr>
        <w:spacing w:line="360" w:lineRule="auto"/>
        <w:rPr>
          <w:rFonts w:ascii="Times New Roman" w:hAnsi="Times New Roman" w:eastAsia="宋体" w:cs="Times New Roman"/>
          <w:bCs/>
          <w:color w:val="auto"/>
          <w:sz w:val="28"/>
        </w:rPr>
      </w:pPr>
      <w:r>
        <w:rPr>
          <w:rFonts w:ascii="Times New Roman" w:hAnsi="Times New Roman" w:eastAsia="宋体" w:cs="Times New Roman"/>
          <w:bCs/>
          <w:color w:val="auto"/>
          <w:sz w:val="28"/>
        </w:rPr>
        <w:t xml:space="preserve">        </w:t>
      </w:r>
    </w:p>
    <w:p>
      <w:pPr>
        <w:spacing w:line="360" w:lineRule="auto"/>
        <w:rPr>
          <w:rFonts w:hint="default" w:ascii="Times New Roman" w:hAnsi="Times New Roman" w:eastAsia="宋体" w:cs="Times New Roman"/>
          <w:bCs/>
          <w:color w:val="auto"/>
          <w:sz w:val="28"/>
          <w:lang w:val="en-US" w:eastAsia="zh-CN"/>
        </w:rPr>
      </w:pPr>
      <w:r>
        <w:rPr>
          <w:rFonts w:ascii="Times New Roman" w:hAnsi="Times New Roman" w:eastAsia="宋体" w:cs="Times New Roman"/>
          <w:bCs/>
          <w:color w:val="auto"/>
          <w:sz w:val="28"/>
        </w:rPr>
        <w:t xml:space="preserve">项目负责人: </w:t>
      </w:r>
      <w:r>
        <w:rPr>
          <w:rFonts w:hint="eastAsia" w:ascii="Times New Roman" w:hAnsi="Times New Roman" w:eastAsia="宋体" w:cs="Times New Roman"/>
          <w:bCs/>
          <w:color w:val="auto"/>
          <w:sz w:val="28"/>
          <w:lang w:val="en-US" w:eastAsia="zh-CN"/>
        </w:rPr>
        <w:t>尹安平</w:t>
      </w:r>
    </w:p>
    <w:p>
      <w:pPr>
        <w:spacing w:line="360" w:lineRule="auto"/>
        <w:rPr>
          <w:rFonts w:hint="eastAsia" w:ascii="Times New Roman" w:hAnsi="Times New Roman" w:eastAsia="宋体" w:cs="Times New Roman"/>
          <w:bCs/>
          <w:color w:val="auto"/>
          <w:sz w:val="28"/>
          <w:lang w:val="en-US" w:eastAsia="zh-CN"/>
        </w:rPr>
      </w:pPr>
    </w:p>
    <w:p>
      <w:pPr>
        <w:spacing w:line="360" w:lineRule="auto"/>
        <w:rPr>
          <w:rFonts w:hint="default" w:ascii="Times New Roman" w:hAnsi="Times New Roman" w:eastAsia="宋体" w:cs="Times New Roman"/>
          <w:bCs/>
          <w:color w:val="auto"/>
          <w:sz w:val="28"/>
          <w:lang w:val="en-US" w:eastAsia="zh-CN"/>
        </w:rPr>
      </w:pPr>
      <w:r>
        <w:rPr>
          <w:rFonts w:ascii="Times New Roman" w:hAnsi="Times New Roman" w:eastAsia="宋体" w:cs="Times New Roman"/>
          <w:bCs/>
          <w:color w:val="auto"/>
          <w:sz w:val="28"/>
        </w:rPr>
        <w:t>填表人：</w:t>
      </w:r>
      <w:r>
        <w:rPr>
          <w:rFonts w:hint="eastAsia" w:ascii="Times New Roman" w:hAnsi="Times New Roman" w:eastAsia="宋体" w:cs="Times New Roman"/>
          <w:bCs/>
          <w:color w:val="auto"/>
          <w:sz w:val="28"/>
          <w:lang w:val="en-US" w:eastAsia="zh-CN"/>
        </w:rPr>
        <w:t>尹安平</w:t>
      </w:r>
    </w:p>
    <w:p>
      <w:pPr>
        <w:spacing w:line="360" w:lineRule="auto"/>
        <w:rPr>
          <w:rFonts w:ascii="Times New Roman" w:hAnsi="Times New Roman" w:eastAsia="宋体" w:cs="Times New Roman"/>
          <w:color w:val="0000FF"/>
          <w:sz w:val="28"/>
        </w:rPr>
      </w:pPr>
      <w:r>
        <w:rPr>
          <w:rFonts w:ascii="Times New Roman" w:hAnsi="Times New Roman" w:eastAsia="宋体" w:cs="Times New Roman"/>
          <w:color w:val="0000FF"/>
          <w:sz w:val="28"/>
        </w:rPr>
        <w:tab/>
      </w: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pStyle w:val="25"/>
        <w:rPr>
          <w:rFonts w:ascii="Times New Roman" w:hAnsi="Times New Roman" w:eastAsia="宋体" w:cs="Times New Roman"/>
          <w:color w:val="0000FF"/>
          <w:sz w:val="28"/>
        </w:rPr>
      </w:pPr>
    </w:p>
    <w:p>
      <w:pPr>
        <w:spacing w:line="360" w:lineRule="auto"/>
        <w:rPr>
          <w:rFonts w:ascii="Times New Roman" w:hAnsi="Times New Roman" w:eastAsia="宋体" w:cs="Times New Roman"/>
          <w:color w:val="0000FF"/>
          <w:sz w:val="28"/>
        </w:rPr>
      </w:pPr>
    </w:p>
    <w:tbl>
      <w:tblPr>
        <w:tblStyle w:val="27"/>
        <w:tblW w:w="9510" w:type="dxa"/>
        <w:tblInd w:w="-25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0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建设单位：</w:t>
            </w:r>
          </w:p>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福建省皇牌食品有限公司</w:t>
            </w:r>
          </w:p>
        </w:tc>
        <w:tc>
          <w:tcPr>
            <w:tcW w:w="4710" w:type="dxa"/>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编制单位：</w:t>
            </w:r>
          </w:p>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福建省皇牌食品有限公司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电话:13902771478</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电话:13902771478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传真:     /</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传真: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default"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邮编:</w:t>
            </w:r>
          </w:p>
        </w:tc>
        <w:tc>
          <w:tcPr>
            <w:tcW w:w="4710" w:type="dxa"/>
            <w:vAlign w:val="top"/>
          </w:tcPr>
          <w:p>
            <w:pPr>
              <w:widowControl/>
              <w:tabs>
                <w:tab w:val="left" w:pos="984"/>
              </w:tabs>
              <w:spacing w:line="360" w:lineRule="auto"/>
              <w:jc w:val="both"/>
              <w:rPr>
                <w:rFonts w:hint="default"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00" w:type="dxa"/>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 xml:space="preserve">地址: </w:t>
            </w:r>
          </w:p>
          <w:p>
            <w:pPr>
              <w:widowControl/>
              <w:tabs>
                <w:tab w:val="left" w:pos="984"/>
              </w:tabs>
              <w:spacing w:line="360" w:lineRule="auto"/>
              <w:jc w:val="both"/>
              <w:rPr>
                <w:rFonts w:hint="default"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福建省漳州市诏安金都工业集中区</w:t>
            </w:r>
          </w:p>
        </w:tc>
        <w:tc>
          <w:tcPr>
            <w:tcW w:w="4710" w:type="dxa"/>
            <w:vAlign w:val="top"/>
          </w:tcPr>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 xml:space="preserve">地址: </w:t>
            </w:r>
          </w:p>
          <w:p>
            <w:pPr>
              <w:widowControl/>
              <w:tabs>
                <w:tab w:val="left" w:pos="984"/>
              </w:tabs>
              <w:spacing w:line="360" w:lineRule="auto"/>
              <w:jc w:val="both"/>
              <w:rPr>
                <w:rFonts w:hint="eastAsia" w:ascii="Times New Roman" w:hAnsi="Times New Roman" w:eastAsia="宋体" w:cs="Times New Roman"/>
                <w:color w:val="auto"/>
                <w:sz w:val="28"/>
                <w:lang w:val="en-US" w:eastAsia="zh-CN"/>
              </w:rPr>
            </w:pPr>
            <w:r>
              <w:rPr>
                <w:rFonts w:hint="eastAsia" w:ascii="Times New Roman" w:hAnsi="Times New Roman" w:eastAsia="宋体" w:cs="Times New Roman"/>
                <w:color w:val="auto"/>
                <w:sz w:val="28"/>
                <w:lang w:val="en-US" w:eastAsia="zh-CN"/>
              </w:rPr>
              <w:t>福建省漳州市诏安金都工业集中区</w:t>
            </w:r>
          </w:p>
        </w:tc>
      </w:tr>
    </w:tbl>
    <w:p>
      <w:pPr>
        <w:outlineLvl w:val="0"/>
        <w:rPr>
          <w:rFonts w:ascii="Times New Roman" w:hAnsi="Times New Roman" w:eastAsia="宋体" w:cs="Times New Roman"/>
          <w:b/>
          <w:color w:val="0000FF"/>
          <w:sz w:val="21"/>
          <w:szCs w:val="21"/>
        </w:rPr>
      </w:pPr>
    </w:p>
    <w:p>
      <w:pPr>
        <w:outlineLvl w:val="0"/>
        <w:rPr>
          <w:rFonts w:ascii="Times New Roman" w:hAnsi="Times New Roman" w:eastAsia="宋体" w:cs="Times New Roman"/>
          <w:b/>
          <w:color w:val="0000FF"/>
          <w:sz w:val="21"/>
          <w:szCs w:val="21"/>
        </w:rPr>
      </w:pPr>
    </w:p>
    <w:p>
      <w:pPr>
        <w:outlineLvl w:val="0"/>
        <w:rPr>
          <w:rFonts w:ascii="Times New Roman" w:hAnsi="Times New Roman" w:eastAsia="宋体" w:cs="Times New Roman"/>
          <w:color w:val="auto"/>
          <w:sz w:val="21"/>
          <w:szCs w:val="21"/>
        </w:rPr>
      </w:pPr>
      <w:r>
        <w:rPr>
          <w:rFonts w:ascii="Times New Roman" w:hAnsi="Times New Roman" w:eastAsia="宋体" w:cs="Times New Roman"/>
          <w:b/>
          <w:color w:val="auto"/>
          <w:sz w:val="21"/>
          <w:szCs w:val="21"/>
        </w:rPr>
        <w:t>表一</w:t>
      </w:r>
    </w:p>
    <w:tbl>
      <w:tblPr>
        <w:tblStyle w:val="26"/>
        <w:tblW w:w="89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2441"/>
        <w:gridCol w:w="1755"/>
        <w:gridCol w:w="1273"/>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7269" w:type="dxa"/>
            <w:gridSpan w:val="5"/>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调味料、塑料制品生产项目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建设单位名称</w:t>
            </w:r>
          </w:p>
        </w:tc>
        <w:tc>
          <w:tcPr>
            <w:tcW w:w="7269" w:type="dxa"/>
            <w:gridSpan w:val="5"/>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福建省皇牌食品有限公司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建设项目性质</w:t>
            </w:r>
          </w:p>
        </w:tc>
        <w:tc>
          <w:tcPr>
            <w:tcW w:w="7269" w:type="dxa"/>
            <w:gridSpan w:val="5"/>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7269" w:type="dxa"/>
            <w:gridSpan w:val="5"/>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福建省漳州市</w:t>
            </w:r>
            <w:r>
              <w:rPr>
                <w:rFonts w:hint="eastAsia" w:ascii="Times New Roman" w:hAnsi="Times New Roman" w:eastAsia="宋体" w:cs="Times New Roman"/>
                <w:color w:val="auto"/>
                <w:sz w:val="21"/>
                <w:szCs w:val="21"/>
                <w:lang w:val="en-US" w:eastAsia="zh-CN"/>
              </w:rPr>
              <w:t>诏安金都工业集中区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主要产品名称</w:t>
            </w:r>
          </w:p>
        </w:tc>
        <w:tc>
          <w:tcPr>
            <w:tcW w:w="7269" w:type="dxa"/>
            <w:gridSpan w:val="5"/>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调味料、塑料制品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建设规模</w:t>
            </w:r>
          </w:p>
        </w:tc>
        <w:tc>
          <w:tcPr>
            <w:tcW w:w="7269" w:type="dxa"/>
            <w:gridSpan w:val="5"/>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年生产沙茶酱5000吨、辣椒酱1000吨、塑料制品50吨，年仓储、装卸塑料制品、食品罐头2万吨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实际产能</w:t>
            </w:r>
          </w:p>
        </w:tc>
        <w:tc>
          <w:tcPr>
            <w:tcW w:w="7269" w:type="dxa"/>
            <w:gridSpan w:val="5"/>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年生产沙茶酱5000吨、辣椒酱1000吨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建设项目环评时间</w:t>
            </w:r>
          </w:p>
        </w:tc>
        <w:tc>
          <w:tcPr>
            <w:tcW w:w="2441" w:type="dxa"/>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eastAsia="zh-CN"/>
              </w:rPr>
              <w:t>年</w:t>
            </w:r>
            <w:r>
              <w:rPr>
                <w:rFonts w:hint="eastAsia" w:ascii="Times New Roman" w:hAnsi="Times New Roman" w:eastAsia="宋体" w:cs="Times New Roman"/>
                <w:color w:val="auto"/>
                <w:sz w:val="21"/>
                <w:szCs w:val="21"/>
                <w:lang w:val="en-US" w:eastAsia="zh-CN"/>
              </w:rPr>
              <w:t>12</w:t>
            </w:r>
            <w:r>
              <w:rPr>
                <w:rFonts w:hint="default" w:ascii="Times New Roman" w:hAnsi="Times New Roman" w:eastAsia="宋体" w:cs="Times New Roman"/>
                <w:color w:val="auto"/>
                <w:sz w:val="21"/>
                <w:szCs w:val="21"/>
                <w:lang w:eastAsia="zh-CN"/>
              </w:rPr>
              <w:t>月</w:t>
            </w:r>
          </w:p>
        </w:tc>
        <w:tc>
          <w:tcPr>
            <w:tcW w:w="17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开工建设时间</w:t>
            </w:r>
          </w:p>
        </w:tc>
        <w:tc>
          <w:tcPr>
            <w:tcW w:w="3073" w:type="dxa"/>
            <w:gridSpan w:val="3"/>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20</w:t>
            </w:r>
            <w:r>
              <w:rPr>
                <w:rFonts w:hint="eastAsia"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sz w:val="21"/>
                <w:szCs w:val="21"/>
                <w:lang w:eastAsia="zh-CN"/>
              </w:rPr>
              <w:t>年</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竣工时间</w:t>
            </w:r>
          </w:p>
        </w:tc>
        <w:tc>
          <w:tcPr>
            <w:tcW w:w="2441"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w:t>
            </w:r>
            <w:r>
              <w:rPr>
                <w:rFonts w:hint="eastAsia" w:ascii="Times New Roman" w:hAnsi="Times New Roman" w:eastAsia="宋体" w:cs="Times New Roman"/>
                <w:color w:val="auto"/>
                <w:sz w:val="21"/>
                <w:szCs w:val="21"/>
                <w:lang w:val="en-US" w:eastAsia="zh-CN"/>
              </w:rPr>
              <w:t>21</w:t>
            </w:r>
            <w:r>
              <w:rPr>
                <w:rFonts w:hint="default" w:ascii="Times New Roman" w:hAnsi="Times New Roman" w:eastAsia="宋体" w:cs="Times New Roman"/>
                <w:color w:val="auto"/>
                <w:sz w:val="21"/>
                <w:szCs w:val="21"/>
                <w:lang w:val="en-US" w:eastAsia="zh-CN"/>
              </w:rPr>
              <w:t>年</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月</w:t>
            </w:r>
          </w:p>
        </w:tc>
        <w:tc>
          <w:tcPr>
            <w:tcW w:w="175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验收现场监测</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时间</w:t>
            </w:r>
          </w:p>
        </w:tc>
        <w:tc>
          <w:tcPr>
            <w:tcW w:w="3073" w:type="dxa"/>
            <w:gridSpan w:val="3"/>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2021.10.16-2021.10.17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4" w:hRule="atLeast"/>
        </w:trPr>
        <w:tc>
          <w:tcPr>
            <w:tcW w:w="165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环评报告表</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审批部门</w:t>
            </w:r>
          </w:p>
        </w:tc>
        <w:tc>
          <w:tcPr>
            <w:tcW w:w="2441"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漳州市</w:t>
            </w:r>
            <w:r>
              <w:rPr>
                <w:rFonts w:hint="eastAsia" w:ascii="Times New Roman" w:hAnsi="Times New Roman" w:eastAsia="宋体" w:cs="Times New Roman"/>
                <w:color w:val="auto"/>
                <w:sz w:val="21"/>
                <w:szCs w:val="21"/>
                <w:lang w:val="en-US" w:eastAsia="zh-CN"/>
              </w:rPr>
              <w:t>诏安</w:t>
            </w:r>
            <w:r>
              <w:rPr>
                <w:rFonts w:hint="default" w:ascii="Times New Roman" w:hAnsi="Times New Roman" w:eastAsia="宋体" w:cs="Times New Roman"/>
                <w:color w:val="auto"/>
                <w:sz w:val="21"/>
                <w:szCs w:val="21"/>
                <w:lang w:val="en-US" w:eastAsia="zh-CN"/>
              </w:rPr>
              <w:t>生态环境局</w:t>
            </w:r>
          </w:p>
        </w:tc>
        <w:tc>
          <w:tcPr>
            <w:tcW w:w="1755" w:type="dxa"/>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环评报告表</w:t>
            </w:r>
          </w:p>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编制单位</w:t>
            </w:r>
          </w:p>
        </w:tc>
        <w:tc>
          <w:tcPr>
            <w:tcW w:w="3073" w:type="dxa"/>
            <w:gridSpan w:val="3"/>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泉州市天龙环境工程有限公司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环保设施设计单位</w:t>
            </w:r>
          </w:p>
        </w:tc>
        <w:tc>
          <w:tcPr>
            <w:tcW w:w="244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自建</w:t>
            </w:r>
          </w:p>
        </w:tc>
        <w:tc>
          <w:tcPr>
            <w:tcW w:w="17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环保设施施工</w:t>
            </w:r>
          </w:p>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3073" w:type="dxa"/>
            <w:gridSpan w:val="3"/>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自建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投资总概算</w:t>
            </w:r>
          </w:p>
        </w:tc>
        <w:tc>
          <w:tcPr>
            <w:tcW w:w="244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000万元</w:t>
            </w:r>
          </w:p>
        </w:tc>
        <w:tc>
          <w:tcPr>
            <w:tcW w:w="17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环保投资总概算</w:t>
            </w:r>
          </w:p>
        </w:tc>
        <w:tc>
          <w:tcPr>
            <w:tcW w:w="1273" w:type="dxa"/>
            <w:vAlign w:val="center"/>
          </w:tcPr>
          <w:p>
            <w:pPr>
              <w:spacing w:line="240" w:lineRule="auto"/>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22</w:t>
            </w:r>
            <w:r>
              <w:rPr>
                <w:rFonts w:hint="default" w:ascii="Times New Roman" w:hAnsi="Times New Roman" w:eastAsia="宋体" w:cs="Times New Roman"/>
                <w:color w:val="auto"/>
                <w:sz w:val="21"/>
                <w:szCs w:val="21"/>
                <w:lang w:val="en-US" w:eastAsia="zh-CN"/>
              </w:rPr>
              <w:t>万元</w:t>
            </w:r>
          </w:p>
        </w:tc>
        <w:tc>
          <w:tcPr>
            <w:tcW w:w="7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比例</w:t>
            </w:r>
          </w:p>
        </w:tc>
        <w:tc>
          <w:tcPr>
            <w:tcW w:w="1035" w:type="dxa"/>
            <w:vAlign w:val="center"/>
          </w:tcPr>
          <w:p>
            <w:pPr>
              <w:spacing w:line="240" w:lineRule="auto"/>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0.2</w:t>
            </w: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实际总概算</w:t>
            </w:r>
          </w:p>
        </w:tc>
        <w:tc>
          <w:tcPr>
            <w:tcW w:w="2441"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000万元</w:t>
            </w:r>
          </w:p>
        </w:tc>
        <w:tc>
          <w:tcPr>
            <w:tcW w:w="17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环保投资</w:t>
            </w:r>
          </w:p>
        </w:tc>
        <w:tc>
          <w:tcPr>
            <w:tcW w:w="1273"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万元</w:t>
            </w:r>
          </w:p>
        </w:tc>
        <w:tc>
          <w:tcPr>
            <w:tcW w:w="76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比例</w:t>
            </w:r>
          </w:p>
        </w:tc>
        <w:tc>
          <w:tcPr>
            <w:tcW w:w="1035" w:type="dxa"/>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0.2</w:t>
            </w:r>
            <w:r>
              <w:rPr>
                <w:rFonts w:hint="default" w:ascii="Times New Roman" w:hAnsi="Times New Roman" w:eastAsia="宋体"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37" w:hRule="atLeast"/>
        </w:trPr>
        <w:tc>
          <w:tcPr>
            <w:tcW w:w="1655" w:type="dxa"/>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验收监测依据</w:t>
            </w:r>
          </w:p>
        </w:tc>
        <w:tc>
          <w:tcPr>
            <w:tcW w:w="7269" w:type="dxa"/>
            <w:gridSpan w:val="5"/>
            <w:vAlign w:val="center"/>
          </w:tcPr>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1、《建设项目竣工环境保护验收暂行办法》国环规环评</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2017</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4号；</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2、《建设项目环境保护管理条例》修订（第682号令）；</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3、《建设项目竣工环境保护验收技术指南污染影响类》；</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4、《中华人民共和国环境保护法》，2014 年4 月24 日修订；</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5、《中华人民共和国环境影响评价法》，201</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 xml:space="preserve"> 年修订；</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6、《中华人民共和国大气污染防治法》，201</w:t>
            </w: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 xml:space="preserve"> 年修订；</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7、《中华人民共和国环境噪声污染防治法》，</w:t>
            </w:r>
            <w:r>
              <w:rPr>
                <w:rFonts w:hint="default" w:ascii="Times New Roman" w:hAnsi="Times New Roman" w:eastAsia="宋体" w:cs="Times New Roman"/>
                <w:color w:val="auto"/>
                <w:sz w:val="21"/>
                <w:szCs w:val="21"/>
                <w:lang w:val="en-US" w:eastAsia="zh-CN"/>
              </w:rPr>
              <w:t>2018</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修订</w:t>
            </w:r>
            <w:r>
              <w:rPr>
                <w:rFonts w:hint="default" w:ascii="Times New Roman" w:hAnsi="Times New Roman" w:eastAsia="宋体" w:cs="Times New Roman"/>
                <w:color w:val="auto"/>
                <w:sz w:val="21"/>
                <w:szCs w:val="21"/>
              </w:rPr>
              <w:t>；</w:t>
            </w:r>
          </w:p>
          <w:p>
            <w:pPr>
              <w:pStyle w:val="2"/>
              <w:spacing w:line="360" w:lineRule="auto"/>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《中华人民共和国</w:t>
            </w:r>
            <w:r>
              <w:rPr>
                <w:rFonts w:hint="default" w:ascii="Times New Roman" w:hAnsi="Times New Roman" w:eastAsia="宋体" w:cs="Times New Roman"/>
                <w:color w:val="auto"/>
                <w:sz w:val="21"/>
                <w:szCs w:val="21"/>
                <w:lang w:val="en-US" w:eastAsia="zh-CN"/>
              </w:rPr>
              <w:t>水环境</w:t>
            </w:r>
            <w:r>
              <w:rPr>
                <w:rFonts w:hint="default" w:ascii="Times New Roman" w:hAnsi="Times New Roman" w:eastAsia="宋体" w:cs="Times New Roman"/>
                <w:color w:val="auto"/>
                <w:sz w:val="21"/>
                <w:szCs w:val="21"/>
              </w:rPr>
              <w:t>污染防治法》，</w:t>
            </w:r>
            <w:r>
              <w:rPr>
                <w:rFonts w:hint="default" w:ascii="Times New Roman" w:hAnsi="Times New Roman" w:eastAsia="宋体" w:cs="Times New Roman"/>
                <w:color w:val="auto"/>
                <w:sz w:val="21"/>
                <w:szCs w:val="21"/>
                <w:lang w:val="en-US" w:eastAsia="zh-CN"/>
              </w:rPr>
              <w:t>2017</w:t>
            </w:r>
            <w:r>
              <w:rPr>
                <w:rFonts w:hint="default" w:ascii="Times New Roman" w:hAnsi="Times New Roman" w:eastAsia="宋体" w:cs="Times New Roman"/>
                <w:color w:val="auto"/>
                <w:sz w:val="21"/>
                <w:szCs w:val="21"/>
              </w:rPr>
              <w:t>年</w:t>
            </w:r>
            <w:r>
              <w:rPr>
                <w:rFonts w:hint="default" w:ascii="Times New Roman" w:hAnsi="Times New Roman" w:eastAsia="宋体" w:cs="Times New Roman"/>
                <w:color w:val="auto"/>
                <w:sz w:val="21"/>
                <w:szCs w:val="21"/>
                <w:lang w:val="en-US" w:eastAsia="zh-CN"/>
              </w:rPr>
              <w:t>修订</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、《中华人民共和国固体废物污染环境防治法》，</w:t>
            </w:r>
            <w:r>
              <w:rPr>
                <w:rFonts w:hint="default" w:ascii="Times New Roman" w:hAnsi="Times New Roman" w:eastAsia="宋体" w:cs="Times New Roman"/>
                <w:color w:val="auto"/>
                <w:sz w:val="21"/>
                <w:szCs w:val="21"/>
                <w:lang w:val="en-US" w:eastAsia="zh-CN"/>
              </w:rPr>
              <w:t>2020</w:t>
            </w:r>
            <w:r>
              <w:rPr>
                <w:rFonts w:hint="default" w:ascii="Times New Roman" w:hAnsi="Times New Roman" w:eastAsia="宋体" w:cs="Times New Roman"/>
                <w:color w:val="auto"/>
                <w:sz w:val="21"/>
                <w:szCs w:val="21"/>
              </w:rPr>
              <w:t xml:space="preserve"> 年修订；</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、《中华人民共和国清洁生产促进法》，2012 年修正；</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、《产业结构调整指导目录（201</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年本）》（201</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 xml:space="preserve"> 年修正）；</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、《福建省环境保护条例》，2012 年3 月31 日实施。</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调味料、塑料制品生产项目</w:t>
            </w:r>
            <w:r>
              <w:rPr>
                <w:rFonts w:hint="default" w:ascii="Times New Roman" w:hAnsi="Times New Roman" w:eastAsia="宋体" w:cs="Times New Roman"/>
                <w:color w:val="auto"/>
                <w:sz w:val="21"/>
                <w:szCs w:val="21"/>
              </w:rPr>
              <w:t>环境影响报告表》；</w:t>
            </w:r>
          </w:p>
          <w:p>
            <w:pPr>
              <w:spacing w:line="360" w:lineRule="auto"/>
              <w:ind w:left="420" w:hanging="420" w:hanging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漳州市</w:t>
            </w:r>
            <w:r>
              <w:rPr>
                <w:rFonts w:hint="eastAsia" w:ascii="Times New Roman" w:hAnsi="Times New Roman" w:eastAsia="宋体" w:cs="Times New Roman"/>
                <w:color w:val="auto"/>
                <w:sz w:val="21"/>
                <w:szCs w:val="21"/>
                <w:lang w:val="en-US" w:eastAsia="zh-CN"/>
              </w:rPr>
              <w:t>诏安</w:t>
            </w:r>
            <w:r>
              <w:rPr>
                <w:rFonts w:hint="default" w:ascii="Times New Roman" w:hAnsi="Times New Roman" w:eastAsia="宋体" w:cs="Times New Roman"/>
                <w:color w:val="auto"/>
                <w:sz w:val="21"/>
                <w:szCs w:val="21"/>
                <w:lang w:val="en-US" w:eastAsia="zh-CN"/>
              </w:rPr>
              <w:t>生态环境局</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调味料、塑料制品生产项目</w:t>
            </w:r>
            <w:r>
              <w:rPr>
                <w:rFonts w:hint="default" w:ascii="Times New Roman" w:hAnsi="Times New Roman" w:eastAsia="宋体" w:cs="Times New Roman"/>
                <w:color w:val="auto"/>
                <w:sz w:val="21"/>
                <w:szCs w:val="21"/>
              </w:rPr>
              <w:t>环境影响评价报告表》的批复；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130" w:hRule="atLeast"/>
        </w:trPr>
        <w:tc>
          <w:tcPr>
            <w:tcW w:w="1655" w:type="dxa"/>
            <w:vAlign w:val="center"/>
          </w:tcPr>
          <w:p>
            <w:pPr>
              <w:spacing w:line="240" w:lineRule="auto"/>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auto"/>
                <w:sz w:val="21"/>
                <w:szCs w:val="21"/>
              </w:rPr>
              <w:t>验收监测评价标准、标号、级别、限值</w:t>
            </w:r>
          </w:p>
        </w:tc>
        <w:tc>
          <w:tcPr>
            <w:tcW w:w="7269" w:type="dxa"/>
            <w:gridSpan w:val="5"/>
            <w:vAlign w:val="center"/>
          </w:tcPr>
          <w:p>
            <w:pPr>
              <w:adjustRightInd w:val="0"/>
              <w:snapToGrid w:val="0"/>
              <w:spacing w:line="240" w:lineRule="auto"/>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《工业企业厂界环境噪声排放标准》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）3类标准，即昼间65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dB（A）</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，夜间55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dB（A）</w:t>
            </w:r>
          </w:p>
          <w:p>
            <w:pPr>
              <w:adjustRightInd w:val="0"/>
              <w:snapToGrid w:val="0"/>
              <w:spacing w:line="240" w:lineRule="auto"/>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《污水综合排放标准》（GB8978</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1996）中表4的三级排放标准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，即：pH值6-9，COD≤500mg/L，BOD5≤300mg/L，SS≤400mg/L</w:t>
            </w:r>
          </w:p>
          <w:p>
            <w:pPr>
              <w:pStyle w:val="25"/>
              <w:numPr>
                <w:ilvl w:val="0"/>
                <w:numId w:val="0"/>
              </w:numPr>
              <w:spacing w:after="60" w:line="240" w:lineRule="auto"/>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《污水排入城镇下水道水质标准》（GB/T 31962-2015）表1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A级</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，即：氨氮≤45mg/</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L</w:t>
            </w:r>
          </w:p>
          <w:p>
            <w:pPr>
              <w:pStyle w:val="25"/>
              <w:numPr>
                <w:ilvl w:val="0"/>
                <w:numId w:val="0"/>
              </w:numPr>
              <w:spacing w:after="60" w:line="240" w:lineRule="auto"/>
              <w:jc w:val="both"/>
              <w:rPr>
                <w:rFonts w:hint="default" w:ascii="Times New Roman" w:hAnsi="Times New Roman" w:eastAsia="宋体" w:cs="Times New Roman"/>
                <w:kern w:val="1"/>
                <w:sz w:val="21"/>
                <w:szCs w:val="21"/>
                <w:vertAlign w:val="superscript"/>
                <w:lang w:bidi="ar"/>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color w:val="000000"/>
                <w:sz w:val="21"/>
                <w:szCs w:val="21"/>
              </w:rPr>
              <w:t>《饮食业油烟排放标准》（试行）（GB18483-2001）</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即：油烟废气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kern w:val="1"/>
                <w:sz w:val="21"/>
                <w:szCs w:val="21"/>
                <w:lang w:bidi="ar"/>
              </w:rPr>
              <w:t>mg/m</w:t>
            </w:r>
            <w:r>
              <w:rPr>
                <w:rFonts w:hint="default" w:ascii="Times New Roman" w:hAnsi="Times New Roman" w:eastAsia="宋体" w:cs="Times New Roman"/>
                <w:kern w:val="1"/>
                <w:sz w:val="21"/>
                <w:szCs w:val="21"/>
                <w:vertAlign w:val="superscript"/>
                <w:lang w:bidi="ar"/>
              </w:rPr>
              <w:t>3</w:t>
            </w:r>
          </w:p>
          <w:p>
            <w:pPr>
              <w:pStyle w:val="25"/>
              <w:numPr>
                <w:ilvl w:val="0"/>
                <w:numId w:val="0"/>
              </w:numPr>
              <w:spacing w:after="60" w:line="240" w:lineRule="auto"/>
              <w:jc w:val="both"/>
              <w:rPr>
                <w:rFonts w:hint="default" w:ascii="Times New Roman" w:hAnsi="Times New Roman" w:eastAsia="宋体" w:cs="Times New Roman"/>
                <w:kern w:val="1"/>
                <w:sz w:val="21"/>
                <w:szCs w:val="21"/>
                <w:vertAlign w:val="superscript"/>
                <w:lang w:val="en-US" w:eastAsia="zh-CN" w:bidi="ar"/>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r>
              <w:rPr>
                <w:rFonts w:hint="eastAsia"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rPr>
              <w:t>恶臭污染物排放标准</w:t>
            </w:r>
            <w:r>
              <w:rPr>
                <w:rFonts w:hint="eastAsia" w:ascii="Times New Roman" w:hAnsi="Times New Roman" w:eastAsia="宋体" w:cs="Times New Roman"/>
                <w:color w:val="000000"/>
                <w:sz w:val="21"/>
                <w:szCs w:val="21"/>
                <w:lang w:val="en-US" w:eastAsia="zh-CN"/>
              </w:rPr>
              <w:t>》</w:t>
            </w:r>
            <w:r>
              <w:rPr>
                <w:rFonts w:hint="eastAsia" w:ascii="Times New Roman" w:hAnsi="Times New Roman" w:eastAsia="宋体" w:cs="Times New Roman"/>
                <w:color w:val="000000"/>
                <w:sz w:val="21"/>
                <w:szCs w:val="21"/>
              </w:rPr>
              <w:t>（GB14554-93）</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即：</w:t>
            </w:r>
            <w:r>
              <w:rPr>
                <w:rFonts w:hint="eastAsia" w:ascii="Times New Roman" w:hAnsi="Times New Roman" w:eastAsia="宋体" w:cs="Times New Roman"/>
                <w:color w:val="000000"/>
                <w:sz w:val="21"/>
                <w:szCs w:val="21"/>
                <w:lang w:val="en-US" w:eastAsia="zh-CN"/>
              </w:rPr>
              <w:t>臭气浓度</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无量纲</w:t>
            </w:r>
          </w:p>
        </w:tc>
      </w:tr>
    </w:tbl>
    <w:p>
      <w:pPr>
        <w:outlineLvl w:val="0"/>
        <w:rPr>
          <w:rFonts w:ascii="Times New Roman" w:hAnsi="Times New Roman" w:eastAsia="宋体" w:cs="Times New Roman"/>
          <w:color w:val="0000FF"/>
          <w:sz w:val="21"/>
          <w:szCs w:val="21"/>
        </w:rPr>
        <w:sectPr>
          <w:footerReference r:id="rId4" w:type="default"/>
          <w:pgSz w:w="11906" w:h="16838"/>
          <w:pgMar w:top="1440" w:right="1440" w:bottom="1440" w:left="1701" w:header="709" w:footer="709" w:gutter="0"/>
          <w:pgBorders>
            <w:top w:val="none" w:sz="0" w:space="0"/>
            <w:left w:val="none" w:sz="0" w:space="0"/>
            <w:bottom w:val="none" w:sz="0" w:space="0"/>
            <w:right w:val="none" w:sz="0" w:space="0"/>
          </w:pgBorders>
          <w:pgNumType w:start="1"/>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表二</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9" w:hRule="atLeast"/>
        </w:trPr>
        <w:tc>
          <w:tcPr>
            <w:tcW w:w="5000" w:type="pct"/>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 xml:space="preserve">工程建设内容： </w:t>
            </w:r>
          </w:p>
          <w:p>
            <w:pPr>
              <w:widowControl/>
              <w:numPr>
                <w:ilvl w:val="0"/>
                <w:numId w:val="1"/>
              </w:numPr>
              <w:spacing w:line="360" w:lineRule="auto"/>
              <w:ind w:firstLine="482" w:firstLineChars="200"/>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项目概况</w:t>
            </w:r>
          </w:p>
          <w:p>
            <w:pPr>
              <w:pStyle w:val="2"/>
              <w:keepNext w:val="0"/>
              <w:keepLines w:val="0"/>
              <w:pageBreakBefore w:val="0"/>
              <w:widowControl w:val="0"/>
              <w:kinsoku/>
              <w:wordWrap/>
              <w:overflowPunct/>
              <w:topLinePunct w:val="0"/>
              <w:autoSpaceDE/>
              <w:autoSpaceDN/>
              <w:bidi w:val="0"/>
              <w:adjustRightInd w:val="0"/>
              <w:snapToGrid w:val="0"/>
              <w:spacing w:line="360" w:lineRule="auto"/>
              <w:ind w:right="0" w:firstLine="448" w:firstLineChars="200"/>
              <w:jc w:val="left"/>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福建金平实业有限公司选址于诏安金都工业集中区，总投资约为11000万元，占地面积约153亩，主要从事调味料、塑料制品的生产及普通货物的仓储、物流。项目投产后，预计年可生产沙茶酱5000吨、辣椒酱1000吨、塑料制品50吨，年仓储、装卸塑料制品、食品罐头2万吨。</w:t>
            </w:r>
            <w:r>
              <w:rPr>
                <w:rFonts w:hint="default" w:ascii="Times New Roman" w:hAnsi="Times New Roman" w:eastAsia="宋体" w:cs="Times New Roman"/>
                <w:color w:val="auto"/>
                <w:sz w:val="24"/>
                <w:szCs w:val="24"/>
                <w:vertAlign w:val="baseline"/>
                <w:lang w:val="en-US" w:eastAsia="zh-CN"/>
              </w:rPr>
              <w:t>根据《中华人民共和国环境保护法》、《中华人民共和国环境影响评价法》和《建设项目环境保护管理条例》等有关环保法律、法规，</w:t>
            </w:r>
            <w:r>
              <w:rPr>
                <w:rFonts w:hint="eastAsia" w:ascii="Times New Roman" w:hAnsi="Times New Roman" w:eastAsia="宋体" w:cs="Times New Roman"/>
                <w:color w:val="auto"/>
                <w:sz w:val="24"/>
                <w:szCs w:val="24"/>
                <w:vertAlign w:val="baseline"/>
                <w:lang w:val="en-US" w:eastAsia="zh-CN"/>
              </w:rPr>
              <w:t>福建金平实业有限公司</w:t>
            </w:r>
            <w:r>
              <w:rPr>
                <w:rFonts w:hint="default" w:ascii="Times New Roman" w:hAnsi="Times New Roman" w:eastAsia="宋体" w:cs="Times New Roman"/>
                <w:color w:val="auto"/>
                <w:sz w:val="24"/>
                <w:szCs w:val="24"/>
                <w:vertAlign w:val="baseline"/>
                <w:lang w:val="en-US" w:eastAsia="zh-CN"/>
              </w:rPr>
              <w:t>需进行环境影响评价。于</w:t>
            </w:r>
            <w:r>
              <w:rPr>
                <w:rFonts w:hint="eastAsia" w:ascii="Times New Roman" w:hAnsi="Times New Roman" w:eastAsia="宋体" w:cs="Times New Roman"/>
                <w:color w:val="auto"/>
                <w:sz w:val="24"/>
                <w:szCs w:val="24"/>
                <w:vertAlign w:val="baseline"/>
                <w:lang w:val="en-US" w:eastAsia="zh-CN"/>
              </w:rPr>
              <w:t>2012年12月</w:t>
            </w:r>
            <w:r>
              <w:rPr>
                <w:rFonts w:hint="default" w:ascii="Times New Roman" w:hAnsi="Times New Roman" w:eastAsia="宋体" w:cs="Times New Roman"/>
                <w:color w:val="auto"/>
                <w:sz w:val="24"/>
                <w:szCs w:val="24"/>
                <w:vertAlign w:val="baseline"/>
                <w:lang w:val="en-US" w:eastAsia="zh-CN"/>
              </w:rPr>
              <w:t>委</w:t>
            </w:r>
            <w:r>
              <w:rPr>
                <w:rFonts w:hint="eastAsia" w:ascii="Times New Roman" w:hAnsi="Times New Roman" w:eastAsia="宋体" w:cs="Times New Roman"/>
                <w:color w:val="auto"/>
                <w:sz w:val="24"/>
                <w:szCs w:val="24"/>
                <w:vertAlign w:val="baseline"/>
                <w:lang w:val="en-US" w:eastAsia="zh-CN"/>
              </w:rPr>
              <w:t>泉州市天龙环境工程有限公司</w:t>
            </w:r>
            <w:r>
              <w:rPr>
                <w:rFonts w:hint="default" w:ascii="Times New Roman" w:hAnsi="Times New Roman" w:eastAsia="宋体" w:cs="Times New Roman"/>
                <w:color w:val="auto"/>
                <w:sz w:val="24"/>
                <w:szCs w:val="24"/>
                <w:vertAlign w:val="baseline"/>
                <w:lang w:val="en-US" w:eastAsia="zh-CN"/>
              </w:rPr>
              <w:t>编制《</w:t>
            </w:r>
            <w:r>
              <w:rPr>
                <w:rFonts w:hint="eastAsia" w:ascii="Times New Roman" w:hAnsi="Times New Roman" w:eastAsia="宋体" w:cs="Times New Roman"/>
                <w:color w:val="auto"/>
                <w:sz w:val="24"/>
                <w:szCs w:val="24"/>
                <w:vertAlign w:val="baseline"/>
                <w:lang w:val="en-US" w:eastAsia="zh-CN"/>
              </w:rPr>
              <w:t>调味料、塑料制品生产项目</w:t>
            </w:r>
            <w:r>
              <w:rPr>
                <w:rFonts w:hint="default" w:ascii="Times New Roman" w:hAnsi="Times New Roman" w:eastAsia="宋体" w:cs="Times New Roman"/>
                <w:color w:val="auto"/>
                <w:sz w:val="24"/>
                <w:szCs w:val="24"/>
                <w:vertAlign w:val="baseline"/>
                <w:lang w:val="en-US" w:eastAsia="zh-CN"/>
              </w:rPr>
              <w:t>环境影响报告表》，并于</w:t>
            </w:r>
            <w:r>
              <w:rPr>
                <w:rFonts w:hint="eastAsia" w:ascii="Times New Roman" w:hAnsi="Times New Roman" w:eastAsia="宋体" w:cs="Times New Roman"/>
                <w:color w:val="auto"/>
                <w:sz w:val="24"/>
                <w:szCs w:val="24"/>
                <w:vertAlign w:val="baseline"/>
                <w:lang w:val="en-US" w:eastAsia="zh-CN"/>
              </w:rPr>
              <w:t>2012年12月24日</w:t>
            </w:r>
            <w:r>
              <w:rPr>
                <w:rFonts w:hint="default" w:ascii="Times New Roman" w:hAnsi="Times New Roman" w:eastAsia="宋体" w:cs="Times New Roman"/>
                <w:color w:val="auto"/>
                <w:sz w:val="24"/>
                <w:szCs w:val="24"/>
                <w:vertAlign w:val="baseline"/>
                <w:lang w:val="en-US" w:eastAsia="zh-CN"/>
              </w:rPr>
              <w:t>通过</w:t>
            </w:r>
            <w:r>
              <w:rPr>
                <w:rFonts w:hint="eastAsia" w:ascii="Times New Roman" w:hAnsi="Times New Roman" w:eastAsia="宋体" w:cs="Times New Roman"/>
                <w:color w:val="auto"/>
                <w:sz w:val="24"/>
                <w:szCs w:val="24"/>
                <w:vertAlign w:val="baseline"/>
                <w:lang w:val="en-US" w:eastAsia="zh-CN"/>
              </w:rPr>
              <w:t>漳州市诏安生态环境局</w:t>
            </w:r>
            <w:r>
              <w:rPr>
                <w:rFonts w:hint="default" w:ascii="Times New Roman" w:hAnsi="Times New Roman" w:eastAsia="宋体" w:cs="Times New Roman"/>
                <w:color w:val="auto"/>
                <w:sz w:val="24"/>
                <w:szCs w:val="24"/>
                <w:vertAlign w:val="baseline"/>
                <w:lang w:val="en-US" w:eastAsia="zh-CN"/>
              </w:rPr>
              <w:t>审批，批复编号为：</w:t>
            </w:r>
            <w:r>
              <w:rPr>
                <w:rFonts w:hint="eastAsia" w:ascii="Times New Roman" w:hAnsi="Times New Roman" w:eastAsia="宋体" w:cs="Times New Roman"/>
                <w:color w:val="auto"/>
                <w:sz w:val="24"/>
                <w:szCs w:val="24"/>
                <w:vertAlign w:val="baseline"/>
                <w:lang w:val="en-US" w:eastAsia="zh-CN"/>
              </w:rPr>
              <w:t>诏环报20121218</w:t>
            </w:r>
            <w:r>
              <w:rPr>
                <w:rFonts w:hint="default" w:ascii="Times New Roman" w:hAnsi="Times New Roman" w:eastAsia="宋体" w:cs="Times New Roman"/>
                <w:color w:val="auto"/>
                <w:sz w:val="24"/>
                <w:szCs w:val="24"/>
                <w:vertAlign w:val="baseline"/>
                <w:lang w:val="en-US" w:eastAsia="zh-CN"/>
              </w:rPr>
              <w:t>。</w:t>
            </w:r>
          </w:p>
          <w:p>
            <w:pPr>
              <w:pStyle w:val="2"/>
              <w:keepNext w:val="0"/>
              <w:keepLines w:val="0"/>
              <w:pageBreakBefore w:val="0"/>
              <w:widowControl w:val="0"/>
              <w:kinsoku/>
              <w:wordWrap/>
              <w:overflowPunct/>
              <w:topLinePunct w:val="0"/>
              <w:autoSpaceDE/>
              <w:autoSpaceDN/>
              <w:bidi w:val="0"/>
              <w:adjustRightInd w:val="0"/>
              <w:snapToGrid w:val="0"/>
              <w:spacing w:line="360" w:lineRule="auto"/>
              <w:ind w:right="0" w:firstLine="448" w:firstLineChars="200"/>
              <w:jc w:val="left"/>
              <w:textAlignment w:val="auto"/>
              <w:rPr>
                <w:rFonts w:hint="default"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福建金平实业有限公司</w:t>
            </w:r>
            <w:r>
              <w:rPr>
                <w:rFonts w:hint="default" w:ascii="Times New Roman" w:hAnsi="Times New Roman" w:eastAsia="宋体" w:cs="Times New Roman"/>
                <w:color w:val="auto"/>
                <w:sz w:val="24"/>
                <w:szCs w:val="24"/>
                <w:vertAlign w:val="baseline"/>
                <w:lang w:val="en-US" w:eastAsia="zh-CN"/>
              </w:rPr>
              <w:t>于2020年11月18日向诏安生态环境局申请变更建设单位</w:t>
            </w:r>
            <w:r>
              <w:rPr>
                <w:rFonts w:hint="eastAsia" w:ascii="Times New Roman" w:hAnsi="Times New Roman" w:eastAsia="宋体" w:cs="Times New Roman"/>
                <w:color w:val="auto"/>
                <w:sz w:val="24"/>
                <w:szCs w:val="24"/>
                <w:vertAlign w:val="baseline"/>
                <w:lang w:val="en-US" w:eastAsia="zh-CN"/>
              </w:rPr>
              <w:t>申请</w:t>
            </w:r>
            <w:r>
              <w:rPr>
                <w:rFonts w:hint="default" w:ascii="Times New Roman" w:hAnsi="Times New Roman" w:eastAsia="宋体" w:cs="Times New Roman"/>
                <w:color w:val="auto"/>
                <w:sz w:val="24"/>
                <w:szCs w:val="24"/>
                <w:vertAlign w:val="baseline"/>
                <w:lang w:val="en-US" w:eastAsia="zh-CN"/>
              </w:rPr>
              <w:t>，并取得同意。现</w:t>
            </w:r>
            <w:r>
              <w:rPr>
                <w:rFonts w:hint="eastAsia" w:ascii="Times New Roman" w:hAnsi="Times New Roman" w:eastAsia="宋体" w:cs="Times New Roman"/>
                <w:color w:val="auto"/>
                <w:sz w:val="24"/>
                <w:szCs w:val="24"/>
                <w:vertAlign w:val="baseline"/>
                <w:lang w:val="en-US" w:eastAsia="zh-CN"/>
              </w:rPr>
              <w:t>调味料、塑料制品生产项目</w:t>
            </w:r>
            <w:r>
              <w:rPr>
                <w:rFonts w:hint="default" w:ascii="Times New Roman" w:hAnsi="Times New Roman" w:eastAsia="宋体" w:cs="Times New Roman"/>
                <w:color w:val="auto"/>
                <w:sz w:val="24"/>
                <w:szCs w:val="24"/>
                <w:vertAlign w:val="baseline"/>
                <w:lang w:val="en-US" w:eastAsia="zh-CN"/>
              </w:rPr>
              <w:t>建设单位已变成福建省皇牌食品有限公司。</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本项目实际总投资11000万元，其中环保投资22万元。实际生产能力为年产沙茶酱5000吨、辣椒酱1000吨，年工作天数300天，每天工作8小时</w:t>
            </w:r>
            <w:r>
              <w:rPr>
                <w:rFonts w:hint="default" w:ascii="Times New Roman" w:hAnsi="Times New Roman" w:eastAsia="宋体" w:cs="Times New Roman"/>
                <w:color w:val="auto"/>
                <w:sz w:val="24"/>
                <w:szCs w:val="24"/>
                <w:vertAlign w:val="baseline"/>
                <w:lang w:val="en-US" w:eastAsia="zh-CN"/>
              </w:rPr>
              <w:t>，夜间不生产</w:t>
            </w:r>
            <w:r>
              <w:rPr>
                <w:rFonts w:hint="eastAsia" w:ascii="Times New Roman" w:hAnsi="Times New Roman" w:eastAsia="宋体" w:cs="Times New Roman"/>
                <w:color w:val="auto"/>
                <w:sz w:val="24"/>
                <w:szCs w:val="24"/>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本项目位于诏安金都工业集中区，其东、北两面均为工业区规划用地，南面隔工业区规划道路为福建环球海洋生物科技有限公司，西邻324国道。</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本项目于2019年1月开工建设，2</w:t>
            </w:r>
            <w:bookmarkStart w:id="8" w:name="_GoBack"/>
            <w:bookmarkEnd w:id="8"/>
            <w:r>
              <w:rPr>
                <w:rFonts w:hint="eastAsia" w:ascii="Times New Roman" w:hAnsi="Times New Roman" w:eastAsia="宋体" w:cs="Times New Roman"/>
                <w:color w:val="auto"/>
                <w:sz w:val="24"/>
                <w:szCs w:val="24"/>
                <w:vertAlign w:val="baseline"/>
                <w:lang w:val="en-US" w:eastAsia="zh-CN"/>
              </w:rPr>
              <w:t>021年6月竣工，本项目不再生产塑料制品以及仓储、装卸塑料制品、食品罐头。只生产调味品，即：年产沙茶酱5000吨、辣椒酱1000吨。</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eastAsia="宋体" w:cs="Times New Roman"/>
                <w:color w:val="0000FF"/>
                <w:sz w:val="24"/>
                <w:szCs w:val="24"/>
              </w:rPr>
            </w:pPr>
            <w:r>
              <w:rPr>
                <w:rFonts w:hint="eastAsia" w:ascii="Times New Roman" w:hAnsi="Times New Roman" w:eastAsia="宋体" w:cs="Times New Roman"/>
                <w:color w:val="auto"/>
                <w:sz w:val="24"/>
                <w:szCs w:val="24"/>
                <w:vertAlign w:val="baseline"/>
                <w:lang w:val="en-US" w:eastAsia="zh-CN"/>
              </w:rPr>
              <w:t>根据《建设项目环境保护管理条例》和《建设项目竣</w:t>
            </w:r>
            <w:r>
              <w:rPr>
                <w:rFonts w:ascii="Times New Roman" w:hAnsi="Times New Roman" w:eastAsia="宋体" w:cs="Times New Roman"/>
                <w:color w:val="auto"/>
                <w:sz w:val="24"/>
                <w:szCs w:val="24"/>
              </w:rPr>
              <w:t>工环境保护验收技术指南污染影响类》等法律法规文件的要求，公司依据国家有关法规文件、技术标准及经审批后的本项目环境影响报告表并结合现场实际情况制定了本项目的环境保护验收监测方案，并于</w:t>
            </w:r>
            <w:r>
              <w:rPr>
                <w:rFonts w:hint="eastAsia" w:ascii="Times New Roman" w:hAnsi="Times New Roman" w:eastAsia="宋体" w:cs="Times New Roman"/>
                <w:color w:val="auto"/>
                <w:sz w:val="24"/>
                <w:szCs w:val="24"/>
                <w:lang w:eastAsia="zh-CN"/>
              </w:rPr>
              <w:t>2021年</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16</w:t>
            </w:r>
            <w:r>
              <w:rPr>
                <w:rFonts w:hint="eastAsia" w:ascii="Times New Roman" w:hAnsi="Times New Roman" w:eastAsia="宋体" w:cs="Times New Roman"/>
                <w:color w:val="auto"/>
                <w:sz w:val="24"/>
                <w:szCs w:val="24"/>
                <w:lang w:eastAsia="zh-CN"/>
              </w:rPr>
              <w:t>日至2021年</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17</w:t>
            </w:r>
            <w:r>
              <w:rPr>
                <w:rFonts w:hint="eastAsia" w:ascii="Times New Roman" w:hAnsi="Times New Roman" w:eastAsia="宋体" w:cs="Times New Roman"/>
                <w:color w:val="auto"/>
                <w:sz w:val="24"/>
                <w:szCs w:val="24"/>
                <w:lang w:eastAsia="zh-CN"/>
              </w:rPr>
              <w:t>日</w:t>
            </w:r>
            <w:r>
              <w:rPr>
                <w:rFonts w:ascii="Times New Roman" w:hAnsi="Times New Roman" w:eastAsia="宋体" w:cs="Times New Roman"/>
                <w:color w:val="auto"/>
                <w:sz w:val="24"/>
                <w:szCs w:val="24"/>
              </w:rPr>
              <w:t>委托</w:t>
            </w:r>
            <w:r>
              <w:rPr>
                <w:rFonts w:hint="eastAsia" w:ascii="Times New Roman" w:hAnsi="Times New Roman" w:eastAsia="宋体" w:cs="Times New Roman"/>
                <w:color w:val="auto"/>
                <w:sz w:val="24"/>
                <w:szCs w:val="24"/>
                <w:lang w:val="en-US" w:eastAsia="zh-CN"/>
              </w:rPr>
              <w:t>厦门华夏学苑检测有限公司对</w:t>
            </w:r>
            <w:r>
              <w:rPr>
                <w:rFonts w:ascii="Times New Roman" w:hAnsi="Times New Roman" w:eastAsia="宋体" w:cs="Times New Roman"/>
                <w:color w:val="auto"/>
                <w:sz w:val="24"/>
                <w:szCs w:val="24"/>
              </w:rPr>
              <w:t>本项目开展竣工环境保护验收监测，根据现场监测情况、样品监测分析结果及现场调查情况，编制</w:t>
            </w:r>
            <w:r>
              <w:rPr>
                <w:rFonts w:hint="eastAsia" w:ascii="Times New Roman" w:hAnsi="Times New Roman" w:eastAsia="宋体" w:cs="Times New Roman"/>
                <w:color w:val="auto"/>
                <w:sz w:val="24"/>
                <w:szCs w:val="24"/>
                <w:lang w:val="en-US" w:eastAsia="zh-CN"/>
              </w:rPr>
              <w:t>竣工环境保护</w:t>
            </w:r>
            <w:r>
              <w:rPr>
                <w:rFonts w:ascii="Times New Roman" w:hAnsi="Times New Roman" w:eastAsia="宋体" w:cs="Times New Roman"/>
                <w:color w:val="auto"/>
                <w:sz w:val="24"/>
                <w:szCs w:val="24"/>
              </w:rPr>
              <w:t>验收监测报告表。</w:t>
            </w:r>
          </w:p>
          <w:p>
            <w:pPr>
              <w:pStyle w:val="37"/>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具体建设内容见下表</w:t>
            </w:r>
            <w:r>
              <w:rPr>
                <w:rFonts w:hint="eastAsia" w:ascii="Times New Roman" w:hAnsi="Times New Roman" w:cs="Times New Roman"/>
                <w:color w:val="auto"/>
              </w:rPr>
              <w:t>2-1</w:t>
            </w:r>
            <w:r>
              <w:rPr>
                <w:rFonts w:ascii="Times New Roman" w:hAnsi="Times New Roman" w:cs="Times New Roman"/>
                <w:color w:val="auto"/>
              </w:rPr>
              <w:t>：</w:t>
            </w: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FF"/>
              </w:rPr>
            </w:pPr>
          </w:p>
          <w:p>
            <w:pPr>
              <w:pStyle w:val="37"/>
              <w:spacing w:line="360" w:lineRule="auto"/>
              <w:ind w:firstLine="480" w:firstLineChars="200"/>
              <w:jc w:val="both"/>
              <w:rPr>
                <w:rFonts w:ascii="Times New Roman" w:hAnsi="Times New Roman" w:cs="Times New Roman"/>
                <w:color w:val="0000FF"/>
              </w:rPr>
            </w:pPr>
          </w:p>
          <w:p>
            <w:pPr>
              <w:widowControl/>
              <w:numPr>
                <w:ilvl w:val="0"/>
                <w:numId w:val="1"/>
              </w:numPr>
              <w:spacing w:line="360" w:lineRule="auto"/>
              <w:ind w:firstLine="482" w:firstLineChars="200"/>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项目建设内容</w:t>
            </w:r>
          </w:p>
          <w:p>
            <w:pPr>
              <w:pStyle w:val="25"/>
              <w:widowControl w:val="0"/>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 xml:space="preserve">表2-1 </w:t>
            </w:r>
            <w:r>
              <w:rPr>
                <w:rFonts w:ascii="Times New Roman" w:hAnsi="Times New Roman" w:eastAsia="宋体" w:cs="Times New Roman"/>
                <w:b/>
                <w:bCs/>
                <w:color w:val="auto"/>
                <w:sz w:val="21"/>
                <w:szCs w:val="21"/>
              </w:rPr>
              <w:t>项目建设内容</w:t>
            </w:r>
            <w:r>
              <w:rPr>
                <w:rFonts w:hint="eastAsia" w:ascii="Times New Roman" w:hAnsi="Times New Roman" w:eastAsia="宋体" w:cs="Times New Roman"/>
                <w:b/>
                <w:bCs/>
                <w:color w:val="auto"/>
                <w:sz w:val="21"/>
                <w:szCs w:val="21"/>
              </w:rPr>
              <w:t>一览表</w:t>
            </w:r>
          </w:p>
          <w:tbl>
            <w:tblPr>
              <w:tblStyle w:val="26"/>
              <w:tblW w:w="4994"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65"/>
              <w:gridCol w:w="1530"/>
              <w:gridCol w:w="1544"/>
              <w:gridCol w:w="43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03" w:hRule="exact"/>
                <w:tblHeader/>
              </w:trPr>
              <w:tc>
                <w:tcPr>
                  <w:tcW w:w="7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工程类别</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组成</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5" w:hRule="exact"/>
              </w:trPr>
              <w:tc>
                <w:tcPr>
                  <w:tcW w:w="7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生产车间</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bCs w:val="0"/>
                      <w:color w:val="auto"/>
                      <w:sz w:val="21"/>
                      <w:szCs w:val="21"/>
                      <w:highlight w:val="none"/>
                      <w:lang w:val="en-US" w:eastAsia="zh-CN"/>
                    </w:rPr>
                    <w:t>建筑面积2000m</w:t>
                  </w:r>
                  <w:r>
                    <w:rPr>
                      <w:rFonts w:hint="eastAsia" w:ascii="Times New Roman" w:hAnsi="Times New Roman" w:eastAsia="宋体" w:cs="Times New Roman"/>
                      <w:bCs w:val="0"/>
                      <w:color w:val="auto"/>
                      <w:sz w:val="21"/>
                      <w:szCs w:val="21"/>
                      <w:highlight w:val="none"/>
                      <w:vertAlign w:val="superscript"/>
                      <w:lang w:val="en-US" w:eastAsia="zh-CN"/>
                    </w:rPr>
                    <w:t>2</w:t>
                  </w:r>
                  <w:r>
                    <w:rPr>
                      <w:rFonts w:hint="eastAsia" w:ascii="Times New Roman" w:hAnsi="Times New Roman" w:eastAsia="宋体" w:cs="Times New Roman"/>
                      <w:bCs w:val="0"/>
                      <w:color w:val="auto"/>
                      <w:sz w:val="21"/>
                      <w:szCs w:val="21"/>
                      <w:highlight w:val="none"/>
                      <w:lang w:val="en-US" w:eastAsia="zh-CN"/>
                    </w:rPr>
                    <w:t>，用于生产沙茶酱、辣椒酱</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2" w:hRule="exact"/>
              </w:trPr>
              <w:tc>
                <w:tcPr>
                  <w:tcW w:w="78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辅助工程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办公区及宿舍楼</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建筑面积</w:t>
                  </w:r>
                  <w:r>
                    <w:rPr>
                      <w:rFonts w:hint="eastAsia" w:ascii="Times New Roman" w:hAnsi="Times New Roman" w:eastAsia="宋体" w:cs="Times New Roman"/>
                      <w:color w:val="auto"/>
                      <w:sz w:val="21"/>
                      <w:szCs w:val="21"/>
                      <w:highlight w:val="none"/>
                      <w:lang w:val="en-US" w:eastAsia="zh-CN"/>
                    </w:rPr>
                    <w:t>5000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eastAsia" w:ascii="Times New Roman" w:hAnsi="Times New Roman" w:eastAsia="宋体" w:cs="Times New Roman"/>
                      <w:color w:val="auto"/>
                      <w:sz w:val="21"/>
                      <w:szCs w:val="21"/>
                      <w:highlight w:val="none"/>
                      <w:vertAlign w:val="baseline"/>
                      <w:lang w:eastAsia="zh-CN"/>
                    </w:rPr>
                    <w:t>，</w:t>
                  </w:r>
                  <w:r>
                    <w:rPr>
                      <w:rFonts w:hint="eastAsia" w:ascii="Times New Roman" w:hAnsi="Times New Roman" w:eastAsia="宋体" w:cs="Times New Roman"/>
                      <w:color w:val="auto"/>
                      <w:sz w:val="21"/>
                      <w:szCs w:val="21"/>
                      <w:highlight w:val="none"/>
                      <w:vertAlign w:val="baseline"/>
                      <w:lang w:val="en-US" w:eastAsia="zh-CN"/>
                    </w:rPr>
                    <w:t>用于办公及员工住宿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exact"/>
              </w:trPr>
              <w:tc>
                <w:tcPr>
                  <w:tcW w:w="7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给水系统</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由市政供水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exact"/>
              </w:trPr>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电力</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区域电网供应</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4" w:hRule="exact"/>
              </w:trPr>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运输</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公路运输为主，全部委托当地专业运输单位承运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5" w:hRule="exact"/>
              </w:trPr>
              <w:tc>
                <w:tcPr>
                  <w:tcW w:w="781"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83" w:type="pct"/>
                  <w:tcBorders>
                    <w:right w:val="single" w:color="000000"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油烟废气</w:t>
                  </w:r>
                </w:p>
              </w:tc>
              <w:tc>
                <w:tcPr>
                  <w:tcW w:w="2460" w:type="pct"/>
                  <w:tcBorders>
                    <w:left w:val="single" w:color="000000"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油烟净化装置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5" w:hRule="exact"/>
              </w:trPr>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w:t>
                  </w:r>
                </w:p>
              </w:tc>
              <w:tc>
                <w:tcPr>
                  <w:tcW w:w="883" w:type="pct"/>
                  <w:tcBorders>
                    <w:right w:val="single" w:color="000000"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2460" w:type="pct"/>
                  <w:tcBorders>
                    <w:left w:val="single" w:color="000000" w:sz="6"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三级</w:t>
                  </w:r>
                  <w:r>
                    <w:rPr>
                      <w:rFonts w:hint="default" w:ascii="Times New Roman" w:hAnsi="Times New Roman" w:eastAsia="宋体" w:cs="Times New Roman"/>
                      <w:color w:val="auto"/>
                      <w:kern w:val="2"/>
                      <w:sz w:val="21"/>
                      <w:szCs w:val="21"/>
                      <w:lang w:val="en-US" w:eastAsia="zh-CN" w:bidi="ar-SA"/>
                    </w:rPr>
                    <w:t>化粪池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exact"/>
              </w:trPr>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3343"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隔声减震、墙体隔音、加强管理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28" w:hRule="exact"/>
              </w:trPr>
              <w:tc>
                <w:tcPr>
                  <w:tcW w:w="781"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p>
              </w:tc>
              <w:tc>
                <w:tcPr>
                  <w:tcW w:w="87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固体废物</w:t>
                  </w:r>
                </w:p>
              </w:tc>
              <w:tc>
                <w:tcPr>
                  <w:tcW w:w="3343"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lang w:val="en-US" w:eastAsia="zh-CN" w:bidi="ar"/>
                    </w:rPr>
                    <w:t>一般固废规范化贮存场所</w:t>
                  </w:r>
                </w:p>
              </w:tc>
            </w:tr>
          </w:tbl>
          <w:p>
            <w:pPr>
              <w:pStyle w:val="37"/>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 xml:space="preserve">表2-2 </w:t>
            </w:r>
            <w:r>
              <w:rPr>
                <w:rFonts w:ascii="Times New Roman" w:hAnsi="Times New Roman" w:cs="Times New Roman"/>
                <w:b/>
                <w:bCs/>
                <w:color w:val="auto"/>
                <w:sz w:val="21"/>
                <w:szCs w:val="21"/>
              </w:rPr>
              <w:t>项目</w:t>
            </w:r>
            <w:r>
              <w:rPr>
                <w:rFonts w:hint="eastAsia" w:ascii="Times New Roman" w:hAnsi="Times New Roman" w:cs="Times New Roman"/>
                <w:b/>
                <w:bCs/>
                <w:color w:val="auto"/>
                <w:sz w:val="21"/>
                <w:szCs w:val="21"/>
              </w:rPr>
              <w:t>产品方案</w:t>
            </w:r>
          </w:p>
          <w:tbl>
            <w:tblPr>
              <w:tblStyle w:val="26"/>
              <w:tblW w:w="4836"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1286"/>
              <w:gridCol w:w="1286"/>
              <w:gridCol w:w="1756"/>
              <w:gridCol w:w="2347"/>
              <w:gridCol w:w="1788"/>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352" w:hRule="atLeast"/>
                <w:jc w:val="center"/>
              </w:trPr>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产品名称</w:t>
                  </w: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原辅材料名称</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环评</w:t>
                  </w:r>
                  <w:r>
                    <w:rPr>
                      <w:rFonts w:hint="default" w:ascii="Times New Roman" w:hAnsi="Times New Roman" w:eastAsia="宋体" w:cs="Times New Roman"/>
                      <w:color w:val="auto"/>
                      <w:sz w:val="21"/>
                      <w:szCs w:val="21"/>
                      <w:highlight w:val="none"/>
                    </w:rPr>
                    <w:t>年用量</w:t>
                  </w:r>
                </w:p>
              </w:tc>
              <w:tc>
                <w:tcPr>
                  <w:tcW w:w="1056" w:type="pc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实际年用量</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restart"/>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沙茶酱</w:t>
                  </w:r>
                </w:p>
                <w:p>
                  <w:pPr>
                    <w:jc w:val="center"/>
                    <w:rPr>
                      <w:rFonts w:hint="eastAsia" w:ascii="Times New Roman" w:hAnsi="Times New Roman" w:eastAsia="宋体" w:cs="Times New Roman"/>
                      <w:color w:val="auto"/>
                      <w:sz w:val="21"/>
                      <w:szCs w:val="21"/>
                      <w:highlight w:val="none"/>
                      <w:lang w:val="en-US" w:eastAsia="zh-CN"/>
                    </w:rPr>
                  </w:pPr>
                </w:p>
                <w:p>
                  <w:pPr>
                    <w:jc w:val="center"/>
                    <w:rPr>
                      <w:rFonts w:hint="eastAsia" w:ascii="Times New Roman" w:hAnsi="Times New Roman" w:eastAsia="宋体" w:cs="Times New Roman"/>
                      <w:color w:val="auto"/>
                      <w:sz w:val="21"/>
                      <w:szCs w:val="21"/>
                      <w:highlight w:val="none"/>
                      <w:lang w:val="en-US" w:eastAsia="zh-CN"/>
                    </w:rPr>
                  </w:pPr>
                </w:p>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辣椒酱</w:t>
                  </w: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花生仁</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1200吨/年</w:t>
                  </w:r>
                </w:p>
              </w:tc>
              <w:tc>
                <w:tcPr>
                  <w:tcW w:w="105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1200吨/年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白砂糖</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1200吨/年</w:t>
                  </w:r>
                </w:p>
              </w:tc>
              <w:tc>
                <w:tcPr>
                  <w:tcW w:w="105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1200吨/年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芝麻仁</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600吨/年</w:t>
                  </w:r>
                </w:p>
              </w:tc>
              <w:tc>
                <w:tcPr>
                  <w:tcW w:w="105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600吨/年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辣椒干</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500吨/年</w:t>
                  </w:r>
                </w:p>
              </w:tc>
              <w:tc>
                <w:tcPr>
                  <w:tcW w:w="105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500吨/年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食用油</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600吨/年</w:t>
                  </w:r>
                </w:p>
              </w:tc>
              <w:tc>
                <w:tcPr>
                  <w:tcW w:w="105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600吨/年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葱头</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300吨/年</w:t>
                  </w:r>
                </w:p>
              </w:tc>
              <w:tc>
                <w:tcPr>
                  <w:tcW w:w="105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300吨/年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蒜片</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300吨/年</w:t>
                  </w:r>
                </w:p>
              </w:tc>
              <w:tc>
                <w:tcPr>
                  <w:tcW w:w="105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300吨/年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1302吨/年</w:t>
                  </w:r>
                </w:p>
              </w:tc>
              <w:tc>
                <w:tcPr>
                  <w:tcW w:w="1056"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1302吨/年</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塑料制品</w:t>
                  </w: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PS、PE塑料米</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49.925吨/年</w:t>
                  </w:r>
                </w:p>
              </w:tc>
              <w:tc>
                <w:tcPr>
                  <w:tcW w:w="1056" w:type="pct"/>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不生产</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32" w:hRule="atLeast"/>
                <w:jc w:val="center"/>
              </w:trPr>
              <w:tc>
                <w:tcPr>
                  <w:tcW w:w="759"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759"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103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色粉</w:t>
                  </w:r>
                </w:p>
              </w:tc>
              <w:tc>
                <w:tcPr>
                  <w:tcW w:w="1387"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75kg/a</w:t>
                  </w:r>
                </w:p>
              </w:tc>
              <w:tc>
                <w:tcPr>
                  <w:tcW w:w="1056"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r>
          </w:tbl>
          <w:p>
            <w:pPr>
              <w:pStyle w:val="37"/>
              <w:keepNext w:val="0"/>
              <w:keepLines w:val="0"/>
              <w:pageBreakBefore w:val="0"/>
              <w:kinsoku/>
              <w:wordWrap/>
              <w:overflowPunct/>
              <w:topLinePunct w:val="0"/>
              <w:bidi w:val="0"/>
              <w:spacing w:line="240" w:lineRule="auto"/>
              <w:ind w:firstLine="0" w:firstLineChars="0"/>
              <w:jc w:val="center"/>
              <w:rPr>
                <w:rFonts w:ascii="Times New Roman" w:hAnsi="Times New Roman" w:cs="Times New Roman"/>
                <w:b/>
                <w:bCs/>
                <w:color w:val="auto"/>
                <w:sz w:val="21"/>
                <w:szCs w:val="21"/>
              </w:rPr>
            </w:pPr>
            <w:r>
              <w:rPr>
                <w:rFonts w:hint="eastAsia" w:ascii="Times New Roman" w:hAnsi="Times New Roman" w:cs="Times New Roman"/>
                <w:b/>
                <w:bCs/>
                <w:color w:val="auto"/>
                <w:sz w:val="21"/>
                <w:szCs w:val="21"/>
              </w:rPr>
              <w:t>表2-3 主要生产设备一览表</w:t>
            </w:r>
          </w:p>
          <w:tbl>
            <w:tblPr>
              <w:tblStyle w:val="26"/>
              <w:tblW w:w="4976"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707"/>
              <w:gridCol w:w="1767"/>
              <w:gridCol w:w="1292"/>
              <w:gridCol w:w="1339"/>
              <w:gridCol w:w="105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5" w:type="pct"/>
                  <w:vMerge w:val="restar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1554" w:type="pct"/>
                  <w:vMerge w:val="restar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设备名称</w:t>
                  </w:r>
                </w:p>
              </w:tc>
              <w:tc>
                <w:tcPr>
                  <w:tcW w:w="3129" w:type="pct"/>
                  <w:gridSpan w:val="4"/>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554" w:type="pct"/>
                  <w:vMerge w:val="continue"/>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014" w:type="pc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型号</w:t>
                  </w:r>
                </w:p>
              </w:tc>
              <w:tc>
                <w:tcPr>
                  <w:tcW w:w="741" w:type="pc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环评数量</w:t>
                  </w:r>
                </w:p>
              </w:tc>
              <w:tc>
                <w:tcPr>
                  <w:tcW w:w="768" w:type="pc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实际数量</w:t>
                  </w:r>
                </w:p>
              </w:tc>
              <w:tc>
                <w:tcPr>
                  <w:tcW w:w="604" w:type="pct"/>
                  <w:tcBorders>
                    <w:tl2br w:val="nil"/>
                    <w:tr2bl w:val="nil"/>
                  </w:tcBorders>
                  <w:noWrap w:val="0"/>
                  <w:vAlign w:val="center"/>
                </w:tcPr>
                <w:p>
                  <w:pPr>
                    <w:pStyle w:val="1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备注</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1</w:t>
                  </w:r>
                </w:p>
              </w:tc>
              <w:tc>
                <w:tcPr>
                  <w:tcW w:w="155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自动空瓶洗瓶机</w:t>
                  </w:r>
                </w:p>
              </w:tc>
              <w:tc>
                <w:tcPr>
                  <w:tcW w:w="101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4台</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rPr>
                    <w:t>2</w:t>
                  </w:r>
                </w:p>
              </w:tc>
              <w:tc>
                <w:tcPr>
                  <w:tcW w:w="155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酱料灌装机</w:t>
                  </w:r>
                </w:p>
              </w:tc>
              <w:tc>
                <w:tcPr>
                  <w:tcW w:w="101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4台</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3</w:t>
                  </w:r>
                </w:p>
              </w:tc>
              <w:tc>
                <w:tcPr>
                  <w:tcW w:w="1554" w:type="pct"/>
                  <w:tcBorders>
                    <w:tl2br w:val="nil"/>
                    <w:tr2bl w:val="nil"/>
                  </w:tcBorders>
                  <w:noWrap w:val="0"/>
                  <w:vAlign w:val="center"/>
                </w:tcPr>
                <w:p>
                  <w:pPr>
                    <w:ind w:left="-110" w:leftChars="-50" w:right="-110" w:rightChars="-5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不定标自动贴标机</w:t>
                  </w:r>
                </w:p>
              </w:tc>
              <w:tc>
                <w:tcPr>
                  <w:tcW w:w="101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4台</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4</w:t>
                  </w:r>
                </w:p>
              </w:tc>
              <w:tc>
                <w:tcPr>
                  <w:tcW w:w="155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全自动旋盖机</w:t>
                  </w:r>
                </w:p>
              </w:tc>
              <w:tc>
                <w:tcPr>
                  <w:tcW w:w="101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4台</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5</w:t>
                  </w:r>
                </w:p>
              </w:tc>
              <w:tc>
                <w:tcPr>
                  <w:tcW w:w="155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喷码机</w:t>
                  </w:r>
                </w:p>
              </w:tc>
              <w:tc>
                <w:tcPr>
                  <w:tcW w:w="101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4台</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6</w:t>
                  </w:r>
                </w:p>
              </w:tc>
              <w:tc>
                <w:tcPr>
                  <w:tcW w:w="155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电动油炸机</w:t>
                  </w:r>
                </w:p>
              </w:tc>
              <w:tc>
                <w:tcPr>
                  <w:tcW w:w="101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6台</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SA"/>
                    </w:rPr>
                    <w:t>无</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7</w:t>
                  </w:r>
                </w:p>
              </w:tc>
              <w:tc>
                <w:tcPr>
                  <w:tcW w:w="1554" w:type="pct"/>
                  <w:tcBorders>
                    <w:tl2br w:val="nil"/>
                    <w:tr2bl w:val="nil"/>
                  </w:tcBorders>
                  <w:noWrap w:val="0"/>
                  <w:vAlign w:val="center"/>
                </w:tcPr>
                <w:p>
                  <w:pPr>
                    <w:ind w:left="-110" w:leftChars="-50" w:right="-110" w:rightChars="-5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全自动洗料切片机</w:t>
                  </w:r>
                </w:p>
              </w:tc>
              <w:tc>
                <w:tcPr>
                  <w:tcW w:w="101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3台</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kern w:val="0"/>
                      <w:sz w:val="21"/>
                      <w:szCs w:val="21"/>
                      <w:highlight w:val="none"/>
                      <w:lang w:val="en-US" w:eastAsia="zh-CN" w:bidi="ar-SA"/>
                    </w:rPr>
                    <w:t>无</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lang w:val="en-US" w:eastAsia="zh-CN"/>
                    </w:rPr>
                    <w:t>8</w:t>
                  </w:r>
                </w:p>
              </w:tc>
              <w:tc>
                <w:tcPr>
                  <w:tcW w:w="155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磨酱机</w:t>
                  </w:r>
                </w:p>
              </w:tc>
              <w:tc>
                <w:tcPr>
                  <w:tcW w:w="101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6台</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9</w:t>
                  </w:r>
                </w:p>
              </w:tc>
              <w:tc>
                <w:tcPr>
                  <w:tcW w:w="1554" w:type="pct"/>
                  <w:tcBorders>
                    <w:tl2br w:val="nil"/>
                    <w:tr2bl w:val="nil"/>
                  </w:tcBorders>
                  <w:noWrap w:val="0"/>
                  <w:vAlign w:val="center"/>
                </w:tcPr>
                <w:p>
                  <w:pPr>
                    <w:pStyle w:val="13"/>
                    <w:spacing w:line="240" w:lineRule="auto"/>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注塑机</w:t>
                  </w:r>
                </w:p>
              </w:tc>
              <w:tc>
                <w:tcPr>
                  <w:tcW w:w="1014"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w:t>
                  </w:r>
                </w:p>
              </w:tc>
              <w:tc>
                <w:tcPr>
                  <w:tcW w:w="74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bidi="ar-SA"/>
                    </w:rPr>
                    <w:t>2台</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无</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15" w:type="pct"/>
                  <w:tcBorders>
                    <w:tl2br w:val="nil"/>
                    <w:tr2bl w:val="nil"/>
                  </w:tcBorders>
                  <w:noWrap w:val="0"/>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lang w:val="en-US" w:eastAsia="zh-CN"/>
                    </w:rPr>
                    <w:t>10</w:t>
                  </w:r>
                </w:p>
              </w:tc>
              <w:tc>
                <w:tcPr>
                  <w:tcW w:w="1554" w:type="pct"/>
                  <w:tcBorders>
                    <w:tl2br w:val="nil"/>
                    <w:tr2bl w:val="nil"/>
                  </w:tcBorders>
                  <w:noWrap w:val="0"/>
                  <w:vAlign w:val="center"/>
                </w:tcPr>
                <w:p>
                  <w:pPr>
                    <w:pStyle w:val="94"/>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破碎机</w:t>
                  </w:r>
                </w:p>
              </w:tc>
              <w:tc>
                <w:tcPr>
                  <w:tcW w:w="1014"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tcBorders>
                    <w:tl2br w:val="nil"/>
                    <w:tr2bl w:val="nil"/>
                  </w:tcBorders>
                  <w:noWrap w:val="0"/>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768" w:type="pct"/>
                  <w:tcBorders>
                    <w:tl2br w:val="nil"/>
                    <w:tr2bl w:val="nil"/>
                  </w:tcBorders>
                  <w:noWrap w:val="0"/>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无</w:t>
                  </w:r>
                </w:p>
              </w:tc>
              <w:tc>
                <w:tcPr>
                  <w:tcW w:w="6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lang w:val="en-US" w:eastAsia="zh-CN"/>
                    </w:rPr>
                    <w:t>11</w:t>
                  </w:r>
                </w:p>
              </w:tc>
              <w:tc>
                <w:tcPr>
                  <w:tcW w:w="1554" w:type="pct"/>
                  <w:vAlign w:val="center"/>
                </w:tcPr>
                <w:p>
                  <w:pPr>
                    <w:pStyle w:val="17"/>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空压机</w:t>
                  </w:r>
                </w:p>
              </w:tc>
              <w:tc>
                <w:tcPr>
                  <w:tcW w:w="1014"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768" w:type="pct"/>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bidi="ar-SA"/>
                    </w:rPr>
                    <w:t>无</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1554" w:type="pct"/>
                  <w:vAlign w:val="center"/>
                </w:tcPr>
                <w:p>
                  <w:pPr>
                    <w:pStyle w:val="17"/>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搅拌机</w:t>
                  </w:r>
                </w:p>
              </w:tc>
              <w:tc>
                <w:tcPr>
                  <w:tcW w:w="1014"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768" w:type="pct"/>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kern w:val="0"/>
                      <w:sz w:val="21"/>
                      <w:szCs w:val="21"/>
                      <w:highlight w:val="none"/>
                      <w:lang w:val="en-US" w:eastAsia="zh-CN" w:bidi="ar-SA"/>
                    </w:rPr>
                    <w:t>无</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修边机</w:t>
                  </w:r>
                </w:p>
              </w:tc>
              <w:tc>
                <w:tcPr>
                  <w:tcW w:w="1014"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768" w:type="pct"/>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kern w:val="0"/>
                      <w:sz w:val="21"/>
                      <w:szCs w:val="21"/>
                      <w:highlight w:val="none"/>
                      <w:lang w:val="en-US" w:eastAsia="zh-CN" w:bidi="ar-SA"/>
                    </w:rPr>
                    <w:t>无</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吊运机</w:t>
                  </w:r>
                </w:p>
              </w:tc>
              <w:tc>
                <w:tcPr>
                  <w:tcW w:w="1014"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768" w:type="pct"/>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kern w:val="0"/>
                      <w:sz w:val="21"/>
                      <w:szCs w:val="21"/>
                      <w:highlight w:val="none"/>
                      <w:lang w:val="en-US" w:eastAsia="zh-CN" w:bidi="ar-SA"/>
                    </w:rPr>
                    <w:t>无</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堆高机</w:t>
                  </w:r>
                </w:p>
              </w:tc>
              <w:tc>
                <w:tcPr>
                  <w:tcW w:w="1014"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2台</w:t>
                  </w:r>
                </w:p>
              </w:tc>
              <w:tc>
                <w:tcPr>
                  <w:tcW w:w="768" w:type="pct"/>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kern w:val="0"/>
                      <w:sz w:val="21"/>
                      <w:szCs w:val="21"/>
                      <w:highlight w:val="none"/>
                      <w:lang w:val="en-US" w:eastAsia="zh-CN" w:bidi="ar-SA"/>
                    </w:rPr>
                    <w:t>无</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电动平衡叉车</w:t>
                  </w:r>
                </w:p>
              </w:tc>
              <w:tc>
                <w:tcPr>
                  <w:tcW w:w="1014"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3台</w:t>
                  </w:r>
                </w:p>
              </w:tc>
              <w:tc>
                <w:tcPr>
                  <w:tcW w:w="768" w:type="pct"/>
                  <w:vAlign w:val="center"/>
                </w:tcPr>
                <w:p>
                  <w:pPr>
                    <w:keepNext w:val="0"/>
                    <w:keepLines w:val="0"/>
                    <w:pageBreakBefore w:val="0"/>
                    <w:widowControl/>
                    <w:suppressLineNumbers w:val="0"/>
                    <w:kinsoku/>
                    <w:wordWrap/>
                    <w:overflowPunct/>
                    <w:topLinePunct w:val="0"/>
                    <w:bidi w:val="0"/>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ascii="Times New Roman" w:hAnsi="Times New Roman" w:eastAsia="宋体" w:cs="Times New Roman"/>
                      <w:color w:val="auto"/>
                      <w:kern w:val="0"/>
                      <w:sz w:val="21"/>
                      <w:szCs w:val="21"/>
                      <w:highlight w:val="none"/>
                      <w:lang w:val="en-US" w:eastAsia="zh-CN" w:bidi="ar-SA"/>
                    </w:rPr>
                    <w:t>无</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w:t>
                  </w:r>
                </w:p>
              </w:tc>
              <w:tc>
                <w:tcPr>
                  <w:tcW w:w="1554" w:type="pct"/>
                  <w:vAlign w:val="center"/>
                </w:tcPr>
                <w:p>
                  <w:pPr>
                    <w:spacing w:line="32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 xml:space="preserve">不锈钢桶 </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3个</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储水罐</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1个</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储油罐</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6个</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热水罐</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1个</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盐水罐</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1个</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鱼露储存罐</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2个</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23</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原料储存罐</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9个</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溶解罐</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1个</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1554" w:type="pct"/>
                  <w:vAlign w:val="center"/>
                </w:tcPr>
                <w:p>
                  <w:pPr>
                    <w:spacing w:line="320" w:lineRule="exact"/>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搅拌槽</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1个</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配料槽</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2个</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熬煮锅</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3台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码垛机</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膜包机</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喷码机</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套膜机</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贴标机</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洗瓶机</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卸垛机</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压盖机</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装箱机</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烘炒机</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PrEx>
              <w:trPr>
                <w:trHeight w:val="403" w:hRule="atLeast"/>
                <w:jc w:val="center"/>
              </w:trPr>
              <w:tc>
                <w:tcPr>
                  <w:tcW w:w="0" w:type="auto"/>
                  <w:vAlign w:val="center"/>
                </w:tcPr>
                <w:p>
                  <w:pPr>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c>
                <w:tcPr>
                  <w:tcW w:w="1554" w:type="pct"/>
                  <w:vAlign w:val="center"/>
                </w:tcPr>
                <w:p>
                  <w:pPr>
                    <w:spacing w:line="320" w:lineRule="exact"/>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一体化油炸设备</w:t>
                  </w:r>
                </w:p>
              </w:tc>
              <w:tc>
                <w:tcPr>
                  <w:tcW w:w="1014" w:type="pct"/>
                  <w:vAlign w:val="center"/>
                </w:tcPr>
                <w:p>
                  <w:pPr>
                    <w:jc w:val="center"/>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w:t>
                  </w:r>
                </w:p>
              </w:tc>
              <w:tc>
                <w:tcPr>
                  <w:tcW w:w="741"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无</w:t>
                  </w:r>
                </w:p>
              </w:tc>
              <w:tc>
                <w:tcPr>
                  <w:tcW w:w="768" w:type="pct"/>
                  <w:vAlign w:val="center"/>
                </w:tcPr>
                <w:p>
                  <w:pPr>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1台</w:t>
                  </w:r>
                </w:p>
              </w:tc>
              <w:tc>
                <w:tcPr>
                  <w:tcW w:w="0" w:type="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val="en-US" w:eastAsia="zh-CN"/>
                    </w:rPr>
                    <w:t>/</w:t>
                  </w:r>
                </w:p>
              </w:tc>
            </w:tr>
          </w:tbl>
          <w:p>
            <w:pPr>
              <w:pStyle w:val="37"/>
              <w:spacing w:before="200" w:line="360" w:lineRule="auto"/>
              <w:ind w:left="440" w:leftChars="200"/>
              <w:jc w:val="both"/>
              <w:rPr>
                <w:rFonts w:ascii="Times New Roman" w:hAnsi="Times New Roman" w:cs="Times New Roman"/>
                <w:b/>
                <w:bCs/>
                <w:color w:val="auto"/>
              </w:rPr>
            </w:pPr>
            <w:r>
              <w:rPr>
                <w:rFonts w:ascii="Times New Roman" w:hAnsi="Times New Roman" w:cs="Times New Roman"/>
                <w:b/>
                <w:bCs/>
                <w:color w:val="auto"/>
              </w:rPr>
              <w:t>3、验收范围</w:t>
            </w:r>
          </w:p>
          <w:p>
            <w:pPr>
              <w:pStyle w:val="37"/>
              <w:spacing w:line="360" w:lineRule="auto"/>
              <w:ind w:firstLine="480" w:firstLineChars="200"/>
              <w:jc w:val="both"/>
              <w:rPr>
                <w:rFonts w:hint="default" w:ascii="Times New Roman" w:hAnsi="Times New Roman" w:cs="Times New Roman"/>
                <w:color w:val="000000" w:themeColor="text1"/>
                <w:sz w:val="24"/>
                <w:szCs w:val="24"/>
                <w:vertAlign w:val="baseline"/>
                <w:lang w:val="en-US" w:eastAsia="zh-CN"/>
                <w14:textFill>
                  <w14:solidFill>
                    <w14:schemeClr w14:val="tx1"/>
                  </w14:solidFill>
                </w14:textFill>
              </w:rPr>
            </w:pPr>
            <w:r>
              <w:rPr>
                <w:rFonts w:hint="eastAsia" w:ascii="Times New Roman"/>
                <w:color w:val="auto"/>
                <w:sz w:val="24"/>
                <w:szCs w:val="24"/>
                <w:lang w:eastAsia="zh-CN"/>
              </w:rPr>
              <w:t>福建省皇牌食品有限公司调味料、塑料制品生产项目</w:t>
            </w:r>
            <w:r>
              <w:rPr>
                <w:rFonts w:hint="eastAsia" w:ascii="Times New Roman" w:eastAsia="宋体"/>
                <w:color w:val="auto"/>
                <w:sz w:val="24"/>
                <w:szCs w:val="24"/>
                <w:lang w:val="en-US" w:eastAsia="zh-CN"/>
              </w:rPr>
              <w:t>选址于</w:t>
            </w:r>
            <w:r>
              <w:rPr>
                <w:rFonts w:hint="eastAsia" w:ascii="Times New Roman"/>
                <w:color w:val="auto"/>
                <w:sz w:val="24"/>
                <w:szCs w:val="24"/>
                <w:lang w:eastAsia="zh-CN"/>
              </w:rPr>
              <w:t>福建省漳州市</w:t>
            </w:r>
            <w:r>
              <w:rPr>
                <w:rFonts w:hint="eastAsia" w:ascii="Times New Roman" w:hAnsi="Times New Roman" w:eastAsia="宋体" w:cs="Times New Roman"/>
                <w:color w:val="auto"/>
                <w:sz w:val="24"/>
                <w:szCs w:val="24"/>
                <w:vertAlign w:val="baseline"/>
                <w:lang w:val="en-US" w:eastAsia="zh-CN"/>
              </w:rPr>
              <w:t>诏安金都工业集中区</w:t>
            </w:r>
            <w:r>
              <w:rPr>
                <w:rFonts w:hint="eastAsia" w:ascii="Times New Roman" w:eastAsia="宋体"/>
                <w:color w:val="auto"/>
                <w:sz w:val="24"/>
                <w:szCs w:val="24"/>
                <w:lang w:val="en-US" w:eastAsia="zh-CN"/>
              </w:rPr>
              <w:t>，</w:t>
            </w:r>
            <w:r>
              <w:rPr>
                <w:rFonts w:hint="default" w:ascii="Times New Roman" w:eastAsia="宋体"/>
                <w:color w:val="auto"/>
                <w:sz w:val="24"/>
                <w:szCs w:val="24"/>
                <w:lang w:val="en-US" w:eastAsia="zh-CN"/>
              </w:rPr>
              <w:t>目前</w:t>
            </w:r>
            <w:r>
              <w:rPr>
                <w:rFonts w:hint="eastAsia" w:ascii="Times New Roman" w:eastAsia="宋体"/>
                <w:color w:val="auto"/>
                <w:sz w:val="24"/>
                <w:szCs w:val="24"/>
                <w:lang w:val="en-US" w:eastAsia="zh-CN"/>
              </w:rPr>
              <w:t>本</w:t>
            </w:r>
            <w:r>
              <w:rPr>
                <w:rFonts w:hint="default" w:ascii="Times New Roman" w:eastAsia="宋体"/>
                <w:color w:val="auto"/>
                <w:sz w:val="24"/>
                <w:szCs w:val="24"/>
                <w:lang w:val="en-US" w:eastAsia="zh-CN"/>
              </w:rPr>
              <w:t>项目</w:t>
            </w:r>
            <w:r>
              <w:rPr>
                <w:rFonts w:hint="eastAsia" w:ascii="Times New Roman"/>
                <w:color w:val="auto"/>
                <w:sz w:val="24"/>
                <w:szCs w:val="24"/>
                <w:lang w:val="en-US" w:eastAsia="zh-CN"/>
              </w:rPr>
              <w:t>已建成并投入生产，但只生产</w:t>
            </w:r>
            <w:r>
              <w:rPr>
                <w:rFonts w:hint="eastAsia" w:ascii="Times New Roman"/>
                <w:color w:val="auto"/>
                <w:sz w:val="24"/>
                <w:szCs w:val="24"/>
                <w:lang w:eastAsia="zh-CN"/>
              </w:rPr>
              <w:t>调味料，</w:t>
            </w:r>
            <w:r>
              <w:rPr>
                <w:rFonts w:hint="eastAsia" w:ascii="Times New Roman"/>
                <w:color w:val="auto"/>
                <w:sz w:val="24"/>
                <w:szCs w:val="24"/>
                <w:lang w:val="en-US" w:eastAsia="zh-CN"/>
              </w:rPr>
              <w:t>塑料制品不再生产</w:t>
            </w:r>
            <w:r>
              <w:rPr>
                <w:rFonts w:hint="eastAsia" w:ascii="Times New Roman" w:eastAsia="宋体"/>
                <w:color w:val="auto"/>
                <w:sz w:val="24"/>
                <w:szCs w:val="24"/>
                <w:lang w:val="en-US" w:eastAsia="zh-CN"/>
              </w:rPr>
              <w:t>，故</w:t>
            </w:r>
            <w:r>
              <w:rPr>
                <w:rFonts w:hint="eastAsia" w:ascii="Times New Roman" w:eastAsia="宋体"/>
                <w:color w:val="000000" w:themeColor="text1"/>
                <w:sz w:val="24"/>
                <w:szCs w:val="24"/>
                <w:lang w:val="en-US" w:eastAsia="zh-CN"/>
                <w14:textFill>
                  <w14:solidFill>
                    <w14:schemeClr w14:val="tx1"/>
                  </w14:solidFill>
                </w14:textFill>
              </w:rPr>
              <w:t>本次验收针对</w:t>
            </w:r>
            <w:r>
              <w:rPr>
                <w:rFonts w:hint="eastAsia" w:ascii="Times New Roman"/>
                <w:color w:val="000000" w:themeColor="text1"/>
                <w:sz w:val="24"/>
                <w:szCs w:val="24"/>
                <w:lang w:eastAsia="zh-CN"/>
                <w14:textFill>
                  <w14:solidFill>
                    <w14:schemeClr w14:val="tx1"/>
                  </w14:solidFill>
                </w14:textFill>
              </w:rPr>
              <w:t>福建省皇牌食品有限公司调味料、塑料制品生产项目</w:t>
            </w:r>
            <w:r>
              <w:rPr>
                <w:rFonts w:hint="eastAsia" w:ascii="Times New Roman" w:eastAsia="宋体"/>
                <w:color w:val="000000" w:themeColor="text1"/>
                <w:sz w:val="24"/>
                <w:szCs w:val="24"/>
                <w:lang w:val="en-US" w:eastAsia="zh-CN"/>
                <w14:textFill>
                  <w14:solidFill>
                    <w14:schemeClr w14:val="tx1"/>
                  </w14:solidFill>
                </w14:textFill>
              </w:rPr>
              <w:t>进行</w:t>
            </w:r>
            <w:r>
              <w:rPr>
                <w:rFonts w:hint="eastAsia" w:ascii="Times New Roman"/>
                <w:color w:val="000000" w:themeColor="text1"/>
                <w:sz w:val="24"/>
                <w:szCs w:val="24"/>
                <w:lang w:val="en-US" w:eastAsia="zh-CN"/>
                <w14:textFill>
                  <w14:solidFill>
                    <w14:schemeClr w14:val="tx1"/>
                  </w14:solidFill>
                </w14:textFill>
              </w:rPr>
              <w:t>整体</w:t>
            </w:r>
            <w:r>
              <w:rPr>
                <w:rFonts w:hint="eastAsia" w:ascii="Times New Roman" w:eastAsia="宋体"/>
                <w:color w:val="000000" w:themeColor="text1"/>
                <w:sz w:val="24"/>
                <w:szCs w:val="24"/>
                <w:lang w:val="en-US" w:eastAsia="zh-CN"/>
                <w14:textFill>
                  <w14:solidFill>
                    <w14:schemeClr w14:val="tx1"/>
                  </w14:solidFill>
                </w14:textFill>
              </w:rPr>
              <w:t>验收</w:t>
            </w:r>
            <w:r>
              <w:rPr>
                <w:rFonts w:hint="default" w:ascii="Times New Roman" w:eastAsia="宋体"/>
                <w:color w:val="000000" w:themeColor="text1"/>
                <w:sz w:val="24"/>
                <w:szCs w:val="24"/>
                <w:lang w:val="en-US" w:eastAsia="zh-CN"/>
                <w14:textFill>
                  <w14:solidFill>
                    <w14:schemeClr w14:val="tx1"/>
                  </w14:solidFill>
                </w14:textFill>
              </w:rPr>
              <w:t>。</w:t>
            </w:r>
          </w:p>
          <w:p>
            <w:pPr>
              <w:pStyle w:val="37"/>
              <w:spacing w:line="360" w:lineRule="auto"/>
              <w:ind w:firstLine="482" w:firstLineChars="200"/>
              <w:jc w:val="left"/>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4、工程变动情况</w:t>
            </w:r>
          </w:p>
          <w:p>
            <w:pPr>
              <w:pStyle w:val="37"/>
              <w:keepNext w:val="0"/>
              <w:keepLines w:val="0"/>
              <w:pageBreakBefore w:val="0"/>
              <w:kinsoku/>
              <w:wordWrap/>
              <w:overflowPunct/>
              <w:topLinePunct w:val="0"/>
              <w:bidi w:val="0"/>
              <w:spacing w:line="240" w:lineRule="auto"/>
              <w:jc w:val="center"/>
              <w:textAlignment w:val="auto"/>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w:t>
            </w:r>
            <w:r>
              <w:rPr>
                <w:rFonts w:hint="eastAsia" w:ascii="Times New Roman" w:hAnsi="Times New Roman"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工程变动情况一览表</w:t>
            </w:r>
          </w:p>
          <w:tbl>
            <w:tblPr>
              <w:tblStyle w:val="27"/>
              <w:tblW w:w="820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2988"/>
              <w:gridCol w:w="3135"/>
              <w:gridCol w:w="12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项目</w:t>
                  </w:r>
                </w:p>
              </w:tc>
              <w:tc>
                <w:tcPr>
                  <w:tcW w:w="2988"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环评阶段</w:t>
                  </w:r>
                </w:p>
              </w:tc>
              <w:tc>
                <w:tcPr>
                  <w:tcW w:w="313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实际建设</w:t>
                  </w:r>
                </w:p>
              </w:tc>
              <w:tc>
                <w:tcPr>
                  <w:tcW w:w="1292"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变更项目及原因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79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性质</w:t>
                  </w:r>
                </w:p>
              </w:tc>
              <w:tc>
                <w:tcPr>
                  <w:tcW w:w="2988"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新建</w:t>
                  </w:r>
                </w:p>
              </w:tc>
              <w:tc>
                <w:tcPr>
                  <w:tcW w:w="313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新建</w:t>
                  </w:r>
                </w:p>
              </w:tc>
              <w:tc>
                <w:tcPr>
                  <w:tcW w:w="1292"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规模</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年生产沙茶酱5000吨、辣椒酱1000吨、塑料制品50吨，年仓储、装卸塑料制品、食品罐头2万吨</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ind w:left="0" w:leftChars="0" w:firstLine="0" w:firstLineChars="0"/>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年生产沙茶酱5000吨、辣椒酱1000吨</w:t>
                  </w:r>
                </w:p>
              </w:tc>
              <w:tc>
                <w:tcPr>
                  <w:tcW w:w="1292"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本项目不再生产塑料制品以及仓储、装卸塑料制品、食品罐头，只生产调味品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地点</w:t>
                  </w:r>
                </w:p>
              </w:tc>
              <w:tc>
                <w:tcPr>
                  <w:tcW w:w="2988"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福建省漳州市诏安金都工业集中区</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福建省漳州市诏安金都工业集中区</w:t>
                  </w:r>
                </w:p>
              </w:tc>
              <w:tc>
                <w:tcPr>
                  <w:tcW w:w="1292"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793"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生产工艺</w:t>
                  </w:r>
                </w:p>
              </w:tc>
              <w:tc>
                <w:tcPr>
                  <w:tcW w:w="2988" w:type="dxa"/>
                  <w:tcBorders>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见图2-2</w:t>
                  </w:r>
                </w:p>
              </w:tc>
              <w:tc>
                <w:tcPr>
                  <w:tcW w:w="313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见图2-2</w:t>
                  </w:r>
                </w:p>
              </w:tc>
              <w:tc>
                <w:tcPr>
                  <w:tcW w:w="1292"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环保措施</w:t>
                  </w:r>
                </w:p>
              </w:tc>
              <w:tc>
                <w:tcPr>
                  <w:tcW w:w="2988"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废水</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污水采用“接触氧化+混凝沉淀”污水处理工艺进行治理，确保出水水质达到GB8978-1996《污水综合排放标准》表4一级标准后经规范化排污口排放，对纳污水体田朴溪的水质影响较小。</w:t>
                  </w:r>
                </w:p>
              </w:tc>
              <w:tc>
                <w:tcPr>
                  <w:tcW w:w="313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废水：</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生活污水经三级化粪池预处理后与清洗废水一同经过生化处理后排入</w:t>
                  </w:r>
                  <w:r>
                    <w:rPr>
                      <w:rFonts w:hint="default" w:ascii="Times New Roman" w:hAnsi="Times New Roman" w:eastAsia="宋体" w:cs="Times New Roman"/>
                      <w:color w:val="000000" w:themeColor="text1"/>
                      <w:kern w:val="0"/>
                      <w:sz w:val="21"/>
                      <w:szCs w:val="21"/>
                      <w:lang w:val="zh-CN" w:eastAsia="zh-CN" w:bidi="ar-SA"/>
                      <w14:textFill>
                        <w14:solidFill>
                          <w14:schemeClr w14:val="tx1"/>
                        </w14:solidFill>
                      </w14:textFill>
                    </w:rPr>
                    <w:t>诏安县城东污水处理厂。</w:t>
                  </w:r>
                </w:p>
              </w:tc>
              <w:tc>
                <w:tcPr>
                  <w:tcW w:w="1292" w:type="dxa"/>
                  <w:vMerge w:val="restart"/>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与环评一致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color w:val="000000" w:themeColor="text1"/>
                      <w14:textFill>
                        <w14:solidFill>
                          <w14:schemeClr w14:val="tx1"/>
                        </w14:solidFill>
                      </w14:textFill>
                    </w:rPr>
                  </w:pPr>
                </w:p>
              </w:tc>
              <w:tc>
                <w:tcPr>
                  <w:tcW w:w="2988"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废气：</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塑料米熔融、注塑过程产生的非甲烷总烃有机废气采取措施将废气集中收集后通过15米的排气筒高空排放</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w:t>
                  </w:r>
                </w:p>
              </w:tc>
              <w:tc>
                <w:tcPr>
                  <w:tcW w:w="313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废气：</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项目不再生产塑料制品，故没有有机废气产生。原环评设计的调味料生产产生的无组织废气改为有组织排放：熬煮废气分别经过两套油烟净化装置处理后通过两根16m高排气筒排放；油炸废气分别经过两套油烟净化装置处理后通过两根16m高排气筒排放；焙炒废气通过油烟净化装置处理后通过16m高排气筒排放；冷却废气通过油烟净化装置处理后通过16m高排气筒排放。</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c>
                <w:tcPr>
                  <w:tcW w:w="2988"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噪声：</w:t>
                  </w:r>
                  <w:r>
                    <w:rPr>
                      <w:bCs/>
                      <w:color w:val="000000" w:themeColor="text1"/>
                      <w:spacing w:val="-6"/>
                      <w:sz w:val="21"/>
                      <w:szCs w:val="21"/>
                      <w:highlight w:val="none"/>
                      <w14:textFill>
                        <w14:solidFill>
                          <w14:schemeClr w14:val="tx1"/>
                        </w14:solidFill>
                      </w14:textFill>
                    </w:rPr>
                    <w:t>采用减振、墙体隔声及距离衰减</w:t>
                  </w:r>
                </w:p>
              </w:tc>
              <w:tc>
                <w:tcPr>
                  <w:tcW w:w="3135" w:type="dxa"/>
                  <w:tcBorders>
                    <w:tl2br w:val="nil"/>
                    <w:tr2bl w:val="nil"/>
                  </w:tcBorders>
                  <w:vAlign w:val="center"/>
                </w:tcPr>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both"/>
                    <w:textAlignment w:val="auto"/>
                    <w:outlineLvl w:val="9"/>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噪声：</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通过合理布局，使高噪声设备远离厂界；对噪声值较高的设备基座底部安装减振垫等；定期检查并调整好运动机器部件的静平衡与动平衡的动力，加强设备维护，使其处于良好运行状态，以此来降低环境噪声污染</w:t>
                  </w:r>
                  <w:r>
                    <w:rPr>
                      <w:rFonts w:hint="eastAsia" w:ascii="Times New Roman" w:hAnsi="Times New Roman" w:cs="Times New Roman"/>
                      <w:color w:val="000000" w:themeColor="text1"/>
                      <w:kern w:val="0"/>
                      <w:sz w:val="21"/>
                      <w:szCs w:val="21"/>
                      <w:lang w:val="en-US" w:eastAsia="zh-CN" w:bidi="ar-SA"/>
                      <w14:textFill>
                        <w14:solidFill>
                          <w14:schemeClr w14:val="tx1"/>
                        </w14:solidFill>
                      </w14:textFill>
                    </w:rPr>
                    <w:t>。</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c>
                <w:tcPr>
                  <w:tcW w:w="2988" w:type="dxa"/>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snapToGrid/>
                      <w:color w:val="000000" w:themeColor="text1"/>
                      <w:kern w:val="0"/>
                      <w:sz w:val="21"/>
                      <w:szCs w:val="21"/>
                      <w:lang w:val="en-US" w:eastAsia="zh-CN" w:bidi="ar-SA"/>
                      <w14:textFill>
                        <w14:solidFill>
                          <w14:schemeClr w14:val="tx1"/>
                        </w14:solidFill>
                      </w14:textFill>
                    </w:rPr>
                    <w:t>固废：</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项目中转的塑料制品、食品罐头等货物均己打包好，装卸过程不产生固废；塑料制品生产过程的修边工序产生的边角料及不合格产品经破碎机破碎后回用于生产；职工生活垃圾的产生量为16.8t/a，分类收集后由工业区环卫部门及时清理外运；沙茶酱、辣酱酱生产过程中原料的筛选工序会产生一定量的杂质，产生量约为1.5吨/年，集中收集后与生活垃圾一起外运；磨酱、熬煮和搅拌工序会因散落和粘在容器上而损耗部分的原料，损耗量约为0.5吨/年，该部分随着设备和车间的清洗而进入废水中。</w:t>
                  </w:r>
                </w:p>
              </w:tc>
              <w:tc>
                <w:tcPr>
                  <w:tcW w:w="3135" w:type="dxa"/>
                  <w:tcBorders>
                    <w:tl2br w:val="nil"/>
                    <w:tr2bl w:val="nil"/>
                  </w:tcBorders>
                  <w:vAlign w:val="center"/>
                </w:tcPr>
                <w:p>
                  <w:pPr>
                    <w:pStyle w:val="46"/>
                    <w:pageBreakBefore w:val="0"/>
                    <w:kinsoku/>
                    <w:wordWrap/>
                    <w:overflowPunct/>
                    <w:topLinePunct w:val="0"/>
                    <w:bidi w:val="0"/>
                    <w:spacing w:line="240" w:lineRule="auto"/>
                    <w:ind w:left="0" w:leftChars="0" w:firstLine="0" w:firstLineChars="0"/>
                    <w:jc w:val="left"/>
                    <w:rPr>
                      <w:rFonts w:hint="default" w:ascii="Times New Roman" w:hAnsi="Times New Roman" w:eastAsia="宋体" w:cs="Times New Roman"/>
                      <w:b/>
                      <w:bCs/>
                      <w:color w:val="0000FF"/>
                      <w:kern w:val="0"/>
                      <w:sz w:val="21"/>
                      <w:szCs w:val="21"/>
                      <w:lang w:val="en-US" w:eastAsia="zh-CN" w:bidi="ar-SA"/>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固废：</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生活垃圾：</w:t>
                  </w:r>
                  <w:r>
                    <w:rPr>
                      <w:rFonts w:hint="default" w:ascii="Times New Roman" w:hAnsi="Times New Roman" w:eastAsia="宋体" w:cs="Times New Roman"/>
                      <w:color w:val="000000" w:themeColor="text1"/>
                      <w:kern w:val="0"/>
                      <w:sz w:val="21"/>
                      <w:szCs w:val="21"/>
                      <w:lang w:val="en-GB" w:eastAsia="zh-CN" w:bidi="ar-SA"/>
                      <w14:textFill>
                        <w14:solidFill>
                          <w14:schemeClr w14:val="tx1"/>
                        </w14:solidFill>
                      </w14:textFill>
                    </w:rPr>
                    <w:t>生活垃圾分类收集后统一交由环卫部门清运处置</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。一般工业固体废物：原料边角料统一收集后</w:t>
                  </w:r>
                  <w:r>
                    <w:rPr>
                      <w:rFonts w:hint="default" w:ascii="Times New Roman" w:hAnsi="Times New Roman" w:eastAsia="宋体" w:cs="Times New Roman"/>
                      <w:color w:val="000000" w:themeColor="text1"/>
                      <w:kern w:val="0"/>
                      <w:sz w:val="21"/>
                      <w:szCs w:val="21"/>
                      <w:lang w:val="en-GB" w:eastAsia="zh-CN" w:bidi="ar-SA"/>
                      <w14:textFill>
                        <w14:solidFill>
                          <w14:schemeClr w14:val="tx1"/>
                        </w14:solidFill>
                      </w14:textFill>
                    </w:rPr>
                    <w:t>交由环卫部门清运处置</w:t>
                  </w:r>
                  <w:r>
                    <w:rPr>
                      <w:rFonts w:hint="eastAsia" w:ascii="Times New Roman" w:hAnsi="Times New Roman" w:eastAsia="宋体" w:cs="Times New Roman"/>
                      <w:color w:val="000000" w:themeColor="text1"/>
                      <w:kern w:val="0"/>
                      <w:sz w:val="21"/>
                      <w:szCs w:val="21"/>
                      <w:lang w:val="en-GB"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废包装材料委托厂家回收利用，污水处理设施产生的废油脂委托油脂回收单位回收利用。 </w:t>
                  </w:r>
                </w:p>
              </w:tc>
              <w:tc>
                <w:tcPr>
                  <w:tcW w:w="1292" w:type="dxa"/>
                  <w:vMerge w:val="continue"/>
                  <w:tcBorders>
                    <w:tl2br w:val="nil"/>
                    <w:tr2bl w:val="nil"/>
                  </w:tcBorders>
                  <w:vAlign w:val="center"/>
                </w:tcPr>
                <w:p>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b/>
                      <w:bCs/>
                      <w:color w:val="0000FF"/>
                      <w:kern w:val="0"/>
                      <w:sz w:val="21"/>
                      <w:szCs w:val="21"/>
                      <w:lang w:val="en-US" w:eastAsia="zh-CN" w:bidi="ar-SA"/>
                    </w:rPr>
                  </w:pPr>
                </w:p>
              </w:tc>
            </w:tr>
          </w:tbl>
          <w:p>
            <w:pPr>
              <w:pStyle w:val="37"/>
              <w:spacing w:line="360" w:lineRule="auto"/>
              <w:ind w:firstLine="480" w:firstLineChars="200"/>
              <w:jc w:val="both"/>
              <w:rPr>
                <w:rFonts w:ascii="Times New Roman" w:hAnsi="Times New Roman" w:eastAsia="宋体" w:cs="Times New Roman"/>
                <w:b w:val="0"/>
                <w:color w:val="auto"/>
                <w:sz w:val="24"/>
                <w:szCs w:val="24"/>
                <w:lang w:val="en-US" w:eastAsia="zh-CN" w:bidi="ar-SA"/>
              </w:rPr>
            </w:pPr>
            <w:r>
              <w:rPr>
                <w:rFonts w:ascii="Times New Roman" w:hAnsi="Times New Roman" w:eastAsia="宋体" w:cs="Times New Roman"/>
                <w:b w:val="0"/>
                <w:color w:val="auto"/>
                <w:sz w:val="24"/>
                <w:szCs w:val="24"/>
                <w:lang w:val="en-US" w:eastAsia="zh-CN" w:bidi="ar-SA"/>
              </w:rPr>
              <w:t>根据项目实际建设情况，经过与《污染影响类建设项目重大变动清单（试行）》</w:t>
            </w:r>
            <w:r>
              <w:rPr>
                <w:rFonts w:hint="eastAsia" w:ascii="Times New Roman" w:hAnsi="Times New Roman" w:eastAsia="宋体" w:cs="Times New Roman"/>
                <w:b w:val="0"/>
                <w:color w:val="auto"/>
                <w:sz w:val="24"/>
                <w:szCs w:val="24"/>
                <w:lang w:val="en-US" w:eastAsia="zh-CN" w:bidi="ar-SA"/>
              </w:rPr>
              <w:t>（环办环评函[2020]688号）</w:t>
            </w:r>
            <w:r>
              <w:rPr>
                <w:rFonts w:ascii="Times New Roman" w:hAnsi="Times New Roman" w:eastAsia="宋体" w:cs="Times New Roman"/>
                <w:b w:val="0"/>
                <w:color w:val="auto"/>
                <w:sz w:val="24"/>
                <w:szCs w:val="24"/>
                <w:lang w:val="en-US" w:eastAsia="zh-CN" w:bidi="ar-SA"/>
              </w:rPr>
              <w:t>的</w:t>
            </w:r>
            <w:r>
              <w:rPr>
                <w:rFonts w:hint="eastAsia" w:ascii="Times New Roman" w:hAnsi="Times New Roman" w:eastAsia="宋体" w:cs="Times New Roman"/>
                <w:b w:val="0"/>
                <w:color w:val="auto"/>
                <w:sz w:val="24"/>
                <w:szCs w:val="24"/>
                <w:lang w:val="en-US" w:eastAsia="zh-CN" w:bidi="ar-SA"/>
              </w:rPr>
              <w:t>十三条内容逐一对照</w:t>
            </w:r>
            <w:r>
              <w:rPr>
                <w:rFonts w:ascii="Times New Roman" w:hAnsi="Times New Roman" w:eastAsia="宋体" w:cs="Times New Roman"/>
                <w:b w:val="0"/>
                <w:color w:val="auto"/>
                <w:sz w:val="24"/>
                <w:szCs w:val="24"/>
                <w:lang w:val="en-US" w:eastAsia="zh-CN" w:bidi="ar-SA"/>
              </w:rPr>
              <w:t>，最终得出结论：本项目不存在《污染影响类建设项目重大变动清单（试行）》</w:t>
            </w:r>
            <w:r>
              <w:rPr>
                <w:rFonts w:hint="eastAsia" w:ascii="Times New Roman" w:hAnsi="Times New Roman" w:eastAsia="宋体" w:cs="Times New Roman"/>
                <w:b w:val="0"/>
                <w:color w:val="auto"/>
                <w:sz w:val="24"/>
                <w:szCs w:val="24"/>
                <w:lang w:val="en-US" w:eastAsia="zh-CN" w:bidi="ar-SA"/>
              </w:rPr>
              <w:t>（环办环评函[2020]688号）</w:t>
            </w:r>
            <w:r>
              <w:rPr>
                <w:rFonts w:ascii="Times New Roman" w:hAnsi="Times New Roman" w:eastAsia="宋体" w:cs="Times New Roman"/>
                <w:b w:val="0"/>
                <w:color w:val="auto"/>
                <w:sz w:val="24"/>
                <w:szCs w:val="24"/>
                <w:lang w:val="en-US" w:eastAsia="zh-CN" w:bidi="ar-SA"/>
              </w:rPr>
              <w:t>的</w:t>
            </w:r>
            <w:r>
              <w:rPr>
                <w:rFonts w:hint="eastAsia" w:ascii="Times New Roman" w:hAnsi="Times New Roman" w:eastAsia="宋体" w:cs="Times New Roman"/>
                <w:b w:val="0"/>
                <w:color w:val="auto"/>
                <w:sz w:val="24"/>
                <w:szCs w:val="24"/>
                <w:lang w:val="en-US" w:eastAsia="zh-CN" w:bidi="ar-SA"/>
              </w:rPr>
              <w:t>十三条内容的重大变动</w:t>
            </w:r>
            <w:r>
              <w:rPr>
                <w:rFonts w:ascii="Times New Roman" w:hAnsi="Times New Roman" w:eastAsia="宋体" w:cs="Times New Roman"/>
                <w:b w:val="0"/>
                <w:color w:val="auto"/>
                <w:sz w:val="24"/>
                <w:szCs w:val="24"/>
                <w:lang w:val="en-US" w:eastAsia="zh-CN" w:bidi="ar-SA"/>
              </w:rPr>
              <w:t>情形。</w:t>
            </w:r>
          </w:p>
          <w:p>
            <w:pPr>
              <w:pStyle w:val="37"/>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5、水平衡：</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目前本项目生产过程中产生的废水主要为员工生活污水和清洗废水。</w:t>
            </w:r>
          </w:p>
          <w:p>
            <w:pPr>
              <w:widowControl w:val="0"/>
              <w:snapToGrid w:val="0"/>
              <w:spacing w:line="360" w:lineRule="auto"/>
              <w:ind w:firstLine="480" w:firstLine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经核实</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pStyle w:val="14"/>
              <w:widowControl w:val="0"/>
              <w:spacing w:line="360" w:lineRule="auto"/>
              <w:ind w:left="0" w:firstLine="480" w:firstLine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原料清洗用水为3.5m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废水产生量为2.8</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沙茶酱和辣椒酱生产过程加入的水约4.34m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带入产品，无废水产生；</w:t>
            </w:r>
            <w:r>
              <w:rPr>
                <w:rFonts w:hint="default" w:ascii="Times New Roman" w:hAnsi="Times New Roman" w:eastAsia="宋体" w:cs="Times New Roman"/>
                <w:color w:val="000000" w:themeColor="text1"/>
                <w:sz w:val="24"/>
                <w:szCs w:val="24"/>
                <w14:textFill>
                  <w14:solidFill>
                    <w14:schemeClr w14:val="tx1"/>
                  </w14:solidFill>
                </w14:textFill>
              </w:rPr>
              <w:t>生产设备和车间清洗用水量约为4m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废水产生量为3.2</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项目员工生活用水为17.5m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生活污水产生量为14</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w:t>
            </w:r>
          </w:p>
          <w:p>
            <w:pPr>
              <w:pStyle w:val="14"/>
              <w:widowControl w:val="0"/>
              <w:spacing w:line="360" w:lineRule="auto"/>
              <w:ind w:left="0" w:firstLine="480" w:firstLine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员工生活污水经三级化粪池预处理后与清洗废水一同经过生化处理后排入</w:t>
            </w:r>
            <w:r>
              <w:rPr>
                <w:rFonts w:hint="default" w:ascii="Times New Roman" w:hAnsi="Times New Roman" w:eastAsia="宋体" w:cs="Times New Roman"/>
                <w:color w:val="000000" w:themeColor="text1"/>
                <w:sz w:val="24"/>
                <w:szCs w:val="24"/>
                <w14:textFill>
                  <w14:solidFill>
                    <w14:schemeClr w14:val="tx1"/>
                  </w14:solidFill>
                </w14:textFill>
              </w:rPr>
              <w:t>诏安县城东污水处理厂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p>
          <w:p>
            <w:pPr>
              <w:pStyle w:val="4"/>
              <w:widowControl w:val="0"/>
              <w:jc w:val="center"/>
              <w:rPr>
                <w:rFonts w:hint="default" w:ascii="Times New Roman" w:hAnsi="Times New Roman" w:eastAsia="宋体" w:cs="Times New Roman"/>
                <w:b/>
                <w:color w:val="0000FF"/>
                <w:sz w:val="21"/>
                <w:szCs w:val="18"/>
                <w:lang w:val="zh-CN"/>
              </w:rPr>
            </w:pPr>
          </w:p>
          <w:p>
            <w:pPr>
              <w:pStyle w:val="4"/>
              <w:widowControl w:val="0"/>
              <w:jc w:val="both"/>
              <w:rPr>
                <w:rFonts w:hint="default" w:ascii="Times New Roman" w:hAnsi="Times New Roman" w:eastAsia="宋体" w:cs="Times New Roman"/>
                <w:b/>
                <w:color w:val="0000FF"/>
                <w:sz w:val="21"/>
                <w:szCs w:val="18"/>
                <w:lang w:val="zh-CN"/>
              </w:rPr>
            </w:pPr>
            <w:r>
              <w:drawing>
                <wp:inline distT="0" distB="0" distL="114300" distR="114300">
                  <wp:extent cx="5565775" cy="3477260"/>
                  <wp:effectExtent l="0" t="0" r="15875"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5565775" cy="3477260"/>
                          </a:xfrm>
                          <a:prstGeom prst="rect">
                            <a:avLst/>
                          </a:prstGeom>
                          <a:noFill/>
                          <a:ln>
                            <a:noFill/>
                          </a:ln>
                        </pic:spPr>
                      </pic:pic>
                    </a:graphicData>
                  </a:graphic>
                </wp:inline>
              </w:drawing>
            </w:r>
          </w:p>
          <w:p>
            <w:pPr>
              <w:pStyle w:val="4"/>
              <w:widowControl w:val="0"/>
              <w:jc w:val="center"/>
              <w:rPr>
                <w:rFonts w:hint="eastAsia"/>
                <w:color w:val="000000" w:themeColor="text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18"/>
                <w:lang w:val="zh-CN"/>
                <w14:textFill>
                  <w14:solidFill>
                    <w14:schemeClr w14:val="tx1"/>
                  </w14:solidFill>
                </w14:textFill>
              </w:rPr>
              <w:t>图</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2-1</w:t>
            </w:r>
            <w:r>
              <w:rPr>
                <w:rFonts w:hint="default" w:ascii="Times New Roman" w:hAnsi="Times New Roman" w:eastAsia="宋体" w:cs="Times New Roman"/>
                <w:b/>
                <w:color w:val="000000" w:themeColor="text1"/>
                <w:sz w:val="21"/>
                <w:szCs w:val="1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水平衡图（</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b/>
                <w:color w:val="000000" w:themeColor="text1"/>
                <w:sz w:val="21"/>
                <w:szCs w:val="18"/>
                <w:lang w:val="en-US" w:eastAsia="zh-CN"/>
                <w14:textFill>
                  <w14:solidFill>
                    <w14:schemeClr w14:val="tx1"/>
                  </w14:solidFill>
                </w14:textFill>
              </w:rPr>
              <w:t>）</w:t>
            </w:r>
          </w:p>
          <w:p>
            <w:pPr>
              <w:pStyle w:val="24"/>
              <w:keepNext w:val="0"/>
              <w:keepLines w:val="0"/>
              <w:pageBreakBefore w:val="0"/>
              <w:widowControl w:val="0"/>
              <w:kinsoku/>
              <w:wordWrap/>
              <w:overflowPunct/>
              <w:topLinePunct w:val="0"/>
              <w:autoSpaceDE/>
              <w:autoSpaceDN/>
              <w:bidi w:val="0"/>
              <w:adjustRightInd w:val="0"/>
              <w:snapToGrid w:val="0"/>
              <w:spacing w:before="181" w:beforeLines="50"/>
              <w:ind w:firstLine="450" w:firstLineChars="200"/>
              <w:jc w:val="both"/>
              <w:textAlignment w:val="auto"/>
              <w:rPr>
                <w:rFonts w:ascii="Times New Roman" w:hAnsi="Times New Roman" w:eastAsia="宋体" w:cs="Times New Roman"/>
                <w:b/>
                <w:bCs/>
                <w:color w:val="000000" w:themeColor="text1"/>
                <w:sz w:val="21"/>
                <w:szCs w:val="2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6、主要工艺流程及产污环节</w:t>
            </w:r>
          </w:p>
          <w:p>
            <w:pPr>
              <w:pStyle w:val="24"/>
              <w:widowControl w:val="0"/>
              <w:ind w:firstLine="0" w:firstLineChars="0"/>
              <w:jc w:val="left"/>
              <w:rPr>
                <w:rFonts w:ascii="Times New Roman" w:hAnsi="Times New Roman" w:eastAsia="宋体" w:cs="Times New Roman"/>
                <w:b/>
                <w:bCs/>
                <w:color w:val="0000FF"/>
                <w:sz w:val="21"/>
                <w:szCs w:val="21"/>
              </w:rPr>
            </w:pPr>
          </w:p>
          <w:p>
            <w:pPr>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0000FF"/>
              </w:rPr>
            </w:pPr>
            <w:bookmarkStart w:id="0" w:name="_Toc29387767"/>
            <w:r>
              <w:drawing>
                <wp:inline distT="0" distB="0" distL="114300" distR="114300">
                  <wp:extent cx="5467350" cy="2543175"/>
                  <wp:effectExtent l="0" t="0" r="0"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467350" cy="2543175"/>
                          </a:xfrm>
                          <a:prstGeom prst="rect">
                            <a:avLst/>
                          </a:prstGeom>
                          <a:noFill/>
                          <a:ln>
                            <a:noFill/>
                          </a:ln>
                        </pic:spPr>
                      </pic:pic>
                    </a:graphicData>
                  </a:graphic>
                </wp:inline>
              </w:drawing>
            </w:r>
          </w:p>
          <w:p>
            <w:pPr>
              <w:pageBreakBefore w:val="0"/>
              <w:widowControl w:val="0"/>
              <w:kinsoku/>
              <w:wordWrap/>
              <w:overflowPunct/>
              <w:topLinePunct w:val="0"/>
              <w:bidi w:val="0"/>
              <w:adjustRightInd w:val="0"/>
              <w:snapToGrid w:val="0"/>
              <w:spacing w:line="360" w:lineRule="auto"/>
              <w:jc w:val="center"/>
              <w:rPr>
                <w:rFonts w:hint="default" w:ascii="Times New Roman" w:hAnsi="Times New Roman" w:eastAsia="宋体" w:cs="Times New Roman"/>
                <w:b/>
                <w:color w:val="auto"/>
                <w:sz w:val="21"/>
                <w:szCs w:val="18"/>
                <w:lang w:val="en-US" w:eastAsia="zh-CN"/>
              </w:rPr>
            </w:pPr>
            <w:r>
              <w:rPr>
                <w:rFonts w:hint="default" w:ascii="Times New Roman" w:hAnsi="Times New Roman" w:eastAsia="宋体" w:cs="Times New Roman"/>
                <w:b/>
                <w:color w:val="auto"/>
                <w:sz w:val="21"/>
                <w:szCs w:val="18"/>
                <w:lang w:val="zh-CN"/>
              </w:rPr>
              <w:t>图</w:t>
            </w:r>
            <w:r>
              <w:rPr>
                <w:rFonts w:hint="eastAsia" w:ascii="Times New Roman" w:hAnsi="Times New Roman" w:eastAsia="宋体" w:cs="Times New Roman"/>
                <w:b/>
                <w:color w:val="auto"/>
                <w:sz w:val="21"/>
                <w:szCs w:val="18"/>
                <w:lang w:val="en-US" w:eastAsia="zh-CN"/>
              </w:rPr>
              <w:t>2-2</w:t>
            </w:r>
            <w:r>
              <w:rPr>
                <w:rFonts w:hint="default" w:ascii="Times New Roman" w:hAnsi="Times New Roman" w:eastAsia="宋体" w:cs="Times New Roman"/>
                <w:b/>
                <w:color w:val="auto"/>
                <w:sz w:val="21"/>
                <w:szCs w:val="18"/>
                <w:lang w:val="en-US" w:eastAsia="zh-CN"/>
              </w:rPr>
              <w:t xml:space="preserve"> </w:t>
            </w:r>
            <w:r>
              <w:rPr>
                <w:rFonts w:hint="eastAsia" w:ascii="Times New Roman" w:hAnsi="Times New Roman" w:eastAsia="宋体" w:cs="Times New Roman"/>
                <w:b/>
                <w:color w:val="auto"/>
                <w:sz w:val="21"/>
                <w:szCs w:val="18"/>
                <w:lang w:val="en-US" w:eastAsia="zh-CN"/>
              </w:rPr>
              <w:t>生产</w:t>
            </w:r>
            <w:r>
              <w:rPr>
                <w:rFonts w:hint="default" w:ascii="Times New Roman" w:hAnsi="Times New Roman" w:eastAsia="宋体" w:cs="Times New Roman"/>
                <w:b/>
                <w:color w:val="auto"/>
                <w:sz w:val="21"/>
                <w:szCs w:val="18"/>
                <w:lang w:val="en-US" w:eastAsia="zh-CN"/>
              </w:rPr>
              <w:t>工艺流程及产污环节</w:t>
            </w:r>
          </w:p>
          <w:p>
            <w:pPr>
              <w:widowControl w:val="0"/>
              <w:adjustRightInd w:val="0"/>
              <w:spacing w:line="360" w:lineRule="auto"/>
              <w:ind w:firstLine="482" w:firstLineChars="200"/>
              <w:jc w:val="both"/>
              <w:rPr>
                <w:rFonts w:hint="default" w:ascii="Times New Roman" w:hAnsi="Times New Roman" w:eastAsia="宋体" w:cs="Times New Roman"/>
                <w:b/>
                <w:bCs/>
                <w:color w:val="auto"/>
                <w:spacing w:val="0"/>
                <w:sz w:val="24"/>
                <w:szCs w:val="22"/>
                <w:lang w:val="en-US" w:eastAsia="zh-CN" w:bidi="ar-SA"/>
              </w:rPr>
            </w:pPr>
            <w:r>
              <w:rPr>
                <w:rFonts w:hint="default" w:ascii="Times New Roman" w:hAnsi="Times New Roman" w:eastAsia="宋体" w:cs="Times New Roman"/>
                <w:b/>
                <w:bCs/>
                <w:color w:val="auto"/>
                <w:spacing w:val="0"/>
                <w:sz w:val="24"/>
                <w:szCs w:val="22"/>
                <w:lang w:val="en-US" w:eastAsia="zh-CN" w:bidi="ar-SA"/>
              </w:rPr>
              <w:t>产污环节:</w:t>
            </w:r>
          </w:p>
          <w:p>
            <w:pPr>
              <w:pStyle w:val="6"/>
              <w:widowControl w:val="0"/>
              <w:jc w:val="center"/>
              <w:rPr>
                <w:rFonts w:hint="default" w:ascii="Times New Roman" w:hAnsi="Times New Roman" w:eastAsia="宋体" w:cs="Times New Roman"/>
                <w:b/>
                <w:color w:val="auto"/>
                <w:sz w:val="21"/>
                <w:szCs w:val="21"/>
                <w:shd w:val="clear"/>
                <w:lang w:val="en-US" w:eastAsia="zh-CN" w:bidi="ar-SA"/>
              </w:rPr>
            </w:pPr>
            <w:r>
              <w:rPr>
                <w:rFonts w:hint="default" w:ascii="Times New Roman" w:hAnsi="Times New Roman" w:eastAsia="宋体" w:cs="Times New Roman"/>
                <w:b/>
                <w:color w:val="auto"/>
                <w:sz w:val="21"/>
                <w:szCs w:val="21"/>
                <w:shd w:val="clear"/>
                <w:lang w:val="en-US" w:eastAsia="zh-CN" w:bidi="ar-SA"/>
              </w:rPr>
              <w:t>表</w:t>
            </w:r>
            <w:r>
              <w:rPr>
                <w:rFonts w:hint="eastAsia" w:ascii="Times New Roman" w:hAnsi="Times New Roman" w:eastAsia="宋体" w:cs="Times New Roman"/>
                <w:b/>
                <w:color w:val="auto"/>
                <w:sz w:val="21"/>
                <w:szCs w:val="21"/>
                <w:shd w:val="clear"/>
                <w:lang w:val="en-US" w:eastAsia="zh-CN" w:bidi="ar-SA"/>
              </w:rPr>
              <w:t>2-5</w:t>
            </w:r>
            <w:r>
              <w:rPr>
                <w:rFonts w:hint="default" w:ascii="Times New Roman" w:hAnsi="Times New Roman" w:eastAsia="宋体" w:cs="Times New Roman"/>
                <w:b/>
                <w:color w:val="auto"/>
                <w:sz w:val="21"/>
                <w:szCs w:val="21"/>
                <w:shd w:val="clear"/>
                <w:lang w:val="en-US" w:eastAsia="zh-CN" w:bidi="ar-SA"/>
              </w:rPr>
              <w:t xml:space="preserve"> 项目产污环节汇总表</w:t>
            </w:r>
          </w:p>
          <w:tbl>
            <w:tblPr>
              <w:tblStyle w:val="26"/>
              <w:tblW w:w="4941" w:type="pct"/>
              <w:jc w:val="center"/>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Layout w:type="fixed"/>
              <w:tblCellMar>
                <w:top w:w="0" w:type="dxa"/>
                <w:left w:w="108" w:type="dxa"/>
                <w:bottom w:w="0" w:type="dxa"/>
                <w:right w:w="108" w:type="dxa"/>
              </w:tblCellMar>
            </w:tblPr>
            <w:tblGrid>
              <w:gridCol w:w="870"/>
              <w:gridCol w:w="1549"/>
              <w:gridCol w:w="1829"/>
              <w:gridCol w:w="1738"/>
              <w:gridCol w:w="595"/>
              <w:gridCol w:w="2067"/>
            </w:tblGrid>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50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 别</w:t>
                  </w:r>
                </w:p>
              </w:tc>
              <w:tc>
                <w:tcPr>
                  <w:tcW w:w="8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产污环节</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主要污染物</w:t>
                  </w:r>
                </w:p>
              </w:tc>
              <w:tc>
                <w:tcPr>
                  <w:tcW w:w="100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收集方式</w:t>
                  </w:r>
                </w:p>
              </w:tc>
              <w:tc>
                <w:tcPr>
                  <w:tcW w:w="1539"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处置措施及去向</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50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8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油烟废气</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油烟</w:t>
                  </w:r>
                </w:p>
              </w:tc>
              <w:tc>
                <w:tcPr>
                  <w:tcW w:w="1004"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集气罩</w:t>
                  </w:r>
                </w:p>
              </w:tc>
              <w:tc>
                <w:tcPr>
                  <w:tcW w:w="1539"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油烟净化器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31" w:hRule="atLeast"/>
                <w:jc w:val="center"/>
              </w:trPr>
              <w:tc>
                <w:tcPr>
                  <w:tcW w:w="50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8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职工用水</w:t>
                  </w:r>
                </w:p>
              </w:tc>
              <w:tc>
                <w:tcPr>
                  <w:tcW w:w="105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COD、</w:t>
                  </w:r>
                  <w:r>
                    <w:rPr>
                      <w:rFonts w:hint="default" w:ascii="Times New Roman" w:hAnsi="Times New Roman" w:eastAsia="宋体" w:cs="Times New Roman"/>
                      <w:color w:val="auto"/>
                      <w:sz w:val="21"/>
                      <w:szCs w:val="21"/>
                    </w:rPr>
                    <w:t>BOD5、NH3-N、SS</w:t>
                  </w:r>
                </w:p>
              </w:tc>
              <w:tc>
                <w:tcPr>
                  <w:tcW w:w="2543" w:type="pct"/>
                  <w:gridSpan w:val="3"/>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依托厂房配套三级化粪池</w:t>
                  </w:r>
                  <w:r>
                    <w:rPr>
                      <w:rFonts w:hint="eastAsia" w:ascii="Times New Roman" w:hAnsi="Times New Roman" w:eastAsia="宋体" w:cs="Times New Roman"/>
                      <w:color w:val="auto"/>
                      <w:sz w:val="21"/>
                      <w:szCs w:val="21"/>
                      <w:lang w:val="en-US" w:eastAsia="zh-CN"/>
                    </w:rPr>
                    <w:t>+生化处理设施</w:t>
                  </w:r>
                  <w:r>
                    <w:rPr>
                      <w:rFonts w:hint="default" w:ascii="Times New Roman" w:hAnsi="Times New Roman" w:eastAsia="宋体" w:cs="Times New Roman"/>
                      <w:color w:val="auto"/>
                      <w:sz w:val="21"/>
                      <w:szCs w:val="21"/>
                      <w:lang w:val="en-US" w:eastAsia="zh-CN"/>
                    </w:rPr>
                    <w:t>通过市政污水管道进入</w:t>
                  </w:r>
                  <w:r>
                    <w:rPr>
                      <w:rFonts w:hint="default" w:ascii="Times New Roman" w:hAnsi="Times New Roman" w:eastAsia="宋体" w:cs="Times New Roman"/>
                      <w:color w:val="auto"/>
                      <w:sz w:val="21"/>
                      <w:szCs w:val="21"/>
                    </w:rPr>
                    <w:t>诏安县城东污水处理厂</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31" w:hRule="atLeast"/>
                <w:jc w:val="center"/>
              </w:trPr>
              <w:tc>
                <w:tcPr>
                  <w:tcW w:w="503"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清洗废水</w:t>
                  </w:r>
                </w:p>
              </w:tc>
              <w:tc>
                <w:tcPr>
                  <w:tcW w:w="1057"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p>
              </w:tc>
              <w:tc>
                <w:tcPr>
                  <w:tcW w:w="2543" w:type="pct"/>
                  <w:gridSpan w:val="3"/>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bidi="ar-SA"/>
                    </w:rPr>
                  </w:pP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50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8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2543" w:type="pct"/>
                  <w:gridSpan w:val="3"/>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环卫部门统一清运</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503"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包装</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废包装材料</w:t>
                  </w:r>
                </w:p>
              </w:tc>
              <w:tc>
                <w:tcPr>
                  <w:tcW w:w="134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统一收集</w:t>
                  </w:r>
                </w:p>
              </w:tc>
              <w:tc>
                <w:tcPr>
                  <w:tcW w:w="11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厂家回收利用</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503"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原料边角料</w:t>
                  </w:r>
                </w:p>
              </w:tc>
              <w:tc>
                <w:tcPr>
                  <w:tcW w:w="134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统一收集</w:t>
                  </w:r>
                </w:p>
              </w:tc>
              <w:tc>
                <w:tcPr>
                  <w:tcW w:w="11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环卫部门统一清运</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503"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p>
              </w:tc>
              <w:tc>
                <w:tcPr>
                  <w:tcW w:w="8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废油脂</w:t>
                  </w:r>
                </w:p>
              </w:tc>
              <w:tc>
                <w:tcPr>
                  <w:tcW w:w="1348"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统一收集</w:t>
                  </w:r>
                </w:p>
              </w:tc>
              <w:tc>
                <w:tcPr>
                  <w:tcW w:w="11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油脂回收单位回收</w:t>
                  </w:r>
                </w:p>
              </w:tc>
            </w:tr>
            <w:tr>
              <w:tblPrEx>
                <w:tblBorders>
                  <w:top w:val="single" w:color="000000" w:sz="6" w:space="0"/>
                  <w:left w:val="single" w:color="000000" w:sz="6" w:space="0"/>
                  <w:bottom w:val="single" w:color="000000" w:sz="6" w:space="0"/>
                  <w:right w:val="single" w:color="000000" w:sz="6"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503"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895"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设备运行</w:t>
                  </w:r>
                </w:p>
              </w:tc>
              <w:tc>
                <w:tcPr>
                  <w:tcW w:w="1057" w:type="pc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设备噪声</w:t>
                  </w:r>
                </w:p>
              </w:tc>
              <w:tc>
                <w:tcPr>
                  <w:tcW w:w="2543" w:type="pct"/>
                  <w:gridSpan w:val="3"/>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选用低噪声设备、室内布置、减振</w:t>
                  </w:r>
                </w:p>
              </w:tc>
            </w:tr>
          </w:tbl>
          <w:p>
            <w:pPr>
              <w:pStyle w:val="5"/>
              <w:widowControl w:val="0"/>
              <w:numPr>
                <w:ilvl w:val="0"/>
                <w:numId w:val="2"/>
              </w:numPr>
              <w:spacing w:line="415" w:lineRule="auto"/>
              <w:ind w:firstLine="450" w:firstLineChars="200"/>
              <w:jc w:val="both"/>
              <w:outlineLvl w:val="1"/>
              <w:rPr>
                <w:rFonts w:ascii="Times New Roman" w:hAnsi="Times New Roman" w:eastAsia="宋体" w:cs="Times New Roman"/>
                <w:color w:val="auto"/>
                <w:spacing w:val="-8"/>
                <w:kern w:val="0"/>
                <w:sz w:val="24"/>
                <w:szCs w:val="24"/>
              </w:rPr>
            </w:pPr>
            <w:r>
              <w:rPr>
                <w:rFonts w:ascii="Times New Roman" w:hAnsi="Times New Roman" w:eastAsia="宋体" w:cs="Times New Roman"/>
                <w:color w:val="auto"/>
                <w:spacing w:val="-8"/>
                <w:kern w:val="0"/>
                <w:sz w:val="24"/>
                <w:szCs w:val="24"/>
              </w:rPr>
              <w:t>不符合验收情形统计</w:t>
            </w:r>
            <w:bookmarkEnd w:id="0"/>
          </w:p>
          <w:p>
            <w:pPr>
              <w:widowControl/>
              <w:spacing w:line="360" w:lineRule="auto"/>
              <w:ind w:firstLine="480" w:firstLineChars="200"/>
              <w:jc w:val="both"/>
              <w:rPr>
                <w:rFonts w:ascii="Times New Roman" w:hAnsi="Times New Roman" w:eastAsia="宋体" w:cs="Times New Roman"/>
                <w:color w:val="auto"/>
                <w:sz w:val="24"/>
              </w:rPr>
            </w:pPr>
            <w:r>
              <w:rPr>
                <w:rFonts w:ascii="Times New Roman" w:hAnsi="Times New Roman" w:eastAsia="宋体" w:cs="Times New Roman"/>
                <w:color w:val="auto"/>
                <w:sz w:val="24"/>
              </w:rPr>
              <w:t>根据项目实际建设情况，经过与《建设项目竣工环境保护验收暂行办法》第八条逐一对照，最终得出结论：本项目不存在《建设项目竣工环境保护验收暂行办法》（以下简称《办法》）第八条规定的验收不合格情形。本项目实际建设情况与《办法》第八条规定详细对比情况见下表</w:t>
            </w:r>
            <w:r>
              <w:rPr>
                <w:rFonts w:hint="eastAsia" w:ascii="Times New Roman" w:hAnsi="Times New Roman" w:eastAsia="宋体" w:cs="Times New Roman"/>
                <w:color w:val="auto"/>
                <w:sz w:val="24"/>
              </w:rPr>
              <w:t>2-</w:t>
            </w:r>
            <w:r>
              <w:rPr>
                <w:rFonts w:hint="eastAsia" w:ascii="Times New Roman" w:hAnsi="Times New Roman" w:eastAsia="宋体" w:cs="Times New Roman"/>
                <w:color w:val="auto"/>
                <w:sz w:val="24"/>
                <w:lang w:val="en-US" w:eastAsia="zh-CN"/>
              </w:rPr>
              <w:t>5</w:t>
            </w:r>
            <w:r>
              <w:rPr>
                <w:rFonts w:ascii="Times New Roman" w:hAnsi="Times New Roman" w:eastAsia="宋体" w:cs="Times New Roman"/>
                <w:color w:val="auto"/>
                <w:sz w:val="24"/>
              </w:rPr>
              <w:t>。</w:t>
            </w:r>
          </w:p>
          <w:p>
            <w:pPr>
              <w:pStyle w:val="52"/>
              <w:widowControl w:val="0"/>
              <w:spacing w:beforeLines="0" w:afterLines="0"/>
              <w:ind w:firstLine="422" w:firstLineChars="20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表</w:t>
            </w:r>
            <w:r>
              <w:rPr>
                <w:rFonts w:hint="eastAsia"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 xml:space="preserve">5 </w:t>
            </w:r>
            <w:r>
              <w:rPr>
                <w:rFonts w:ascii="Times New Roman" w:hAnsi="Times New Roman" w:eastAsia="宋体" w:cs="Times New Roman"/>
                <w:color w:val="auto"/>
                <w:sz w:val="21"/>
                <w:szCs w:val="21"/>
              </w:rPr>
              <w:t>项目与《建设项目竣工环境保护验收暂行办法》第八条规定对照情况一览表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416"/>
              <w:gridCol w:w="3742"/>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序号</w:t>
                  </w:r>
                </w:p>
              </w:tc>
              <w:tc>
                <w:tcPr>
                  <w:tcW w:w="1951"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《办法》规定不得提出验收合格意见的情形</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本项目实际建设情况</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是否存在不符合验收情形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1</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未按环境影响报告书（表）及其审批部门审批决定要求建成环境保护设施，或者环境保护设施不能与主体工程同时投产或者使用的；</w:t>
                  </w:r>
                </w:p>
              </w:tc>
              <w:tc>
                <w:tcPr>
                  <w:tcW w:w="2137" w:type="pct"/>
                  <w:vAlign w:val="center"/>
                </w:tcPr>
                <w:p>
                  <w:pPr>
                    <w:spacing w:line="240" w:lineRule="auto"/>
                    <w:jc w:val="center"/>
                    <w:rPr>
                      <w:rFonts w:hint="default"/>
                      <w:lang w:val="en-US" w:eastAsia="zh-CN"/>
                    </w:rPr>
                  </w:pPr>
                  <w:r>
                    <w:rPr>
                      <w:rFonts w:ascii="Times New Roman" w:hAnsi="Times New Roman" w:eastAsia="宋体" w:cs="Times New Roman"/>
                      <w:color w:val="auto"/>
                      <w:sz w:val="21"/>
                      <w:szCs w:val="21"/>
                    </w:rPr>
                    <w:t>项目按照建设项目环评及环评批复同时设计和建设了生活污水、废气、噪声、固废等污染防治设施，并同时投入试生产</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项目油炸、熬煮、焙炒、冷却由原环评设计的无组织排放改为有组织排放，减少废气污染；</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2</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污染物排放不符合国家和地方相关标准、环境影响报告书（表）及其审批部门审批决定或者重点污染物排放总量控制指标要求的；</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根据监测</w:t>
                  </w:r>
                  <w:r>
                    <w:rPr>
                      <w:rFonts w:hint="eastAsia" w:ascii="Times New Roman" w:hAnsi="Times New Roman" w:eastAsia="宋体" w:cs="Times New Roman"/>
                      <w:color w:val="auto"/>
                      <w:sz w:val="21"/>
                      <w:szCs w:val="21"/>
                    </w:rPr>
                    <w:t>结果</w:t>
                  </w:r>
                  <w:r>
                    <w:rPr>
                      <w:rFonts w:ascii="Times New Roman" w:hAnsi="Times New Roman" w:eastAsia="宋体"/>
                      <w:color w:val="auto"/>
                      <w:sz w:val="21"/>
                      <w:szCs w:val="21"/>
                    </w:rPr>
                    <w:t>，项目生活污水、废气、噪声监测结果均符合相关标准要求</w:t>
                  </w:r>
                  <w:r>
                    <w:rPr>
                      <w:rFonts w:ascii="Times New Roman" w:hAnsi="Times New Roman" w:eastAsia="宋体" w:cs="Times New Roman"/>
                      <w:color w:val="auto"/>
                      <w:sz w:val="21"/>
                      <w:szCs w:val="21"/>
                    </w:rPr>
                    <w:t>；</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3</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p>
              </w:tc>
              <w:tc>
                <w:tcPr>
                  <w:tcW w:w="2137" w:type="pct"/>
                  <w:vAlign w:val="center"/>
                </w:tcPr>
                <w:p>
                  <w:pPr>
                    <w:spacing w:line="240" w:lineRule="auto"/>
                    <w:jc w:val="center"/>
                    <w:rPr>
                      <w:rFonts w:hint="default"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本项目性质、规模、地点、采用的生产工艺和防治污染、防止生态破坏的措施均未发生重大变动</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本项目不再生产塑料制品以及仓储、装卸塑料制品、食品罐头，只生产调味品</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4</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建设过程中造成重大环境污染未治理完成，或者造成重大生态破坏未恢复的；</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项目建设过程中未造成重大环境污染，未造成重大生态破坏；</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5</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纳入排污许可管理的建设项目，无证排污或者不按证排污的；</w:t>
                  </w:r>
                </w:p>
              </w:tc>
              <w:tc>
                <w:tcPr>
                  <w:tcW w:w="2137" w:type="pct"/>
                  <w:vAlign w:val="center"/>
                </w:tcPr>
                <w:p>
                  <w:pPr>
                    <w:spacing w:line="240" w:lineRule="auto"/>
                    <w:jc w:val="center"/>
                    <w:rPr>
                      <w:rFonts w:hint="default" w:ascii="Times New Roman" w:hAnsi="Times New Roman" w:eastAsia="宋体" w:cs="Times New Roman"/>
                      <w:color w:val="auto"/>
                      <w:sz w:val="21"/>
                      <w:szCs w:val="21"/>
                      <w:lang w:val="en-US"/>
                    </w:rPr>
                  </w:pPr>
                  <w:r>
                    <w:rPr>
                      <w:rFonts w:hint="eastAsia" w:ascii="Times New Roman" w:hAnsi="Times New Roman" w:eastAsia="宋体"/>
                      <w:color w:val="auto"/>
                      <w:sz w:val="21"/>
                      <w:szCs w:val="21"/>
                      <w:lang w:val="en-US" w:eastAsia="zh-CN"/>
                    </w:rPr>
                    <w:t>已办理排污许可证；</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6</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分期建设、分期投入生产或者使用依法应当分期验收的建设项目，其分期建设、分期投入生产或者使用的环境保护设施防治环境污染和生态破坏的能力不能满足其相应主体工程需要的；</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根据验收监测结果，项目配套建设的环境保护设施防治环境污染和生态破坏的能力可以满足主体工程需要；</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7</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建设单位因该建设项目违反国家和地方环境保护法律法规受到处罚，被责令改正，尚未改正完成的；</w:t>
                  </w:r>
                </w:p>
              </w:tc>
              <w:tc>
                <w:tcPr>
                  <w:tcW w:w="2137" w:type="pct"/>
                  <w:vAlign w:val="center"/>
                </w:tcPr>
                <w:p>
                  <w:pPr>
                    <w:spacing w:line="240" w:lineRule="auto"/>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本项目不存处罚情形</w:t>
                  </w:r>
                  <w:r>
                    <w:rPr>
                      <w:rFonts w:ascii="Times New Roman" w:hAnsi="Times New Roman" w:eastAsia="宋体" w:cs="Times New Roman"/>
                      <w:color w:val="auto"/>
                      <w:sz w:val="21"/>
                      <w:szCs w:val="21"/>
                    </w:rPr>
                    <w:t>；</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8</w:t>
                  </w:r>
                </w:p>
              </w:tc>
              <w:tc>
                <w:tcPr>
                  <w:tcW w:w="1951" w:type="pct"/>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验收报告的基础资料数据明显不实，内容存在重大缺项、遗漏，或者验收结论不明确、不合理的；</w:t>
                  </w:r>
                </w:p>
              </w:tc>
              <w:tc>
                <w:tcPr>
                  <w:tcW w:w="2137"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验收报告的基础资料来自企业提供以及</w:t>
                  </w:r>
                  <w:r>
                    <w:rPr>
                      <w:rFonts w:hint="eastAsia" w:ascii="Times New Roman" w:hAnsi="Times New Roman" w:eastAsia="宋体" w:cs="Times New Roman"/>
                      <w:color w:val="auto"/>
                      <w:sz w:val="21"/>
                      <w:szCs w:val="21"/>
                      <w:lang w:val="en-US" w:eastAsia="zh-CN"/>
                    </w:rPr>
                    <w:t>厦门华夏学苑检测有限公司</w:t>
                  </w:r>
                  <w:r>
                    <w:rPr>
                      <w:rFonts w:ascii="Times New Roman" w:hAnsi="Times New Roman" w:eastAsia="宋体" w:cs="Times New Roman"/>
                      <w:color w:val="auto"/>
                      <w:sz w:val="21"/>
                      <w:szCs w:val="21"/>
                    </w:rPr>
                    <w:t>采样检测所得数据，报告内容无重大缺项或遗漏，验收结论明确、合理；</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Align w:val="center"/>
                </w:tcPr>
                <w:p>
                  <w:pPr>
                    <w:spacing w:line="240" w:lineRule="auto"/>
                    <w:jc w:val="center"/>
                    <w:rPr>
                      <w:rFonts w:ascii="Times New Roman" w:hAnsi="Times New Roman" w:eastAsia="宋体" w:cs="Times New Roman"/>
                      <w:color w:val="000000" w:themeColor="text1"/>
                      <w:sz w:val="21"/>
                      <w:szCs w:val="21"/>
                      <w14:textFill>
                        <w14:solidFill>
                          <w14:schemeClr w14:val="tx1"/>
                        </w14:solidFill>
                      </w14:textFill>
                    </w:rPr>
                  </w:pPr>
                  <w:r>
                    <w:rPr>
                      <w:rFonts w:ascii="Times New Roman" w:hAnsi="Times New Roman" w:eastAsia="宋体" w:cs="Times New Roman"/>
                      <w:color w:val="000000" w:themeColor="text1"/>
                      <w:sz w:val="21"/>
                      <w:szCs w:val="21"/>
                      <w14:textFill>
                        <w14:solidFill>
                          <w14:schemeClr w14:val="tx1"/>
                        </w14:solidFill>
                      </w14:textFill>
                    </w:rPr>
                    <w:t>9</w:t>
                  </w:r>
                </w:p>
              </w:tc>
              <w:tc>
                <w:tcPr>
                  <w:tcW w:w="1951"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其他环境保护法律法规规章等规定不得通过环境保护验收的。</w:t>
                  </w:r>
                </w:p>
              </w:tc>
              <w:tc>
                <w:tcPr>
                  <w:tcW w:w="2137" w:type="pct"/>
                </w:tcPr>
                <w:p>
                  <w:pPr>
                    <w:spacing w:line="240" w:lineRule="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项目不存在其他环境保护法律法规规章等规定不得通过环境保护验收的。</w:t>
                  </w:r>
                </w:p>
              </w:tc>
              <w:tc>
                <w:tcPr>
                  <w:tcW w:w="668" w:type="pct"/>
                  <w:vAlign w:val="center"/>
                </w:tcPr>
                <w:p>
                  <w:pPr>
                    <w:spacing w:line="240" w:lineRule="auto"/>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否</w:t>
                  </w:r>
                </w:p>
              </w:tc>
            </w:tr>
          </w:tbl>
          <w:p>
            <w:pPr>
              <w:pStyle w:val="25"/>
              <w:widowControl w:val="0"/>
              <w:jc w:val="left"/>
              <w:rPr>
                <w:color w:val="0000FF"/>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表三</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522" w:type="dxa"/>
          </w:tcPr>
          <w:p>
            <w:pPr>
              <w:widowControl/>
              <w:numPr>
                <w:ilvl w:val="255"/>
                <w:numId w:val="0"/>
              </w:numPr>
              <w:spacing w:line="360" w:lineRule="auto"/>
              <w:jc w:val="left"/>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主要污染源、污染物处理和排放：</w:t>
            </w:r>
          </w:p>
          <w:p>
            <w:pPr>
              <w:widowControl/>
              <w:numPr>
                <w:ilvl w:val="0"/>
                <w:numId w:val="3"/>
              </w:numPr>
              <w:spacing w:line="360" w:lineRule="auto"/>
              <w:ind w:left="0" w:leftChars="0" w:firstLine="480" w:firstLineChars="200"/>
              <w:jc w:val="both"/>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t>废水：</w:t>
            </w:r>
            <w:r>
              <w:rPr>
                <w:rFonts w:hint="eastAsia" w:ascii="Times New Roman" w:hAnsi="Times New Roman" w:eastAsia="宋体" w:cs="Times New Roman"/>
                <w:color w:val="000000" w:themeColor="text1"/>
                <w:sz w:val="24"/>
                <w:lang w:val="en-US" w:eastAsia="zh-CN"/>
                <w14:textFill>
                  <w14:solidFill>
                    <w14:schemeClr w14:val="tx1"/>
                  </w14:solidFill>
                </w14:textFill>
              </w:rPr>
              <w:t>本</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项目生产过程中</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产生的废水主要为员工生活污水和清洗废水</w:t>
            </w:r>
            <w:r>
              <w:rPr>
                <w:rFonts w:hint="eastAsia" w:ascii="Times New Roman" w:hAnsi="Times New Roman" w:eastAsia="宋体" w:cs="Times New Roman"/>
                <w:color w:val="000000" w:themeColor="text1"/>
                <w:sz w:val="24"/>
                <w:szCs w:val="24"/>
                <w:lang w:val="zh-CN" w:eastAsia="zh-CN" w:bidi="ar-SA"/>
                <w14:textFill>
                  <w14:solidFill>
                    <w14:schemeClr w14:val="tx1"/>
                  </w14:solidFill>
                </w14:textFill>
              </w:rPr>
              <w:t>。</w:t>
            </w:r>
          </w:p>
          <w:p>
            <w:pPr>
              <w:widowControl/>
              <w:numPr>
                <w:ilvl w:val="0"/>
                <w:numId w:val="0"/>
              </w:numPr>
              <w:spacing w:line="360" w:lineRule="auto"/>
              <w:ind w:firstLine="480" w:firstLineChars="200"/>
              <w:jc w:val="both"/>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生活污水经三级化粪池预处理后与清洗废水一同经过生化处理后排入</w:t>
            </w:r>
            <w:r>
              <w:rPr>
                <w:rFonts w:hint="default" w:ascii="Times New Roman" w:hAnsi="Times New Roman" w:eastAsia="宋体" w:cs="Times New Roman"/>
                <w:color w:val="000000" w:themeColor="text1"/>
                <w:sz w:val="24"/>
                <w:szCs w:val="24"/>
                <w:lang w:val="zh-CN" w:eastAsia="zh-CN" w:bidi="ar-SA"/>
                <w14:textFill>
                  <w14:solidFill>
                    <w14:schemeClr w14:val="tx1"/>
                  </w14:solidFill>
                </w14:textFill>
              </w:rPr>
              <w:t>诏安县城东污水处理厂</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w:t>
            </w:r>
          </w:p>
          <w:p>
            <w:pPr>
              <w:widowControl/>
              <w:numPr>
                <w:ilvl w:val="0"/>
                <w:numId w:val="0"/>
              </w:numPr>
              <w:spacing w:line="360" w:lineRule="auto"/>
              <w:ind w:leftChars="200"/>
              <w:jc w:val="both"/>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2、废气</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项目废气主要</w:t>
            </w:r>
            <w:r>
              <w:rPr>
                <w:rFonts w:hint="eastAsia" w:ascii="Times New Roman" w:hAnsi="Times New Roman" w:eastAsia="宋体" w:cs="Times New Roman"/>
                <w:color w:val="000000" w:themeColor="text1"/>
                <w:sz w:val="24"/>
                <w:szCs w:val="24"/>
                <w:lang w:val="en-US" w:eastAsia="zh-CN" w:bidi="ar-SA"/>
                <w14:textFill>
                  <w14:solidFill>
                    <w14:schemeClr w14:val="tx1"/>
                  </w14:solidFill>
                </w14:textFill>
              </w:rPr>
              <w:t>为</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油烟</w:t>
            </w:r>
            <w:r>
              <w:rPr>
                <w:rFonts w:hint="default" w:ascii="Times New Roman" w:hAnsi="Times New Roman" w:eastAsia="宋体" w:cs="Times New Roman"/>
                <w:color w:val="000000" w:themeColor="text1"/>
                <w:sz w:val="24"/>
                <w:szCs w:val="24"/>
                <w:lang w:val="en-US" w:eastAsia="zh-CN" w:bidi="ar-SA"/>
                <w14:textFill>
                  <w14:solidFill>
                    <w14:schemeClr w14:val="tx1"/>
                  </w14:solidFill>
                </w14:textFill>
              </w:rPr>
              <w:t>废气。</w:t>
            </w:r>
          </w:p>
          <w:p>
            <w:pPr>
              <w:widowControl/>
              <w:spacing w:line="360" w:lineRule="auto"/>
              <w:ind w:firstLine="480" w:firstLineChars="200"/>
              <w:jc w:val="both"/>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熬煮废气分别经过两套油烟净化装置处理后通过两根16m高排气筒排放；油炸废气分别经过两套油烟净化装置处理后通过两根16m高排气筒排放；焙炒废气通过油烟净化装置处理后通过16m高排气筒排放；冷却废气通过油烟净化装置处理后通过16m高排气筒排放</w:t>
            </w:r>
            <w:r>
              <w:rPr>
                <w:rFonts w:hint="default" w:ascii="Times New Roman" w:hAnsi="Times New Roman" w:eastAsia="宋体" w:cs="Times New Roman"/>
                <w:color w:val="000000" w:themeColor="text1"/>
                <w:sz w:val="24"/>
                <w:lang w:val="zh-CN" w:eastAsia="zh-CN"/>
                <w14:textFill>
                  <w14:solidFill>
                    <w14:schemeClr w14:val="tx1"/>
                  </w14:solidFill>
                </w14:textFill>
              </w:rPr>
              <w:t>。</w:t>
            </w:r>
          </w:p>
          <w:p>
            <w:pPr>
              <w:widowControl/>
              <w:spacing w:line="360" w:lineRule="auto"/>
              <w:ind w:firstLine="480" w:firstLineChars="200"/>
              <w:jc w:val="both"/>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3、噪声：本项目主要噪声污染源主要来自机台设备运行时产生的噪声，主要通过合理布局，使高噪声设备远离厂界；对噪声值较高的设备基座底部安装减振垫等；定期检查并调整好运动机器部件的静平衡与动平衡的动力，加强设备维护，使其处于良好运行状态，以此来降低环境噪声污染。</w:t>
            </w:r>
          </w:p>
          <w:p>
            <w:pPr>
              <w:pStyle w:val="46"/>
              <w:pageBreakBefore w:val="0"/>
              <w:kinsoku/>
              <w:wordWrap/>
              <w:overflowPunct/>
              <w:topLinePunct w:val="0"/>
              <w:bidi w:val="0"/>
              <w:ind w:firstLine="480"/>
              <w:jc w:val="left"/>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4、固（液）体废物：</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本项目</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产生的固体废物主要为生活垃圾和一般固废</w:t>
            </w:r>
            <w:r>
              <w:rPr>
                <w:rFonts w:hint="default" w:ascii="Times New Roman" w:hAnsi="Times New Roman" w:eastAsia="宋体" w:cs="Times New Roman"/>
                <w:color w:val="000000" w:themeColor="text1"/>
                <w:kern w:val="0"/>
                <w:sz w:val="24"/>
                <w:szCs w:val="22"/>
                <w:lang w:val="en-US" w:eastAsia="zh-CN" w:bidi="ar-SA"/>
                <w14:textFill>
                  <w14:solidFill>
                    <w14:schemeClr w14:val="tx1"/>
                  </w14:solidFill>
                </w14:textFill>
              </w:rPr>
              <w:t>。</w:t>
            </w:r>
          </w:p>
          <w:p>
            <w:pPr>
              <w:pStyle w:val="46"/>
              <w:pageBreakBefore w:val="0"/>
              <w:kinsoku/>
              <w:wordWrap/>
              <w:overflowPunct/>
              <w:topLinePunct w:val="0"/>
              <w:bidi w:val="0"/>
              <w:ind w:firstLine="48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t>生活垃圾：</w:t>
            </w:r>
            <w:r>
              <w:rPr>
                <w:rFonts w:hint="default" w:ascii="Times New Roman" w:hAnsi="Times New Roman" w:eastAsia="宋体" w:cs="Times New Roman"/>
                <w:color w:val="000000" w:themeColor="text1"/>
                <w:sz w:val="24"/>
                <w:lang w:val="en-GB" w:eastAsia="zh-CN"/>
                <w14:textFill>
                  <w14:solidFill>
                    <w14:schemeClr w14:val="tx1"/>
                  </w14:solidFill>
                </w14:textFill>
              </w:rPr>
              <w:t>生活垃圾分类收集后统一交由环卫部门清运处置</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pStyle w:val="46"/>
              <w:pageBreakBefore w:val="0"/>
              <w:kinsoku/>
              <w:wordWrap/>
              <w:overflowPunct/>
              <w:topLinePunct w:val="0"/>
              <w:bidi w:val="0"/>
              <w:ind w:firstLine="480"/>
              <w:jc w:val="left"/>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2"/>
                <w:lang w:val="en-US" w:eastAsia="zh-CN" w:bidi="ar-SA"/>
                <w14:textFill>
                  <w14:solidFill>
                    <w14:schemeClr w14:val="tx1"/>
                  </w14:solidFill>
                </w14:textFill>
              </w:rPr>
              <w:t>一般工业固体废物：</w:t>
            </w:r>
            <w:r>
              <w:rPr>
                <w:rFonts w:hint="eastAsia" w:ascii="Times New Roman" w:hAnsi="Times New Roman" w:eastAsia="宋体" w:cs="Times New Roman"/>
                <w:color w:val="000000" w:themeColor="text1"/>
                <w:sz w:val="24"/>
                <w:lang w:val="en-US" w:eastAsia="zh-CN"/>
                <w14:textFill>
                  <w14:solidFill>
                    <w14:schemeClr w14:val="tx1"/>
                  </w14:solidFill>
                </w14:textFill>
              </w:rPr>
              <w:t>原料边角料统一收集后</w:t>
            </w:r>
            <w:r>
              <w:rPr>
                <w:rFonts w:hint="default" w:ascii="Times New Roman" w:hAnsi="Times New Roman" w:eastAsia="宋体" w:cs="Times New Roman"/>
                <w:color w:val="000000" w:themeColor="text1"/>
                <w:sz w:val="24"/>
                <w:lang w:val="en-GB" w:eastAsia="zh-CN"/>
                <w14:textFill>
                  <w14:solidFill>
                    <w14:schemeClr w14:val="tx1"/>
                  </w14:solidFill>
                </w14:textFill>
              </w:rPr>
              <w:t>交由环卫部门清运处置</w:t>
            </w:r>
            <w:r>
              <w:rPr>
                <w:rFonts w:hint="eastAsia" w:ascii="Times New Roman" w:hAnsi="Times New Roman" w:eastAsia="宋体" w:cs="Times New Roman"/>
                <w:color w:val="000000" w:themeColor="text1"/>
                <w:sz w:val="24"/>
                <w:lang w:val="en-GB"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废包装材料委托厂家回收利用，污水处理设施产生的废油脂委托油脂回收单位回收利用。</w:t>
            </w:r>
            <w:r>
              <w:rPr>
                <w:rFonts w:hint="eastAsia" w:ascii="Times New Roman" w:hAnsi="Times New Roman" w:eastAsia="宋体" w:cs="Times New Roman"/>
                <w:color w:val="000000" w:themeColor="text1"/>
                <w:kern w:val="0"/>
                <w:sz w:val="24"/>
                <w:szCs w:val="22"/>
                <w:lang w:val="en-US" w:eastAsia="zh-CN" w:bidi="ar-SA"/>
                <w14:textFill>
                  <w14:solidFill>
                    <w14:schemeClr w14:val="tx1"/>
                  </w14:solidFill>
                </w14:textFill>
              </w:rPr>
              <w:t xml:space="preserve"> </w:t>
            </w:r>
          </w:p>
          <w:p>
            <w:pPr>
              <w:pStyle w:val="25"/>
              <w:widowControl w:val="0"/>
              <w:spacing w:line="360" w:lineRule="auto"/>
              <w:ind w:left="0" w:leftChars="0" w:firstLine="0" w:firstLineChars="0"/>
              <w:jc w:val="center"/>
              <w:rPr>
                <w:color w:val="0000FF"/>
              </w:rPr>
            </w:pPr>
          </w:p>
        </w:tc>
      </w:tr>
    </w:tbl>
    <w:p>
      <w:pPr>
        <w:spacing w:line="360" w:lineRule="auto"/>
        <w:outlineLvl w:val="0"/>
        <w:rPr>
          <w:rFonts w:ascii="Times New Roman" w:hAnsi="Times New Roman" w:eastAsia="宋体" w:cs="Times New Roman"/>
          <w:b/>
          <w:color w:val="000000" w:themeColor="text1"/>
          <w:sz w:val="21"/>
          <w:szCs w:val="21"/>
          <w14:textFill>
            <w14:solidFill>
              <w14:schemeClr w14:val="tx1"/>
            </w14:solidFill>
          </w14:textFill>
        </w:rPr>
      </w:pPr>
      <w:r>
        <w:rPr>
          <w:rFonts w:ascii="Times New Roman" w:hAnsi="Times New Roman" w:eastAsia="宋体" w:cs="Times New Roman"/>
          <w:b/>
          <w:color w:val="000000" w:themeColor="text1"/>
          <w:sz w:val="21"/>
          <w:szCs w:val="21"/>
          <w14:textFill>
            <w14:solidFill>
              <w14:schemeClr w14:val="tx1"/>
            </w14:solidFill>
          </w14:textFill>
        </w:rPr>
        <w:t>表四</w:t>
      </w:r>
    </w:p>
    <w:tbl>
      <w:tblPr>
        <w:tblStyle w:val="27"/>
        <w:tblW w:w="883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5" w:hRule="atLeast"/>
        </w:trPr>
        <w:tc>
          <w:tcPr>
            <w:tcW w:w="8832" w:type="dxa"/>
          </w:tcPr>
          <w:p>
            <w:pPr>
              <w:widowControl/>
              <w:spacing w:line="360" w:lineRule="auto"/>
              <w:jc w:val="both"/>
              <w:rPr>
                <w:rFonts w:ascii="Times New Roman" w:hAnsi="Times New Roman" w:eastAsia="宋体" w:cs="Times New Roman"/>
                <w:b/>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建设项目环境影响报告表主要结论及审批部门审批决定：</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一</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建设项目环境影响报告表主要结论</w:t>
            </w:r>
          </w:p>
          <w:p>
            <w:pPr>
              <w:widowControl w:val="0"/>
              <w:spacing w:line="360" w:lineRule="auto"/>
              <w:jc w:val="both"/>
              <w:rPr>
                <w:rFonts w:hint="default" w:ascii="Times New Roman" w:hAnsi="Times New Roman" w:eastAsia="宋体" w:cs="Times New Roman"/>
                <w:b/>
                <w:bCs/>
                <w:sz w:val="24"/>
                <w:szCs w:val="24"/>
              </w:rPr>
            </w:pPr>
            <w:bookmarkStart w:id="1" w:name="12.1项目概况和主要环保问题"/>
            <w:bookmarkEnd w:id="1"/>
            <w:r>
              <w:rPr>
                <w:rFonts w:hint="default" w:ascii="Times New Roman" w:hAnsi="Times New Roman" w:eastAsia="宋体" w:cs="Times New Roman"/>
                <w:b/>
                <w:bCs/>
                <w:sz w:val="24"/>
                <w:szCs w:val="24"/>
              </w:rPr>
              <w:t>1、评价标准</w:t>
            </w:r>
          </w:p>
          <w:p>
            <w:pPr>
              <w:widowControl w:val="0"/>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项目所在区域的环境质量标准及污染物排放执行标准：</w:t>
            </w:r>
          </w:p>
          <w:p>
            <w:pPr>
              <w:widowControl w:val="0"/>
              <w:jc w:val="center"/>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项目所在区域评价标准</w:t>
            </w:r>
          </w:p>
          <w:tbl>
            <w:tblPr>
              <w:tblStyle w:val="26"/>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184"/>
              <w:gridCol w:w="4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318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 境 质 量 标 准</w:t>
                  </w:r>
                </w:p>
              </w:tc>
              <w:tc>
                <w:tcPr>
                  <w:tcW w:w="46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 行 排 放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vMerge w:val="restart"/>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w:t>
                  </w:r>
                </w:p>
              </w:tc>
              <w:tc>
                <w:tcPr>
                  <w:tcW w:w="3184" w:type="dxa"/>
                  <w:vMerge w:val="restart"/>
                  <w:tcBorders>
                    <w:top w:val="single" w:color="auto" w:sz="4" w:space="0"/>
                    <w:left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GB3838-2002</w:t>
                  </w:r>
                </w:p>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《地表水环境质量标准》Ⅲ类</w:t>
                  </w:r>
                </w:p>
              </w:tc>
              <w:tc>
                <w:tcPr>
                  <w:tcW w:w="46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近期：GB8978-1996</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《污水综合排放标准》表4一级标准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p>
              </w:tc>
              <w:tc>
                <w:tcPr>
                  <w:tcW w:w="3184" w:type="dxa"/>
                  <w:vMerge w:val="continue"/>
                  <w:tcBorders>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000000"/>
                      <w:sz w:val="21"/>
                      <w:szCs w:val="21"/>
                    </w:rPr>
                  </w:pPr>
                </w:p>
              </w:tc>
              <w:tc>
                <w:tcPr>
                  <w:tcW w:w="46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远期：GB8978-1996</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《污水综合排放标准》表4三级标准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w:t>
                  </w:r>
                </w:p>
              </w:tc>
              <w:tc>
                <w:tcPr>
                  <w:tcW w:w="318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GB3095－1996</w:t>
                  </w:r>
                </w:p>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《环境空气质量标准》二级</w:t>
                  </w:r>
                </w:p>
              </w:tc>
              <w:tc>
                <w:tcPr>
                  <w:tcW w:w="46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GB16297-1996</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《大气污染物综合排放标准》表2二级标准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3184"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GB3096－2008</w:t>
                  </w:r>
                </w:p>
                <w:p>
                  <w:pPr>
                    <w:spacing w:line="240" w:lineRule="auto"/>
                    <w:ind w:left="-220" w:leftChars="-10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《环声境质量标准》3、4a类</w:t>
                  </w:r>
                </w:p>
              </w:tc>
              <w:tc>
                <w:tcPr>
                  <w:tcW w:w="4615" w:type="dxa"/>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GB12348－2008</w:t>
                  </w:r>
                </w:p>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《工业企业厂界环境噪声排放标准》3、4类</w:t>
                  </w:r>
                </w:p>
              </w:tc>
            </w:tr>
          </w:tbl>
          <w:p>
            <w:pPr>
              <w:widowControl w:val="0"/>
              <w:spacing w:before="240" w:beforeLines="100" w:line="360" w:lineRule="auto"/>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2、环境现状评价结论</w:t>
            </w:r>
          </w:p>
          <w:p>
            <w:pPr>
              <w:pStyle w:val="16"/>
              <w:widowControl w:val="0"/>
              <w:spacing w:line="360" w:lineRule="auto"/>
              <w:jc w:val="both"/>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该区域水、大气、声环境质量现状良好，符合环境功能区规划要求。</w:t>
            </w:r>
          </w:p>
          <w:p>
            <w:pPr>
              <w:pStyle w:val="16"/>
              <w:widowControl w:val="0"/>
              <w:spacing w:line="360" w:lineRule="auto"/>
              <w:ind w:left="0" w:leftChars="0" w:firstLine="0" w:firstLineChars="0"/>
              <w:jc w:val="both"/>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3、环境影响分析结论</w:t>
            </w:r>
          </w:p>
          <w:p>
            <w:pPr>
              <w:pStyle w:val="14"/>
              <w:widowControl w:val="0"/>
              <w:spacing w:line="360" w:lineRule="auto"/>
              <w:jc w:val="both"/>
              <w:rPr>
                <w:rFonts w:hint="default" w:ascii="Times New Roman" w:hAnsi="Times New Roman" w:eastAsia="宋体" w:cs="Times New Roman"/>
                <w:b/>
                <w:bCs/>
                <w:sz w:val="24"/>
                <w:szCs w:val="24"/>
              </w:rPr>
            </w:pPr>
            <w:r>
              <w:rPr>
                <w:rFonts w:hint="default" w:ascii="Times New Roman" w:hAnsi="Times New Roman" w:eastAsia="宋体" w:cs="Times New Roman"/>
                <w:b/>
                <w:sz w:val="24"/>
                <w:szCs w:val="24"/>
              </w:rPr>
              <w:t>⑴施工期</w:t>
            </w:r>
            <w:r>
              <w:rPr>
                <w:rFonts w:hint="default" w:ascii="Times New Roman" w:hAnsi="Times New Roman" w:eastAsia="宋体" w:cs="Times New Roman"/>
                <w:b/>
                <w:bCs/>
                <w:sz w:val="24"/>
                <w:szCs w:val="24"/>
              </w:rPr>
              <w:t>环境影响</w:t>
            </w:r>
          </w:p>
          <w:p>
            <w:pPr>
              <w:pStyle w:val="14"/>
              <w:widowControl w:val="0"/>
              <w:spacing w:line="360" w:lineRule="auto"/>
              <w:ind w:left="0" w:right="0"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项目施工过程中会产生一定的噪声、粉尘、建筑垃圾等污染，建设单位必须尽可能通过加强管理、文明施工，把施工期对环境的影响减到较低的限度。</w:t>
            </w:r>
          </w:p>
          <w:p>
            <w:pPr>
              <w:pStyle w:val="14"/>
              <w:widowControl w:val="0"/>
              <w:spacing w:line="360" w:lineRule="auto"/>
              <w:ind w:left="0" w:right="0"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△施工粉尘对环境的影响是暂时的，将随施工期结束而消失。项目应采取有效的治理措施，以有效减少施工粉尘污染的强度。施工过程运输车辆及施工机械排放的尾气对周围大气环境影响不大。</w:t>
            </w:r>
          </w:p>
          <w:p>
            <w:pPr>
              <w:widowControl w:val="0"/>
              <w:spacing w:line="360" w:lineRule="auto"/>
              <w:ind w:firstLine="435"/>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△高噪声施工机械应禁止在22：00～（次日）06：00进行运转，同时混凝土浇筑也应避开此段时间施工。对该施工区采用封闭式的施工管理，建筑物要围网。</w:t>
            </w:r>
          </w:p>
          <w:p>
            <w:pPr>
              <w:widowControl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△提高施工效率，缩短工期。尽量避免在雨季开挖土方，节约建筑用水；防止溢流，要搭盖堆料工棚等，减少雨水对堆土的冲刷。含泥生产废水应经过适当的隔渣沉淀后排放。</w:t>
            </w:r>
          </w:p>
          <w:p>
            <w:pPr>
              <w:pStyle w:val="14"/>
              <w:widowControl w:val="0"/>
              <w:spacing w:line="360" w:lineRule="auto"/>
              <w:ind w:left="0" w:right="0"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△施工期固体废物经集中收集、及时清运、综合利用和无害化处理处置后，对环境影响很小。</w:t>
            </w:r>
          </w:p>
          <w:p>
            <w:pPr>
              <w:pStyle w:val="15"/>
              <w:widowControl w:val="0"/>
              <w:spacing w:line="360" w:lineRule="auto"/>
              <w:ind w:firstLine="567"/>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⑵运营期</w:t>
            </w:r>
          </w:p>
          <w:p>
            <w:pPr>
              <w:pStyle w:val="15"/>
              <w:widowControl w:val="0"/>
              <w:spacing w:line="360" w:lineRule="auto"/>
              <w:ind w:firstLine="567"/>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①废水</w:t>
            </w:r>
          </w:p>
          <w:p>
            <w:pPr>
              <w:pStyle w:val="14"/>
              <w:widowControl w:val="0"/>
              <w:spacing w:line="360" w:lineRule="auto"/>
              <w:ind w:left="0" w:right="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沙茶酱和辣椒酱生产过程加入的水与其他原料混合作为成品外卖不外排；注塑机台冷却水循环使用不外排。该公司运营期间原料清洗废水、生产设备和车间的清洗废水及职工生活污水的排放量约6000m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r>
              <w:rPr>
                <w:rFonts w:hint="default" w:ascii="Times New Roman" w:hAnsi="Times New Roman" w:eastAsia="宋体" w:cs="Times New Roman"/>
                <w:bCs/>
                <w:sz w:val="24"/>
                <w:szCs w:val="24"/>
              </w:rPr>
              <w:t>。</w:t>
            </w:r>
          </w:p>
          <w:p>
            <w:pPr>
              <w:pStyle w:val="16"/>
              <w:widowControl w:val="0"/>
              <w:spacing w:line="360" w:lineRule="auto"/>
              <w:ind w:left="0" w:leftChars="0" w:firstLine="482"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近期：</w:t>
            </w:r>
            <w:r>
              <w:rPr>
                <w:rFonts w:hint="default" w:ascii="Times New Roman" w:hAnsi="Times New Roman" w:eastAsia="宋体" w:cs="Times New Roman"/>
                <w:sz w:val="24"/>
                <w:szCs w:val="24"/>
              </w:rPr>
              <w:t>污水采用“接触氧化+混凝沉淀”污水处理工艺进行治理，确保出水水质达到GB8978-1996《污水综合排放标准》表4一级标准后经规范化排污口排放，对纳污水体田朴溪的水质影响较小。</w:t>
            </w:r>
          </w:p>
          <w:p>
            <w:pPr>
              <w:pStyle w:val="14"/>
              <w:widowControl w:val="0"/>
              <w:spacing w:line="240" w:lineRule="auto"/>
              <w:ind w:left="0" w:right="0" w:firstLine="0"/>
              <w:jc w:val="center"/>
              <w:rPr>
                <w:rFonts w:hint="default" w:ascii="Times New Roman" w:hAnsi="Times New Roman" w:eastAsia="宋体" w:cs="Times New Roman"/>
                <w:bCs/>
                <w:color w:val="FF0000"/>
                <w:sz w:val="24"/>
                <w:szCs w:val="24"/>
              </w:rPr>
            </w:pPr>
            <w:r>
              <w:rPr>
                <w:rFonts w:hint="default" w:ascii="Times New Roman" w:hAnsi="Times New Roman" w:eastAsia="宋体" w:cs="Times New Roman"/>
                <w:bCs/>
                <w:sz w:val="24"/>
                <w:szCs w:val="24"/>
              </w:rPr>
              <w:t>废水排放总量一览表</w:t>
            </w:r>
          </w:p>
          <w:tbl>
            <w:tblPr>
              <w:tblStyle w:val="26"/>
              <w:tblW w:w="865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26"/>
              <w:gridCol w:w="1200"/>
              <w:gridCol w:w="1230"/>
              <w:gridCol w:w="690"/>
              <w:gridCol w:w="1065"/>
              <w:gridCol w:w="820"/>
              <w:gridCol w:w="720"/>
              <w:gridCol w:w="80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2126" w:type="dxa"/>
                  <w:tcBorders>
                    <w:top w:val="single" w:color="auto" w:sz="4" w:space="0"/>
                    <w:left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200" w:type="dxa"/>
                  <w:tcBorders>
                    <w:top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水量</w:t>
                  </w:r>
                </w:p>
              </w:tc>
              <w:tc>
                <w:tcPr>
                  <w:tcW w:w="1230" w:type="dxa"/>
                  <w:tcBorders>
                    <w:top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690" w:type="dxa"/>
                  <w:tcBorders>
                    <w:top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1065" w:type="dxa"/>
                  <w:tcBorders>
                    <w:top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vertAlign w:val="subscript"/>
                    </w:rPr>
                    <w:t>Cr</w:t>
                  </w:r>
                </w:p>
              </w:tc>
              <w:tc>
                <w:tcPr>
                  <w:tcW w:w="820" w:type="dxa"/>
                  <w:tcBorders>
                    <w:top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720" w:type="dxa"/>
                  <w:tcBorders>
                    <w:top w:val="single" w:color="auto" w:sz="4" w:space="0"/>
                    <w:right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803" w:type="dxa"/>
                  <w:tcBorders>
                    <w:top w:val="single" w:color="auto" w:sz="4" w:space="0"/>
                    <w:right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动植物油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86" w:hRule="atLeast"/>
                <w:jc w:val="center"/>
              </w:trPr>
              <w:tc>
                <w:tcPr>
                  <w:tcW w:w="2126" w:type="dxa"/>
                  <w:tcBorders>
                    <w:left w:val="single" w:color="auto" w:sz="4" w:space="0"/>
                  </w:tcBorders>
                  <w:noWrap w:val="0"/>
                  <w:vAlign w:val="center"/>
                </w:tcPr>
                <w:p>
                  <w:pPr>
                    <w:pStyle w:val="14"/>
                    <w:spacing w:line="240" w:lineRule="auto"/>
                    <w:ind w:left="-110" w:leftChars="-50" w:right="-110" w:rightChars="-5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GB8978-1996表4一级标准（mg/L）</w:t>
                  </w:r>
                </w:p>
              </w:tc>
              <w:tc>
                <w:tcPr>
                  <w:tcW w:w="1200" w:type="dxa"/>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1230" w:type="dxa"/>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690" w:type="dxa"/>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1065" w:type="dxa"/>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820" w:type="dxa"/>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20" w:type="dxa"/>
                  <w:tcBorders>
                    <w:right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803" w:type="dxa"/>
                  <w:tcBorders>
                    <w:right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6" w:hRule="atLeast"/>
                <w:jc w:val="center"/>
              </w:trPr>
              <w:tc>
                <w:tcPr>
                  <w:tcW w:w="2126" w:type="dxa"/>
                  <w:tcBorders>
                    <w:left w:val="single" w:color="auto" w:sz="4" w:space="0"/>
                    <w:bottom w:val="single" w:color="auto" w:sz="4" w:space="0"/>
                  </w:tcBorders>
                  <w:noWrap w:val="0"/>
                  <w:vAlign w:val="center"/>
                </w:tcPr>
                <w:p>
                  <w:pPr>
                    <w:pStyle w:val="14"/>
                    <w:spacing w:line="240" w:lineRule="auto"/>
                    <w:ind w:left="-110" w:leftChars="-50" w:right="-110" w:rightChars="-5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允许排放总量（t/a）</w:t>
                  </w:r>
                </w:p>
              </w:tc>
              <w:tc>
                <w:tcPr>
                  <w:tcW w:w="1200" w:type="dxa"/>
                  <w:tcBorders>
                    <w:bottom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6000</w:t>
                  </w:r>
                </w:p>
              </w:tc>
              <w:tc>
                <w:tcPr>
                  <w:tcW w:w="1230" w:type="dxa"/>
                  <w:tcBorders>
                    <w:bottom w:val="single" w:color="auto" w:sz="4" w:space="0"/>
                  </w:tcBorders>
                  <w:noWrap w:val="0"/>
                  <w:vAlign w:val="center"/>
                </w:tcPr>
                <w:p>
                  <w:pPr>
                    <w:pStyle w:val="14"/>
                    <w:spacing w:line="240" w:lineRule="auto"/>
                    <w:ind w:left="0" w:right="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90" w:type="dxa"/>
                  <w:tcBorders>
                    <w:bottom w:val="single" w:color="auto" w:sz="4" w:space="0"/>
                  </w:tcBorders>
                  <w:noWrap w:val="0"/>
                  <w:vAlign w:val="center"/>
                </w:tcPr>
                <w:p>
                  <w:pPr>
                    <w:pStyle w:val="14"/>
                    <w:spacing w:line="240" w:lineRule="auto"/>
                    <w:ind w:left="-110" w:leftChars="-50" w:right="-110" w:rightChars="-5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w:t>
                  </w:r>
                </w:p>
              </w:tc>
              <w:tc>
                <w:tcPr>
                  <w:tcW w:w="1065" w:type="dxa"/>
                  <w:tcBorders>
                    <w:bottom w:val="single" w:color="auto" w:sz="4" w:space="0"/>
                  </w:tcBorders>
                  <w:noWrap w:val="0"/>
                  <w:vAlign w:val="center"/>
                </w:tcPr>
                <w:p>
                  <w:pPr>
                    <w:pStyle w:val="14"/>
                    <w:spacing w:line="240" w:lineRule="auto"/>
                    <w:ind w:left="-110" w:leftChars="-50" w:right="-110" w:rightChars="-5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0.6</w:t>
                  </w:r>
                </w:p>
              </w:tc>
              <w:tc>
                <w:tcPr>
                  <w:tcW w:w="820" w:type="dxa"/>
                  <w:tcBorders>
                    <w:bottom w:val="single" w:color="auto" w:sz="4" w:space="0"/>
                  </w:tcBorders>
                  <w:noWrap w:val="0"/>
                  <w:vAlign w:val="center"/>
                </w:tcPr>
                <w:p>
                  <w:pPr>
                    <w:pStyle w:val="14"/>
                    <w:spacing w:line="240" w:lineRule="auto"/>
                    <w:ind w:left="-110" w:leftChars="-50" w:right="-110" w:rightChars="-5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0.12</w:t>
                  </w:r>
                </w:p>
              </w:tc>
              <w:tc>
                <w:tcPr>
                  <w:tcW w:w="720" w:type="dxa"/>
                  <w:tcBorders>
                    <w:bottom w:val="single" w:color="auto" w:sz="4" w:space="0"/>
                    <w:right w:val="single" w:color="auto" w:sz="4" w:space="0"/>
                  </w:tcBorders>
                  <w:noWrap w:val="0"/>
                  <w:vAlign w:val="center"/>
                </w:tcPr>
                <w:p>
                  <w:pPr>
                    <w:pStyle w:val="14"/>
                    <w:spacing w:line="240" w:lineRule="auto"/>
                    <w:ind w:left="-110" w:leftChars="-50" w:right="-110" w:rightChars="-5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0.42</w:t>
                  </w:r>
                </w:p>
              </w:tc>
              <w:tc>
                <w:tcPr>
                  <w:tcW w:w="803" w:type="dxa"/>
                  <w:tcBorders>
                    <w:bottom w:val="single" w:color="auto" w:sz="4" w:space="0"/>
                    <w:right w:val="single" w:color="auto" w:sz="4" w:space="0"/>
                  </w:tcBorders>
                  <w:noWrap w:val="0"/>
                  <w:vAlign w:val="center"/>
                </w:tcPr>
                <w:p>
                  <w:pPr>
                    <w:pStyle w:val="14"/>
                    <w:spacing w:line="240" w:lineRule="auto"/>
                    <w:ind w:left="-110" w:leftChars="-50" w:right="-110" w:rightChars="-50"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0.06</w:t>
                  </w:r>
                </w:p>
              </w:tc>
            </w:tr>
          </w:tbl>
          <w:p>
            <w:pPr>
              <w:pStyle w:val="15"/>
              <w:widowControl w:val="0"/>
              <w:spacing w:before="120" w:beforeLines="50"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远期：</w:t>
            </w:r>
            <w:r>
              <w:rPr>
                <w:rFonts w:hint="default" w:ascii="Times New Roman" w:hAnsi="Times New Roman" w:eastAsia="宋体" w:cs="Times New Roman"/>
                <w:sz w:val="24"/>
                <w:szCs w:val="24"/>
              </w:rPr>
              <w:t>项目产生的废水采用“接触氧化+混凝沉淀”污水处理设施进行预处理，确保</w:t>
            </w:r>
            <w:r>
              <w:rPr>
                <w:rFonts w:hint="default" w:ascii="Times New Roman" w:hAnsi="Times New Roman" w:eastAsia="宋体" w:cs="Times New Roman"/>
                <w:color w:val="000000"/>
                <w:sz w:val="24"/>
                <w:szCs w:val="24"/>
              </w:rPr>
              <w:t>出水水质达到GB8978－1996《污水综合排放标准》</w:t>
            </w:r>
            <w:r>
              <w:rPr>
                <w:rFonts w:hint="default" w:ascii="Times New Roman" w:hAnsi="Times New Roman" w:eastAsia="宋体" w:cs="Times New Roman"/>
                <w:sz w:val="24"/>
                <w:szCs w:val="24"/>
              </w:rPr>
              <w:t>表4三级</w:t>
            </w:r>
            <w:r>
              <w:rPr>
                <w:rFonts w:hint="default" w:ascii="Times New Roman" w:hAnsi="Times New Roman" w:eastAsia="宋体" w:cs="Times New Roman"/>
                <w:color w:val="000000"/>
                <w:sz w:val="24"/>
                <w:szCs w:val="24"/>
              </w:rPr>
              <w:t>标准后排入</w:t>
            </w:r>
            <w:r>
              <w:rPr>
                <w:rFonts w:hint="default" w:ascii="Times New Roman" w:hAnsi="Times New Roman" w:eastAsia="宋体" w:cs="Times New Roman"/>
                <w:bCs/>
                <w:kern w:val="0"/>
                <w:sz w:val="24"/>
                <w:szCs w:val="24"/>
              </w:rPr>
              <w:t>工业区污水管网，纳入</w:t>
            </w:r>
            <w:r>
              <w:rPr>
                <w:rFonts w:hint="default" w:ascii="Times New Roman" w:hAnsi="Times New Roman" w:eastAsia="宋体" w:cs="Times New Roman"/>
                <w:sz w:val="24"/>
                <w:szCs w:val="24"/>
              </w:rPr>
              <w:t>诏安县金都工业集中区污水处理厂统一处理，因此不再单独分配总量控制指标。</w:t>
            </w:r>
          </w:p>
          <w:p>
            <w:pPr>
              <w:pStyle w:val="14"/>
              <w:widowControl w:val="0"/>
              <w:spacing w:line="360" w:lineRule="auto"/>
              <w:ind w:left="0" w:right="0"/>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②废气</w:t>
            </w:r>
          </w:p>
          <w:p>
            <w:pPr>
              <w:widowControl w:val="0"/>
              <w:spacing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塑料米熔融、注塑工序产生的有机废气主要为</w:t>
            </w:r>
            <w:r>
              <w:rPr>
                <w:rFonts w:hint="default" w:ascii="Times New Roman" w:hAnsi="Times New Roman" w:eastAsia="宋体" w:cs="Times New Roman"/>
                <w:sz w:val="24"/>
                <w:szCs w:val="24"/>
              </w:rPr>
              <w:t>非甲烷总烃，其排放浓度为约52mg/m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排放速率为0.0073kg/h，通过在熔融、注塑工段上安装集气罩，将产生的热蒸汽及非甲烷总烃集中收集后通过一根15米的排气筒进行高空排放，可确保废气的排放符合GB16297-1996《大气污染物综合排放标准》表2二级标准，</w:t>
            </w:r>
            <w:r>
              <w:rPr>
                <w:rFonts w:hint="default" w:ascii="Times New Roman" w:hAnsi="Times New Roman" w:eastAsia="宋体" w:cs="Times New Roman"/>
                <w:bCs/>
                <w:sz w:val="24"/>
                <w:szCs w:val="24"/>
              </w:rPr>
              <w:t>对厂区及周围环境的影响不大。</w:t>
            </w:r>
          </w:p>
          <w:p>
            <w:pPr>
              <w:pStyle w:val="94"/>
              <w:widowControl w:val="0"/>
              <w:snapToGrid w:val="0"/>
              <w:spacing w:after="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项目所在附近区域地势开阔，大气扩散条件好，区域空气流通，运输车辆排放的少量废气对周围环境空气质量的影响较小。</w:t>
            </w:r>
          </w:p>
          <w:p>
            <w:pPr>
              <w:pStyle w:val="15"/>
              <w:widowControl w:val="0"/>
              <w:spacing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③噪声</w:t>
            </w:r>
          </w:p>
          <w:p>
            <w:pPr>
              <w:widowControl w:val="0"/>
              <w:spacing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噪声主要来源于空压机、搅拌机、破碎机等设备运行时产生的噪声，噪声值约在65～85dB之间。在生产过程中通过采取切实可行的综合消声、隔音措施来治理噪声污染，确保厂界噪声达到GB12348-2008《工业企业厂界环境噪声排放标准》3、4类标准。厂界噪声达标后，对周围环境的影响较小。</w:t>
            </w:r>
          </w:p>
          <w:p>
            <w:pPr>
              <w:widowControl w:val="0"/>
              <w:spacing w:line="360" w:lineRule="auto"/>
              <w:ind w:firstLine="567"/>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④固体废物</w:t>
            </w:r>
          </w:p>
          <w:p>
            <w:pPr>
              <w:widowControl w:val="0"/>
              <w:spacing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中转的塑料制品、食品罐头等货物均己打包好，装卸过程不产生固废；塑料制品生产过程的修边工序产生的边角料及不合格产品经破碎机破碎后回用于生产；职工生活垃圾的产生量为16.8t/a，分类收集后由工业区环卫部门及时清理外运；沙茶酱、辣酱酱生产过程中原料的筛选工序会产生一定量的杂质，产生量约为1.5吨/年，集中收集后与生活垃圾一起外运；磨酱、熬煮和搅拌工序会因散落和粘在容器上而损耗部分的原料，损耗量约为0.5吨/年，该部分随着设备和车间的清洗而进入废水中。</w:t>
            </w:r>
          </w:p>
          <w:p>
            <w:pPr>
              <w:widowControl w:val="0"/>
              <w:spacing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固废经妥善处理后，不会对周围环境造成二次污染。</w:t>
            </w:r>
          </w:p>
          <w:p>
            <w:pPr>
              <w:widowControl w:val="0"/>
              <w:spacing w:line="360" w:lineRule="auto"/>
              <w:ind w:firstLine="567"/>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4、建议</w:t>
            </w:r>
          </w:p>
          <w:p>
            <w:pPr>
              <w:widowControl w:val="0"/>
              <w:spacing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①严格执行环保“三同时”制度。</w:t>
            </w:r>
          </w:p>
          <w:p>
            <w:pPr>
              <w:widowControl w:val="0"/>
              <w:spacing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②选用低噪声的设备；做好隔音降噪措施，并定期对生产设备进行维护。</w:t>
            </w:r>
          </w:p>
          <w:p>
            <w:pPr>
              <w:widowControl w:val="0"/>
              <w:spacing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③加强日常安全生产管理，努力创建文明清洁生产，确保废气、废水处理等设施正常运转。</w:t>
            </w:r>
          </w:p>
          <w:p>
            <w:pPr>
              <w:widowControl w:val="0"/>
              <w:spacing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④不断创新，改进工艺，实现清洁生产，从根本上去进一步搞好环境保护工作。</w:t>
            </w:r>
          </w:p>
          <w:p>
            <w:pPr>
              <w:widowControl w:val="0"/>
              <w:spacing w:line="360" w:lineRule="auto"/>
              <w:ind w:firstLine="567"/>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⑤在厂区及厂区周围加强绿化植树，一方面美化厂区环境，一方面提高消声隔音及净化空气的效果。</w:t>
            </w:r>
          </w:p>
          <w:p>
            <w:pPr>
              <w:widowControl w:val="0"/>
              <w:spacing w:line="360" w:lineRule="auto"/>
              <w:ind w:firstLine="567"/>
              <w:jc w:val="both"/>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5、项目建设结论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z w:val="24"/>
                <w:szCs w:val="24"/>
              </w:rPr>
              <w:t>福建金平实业有限公司选址于诏安金都工业集中区，选址合理。经检索有关产业政策法规，项目建设符合当前的国家产业政策。项目所在区域水、大气与声环境现状良好，符合环境功能规划要求。该项目采取本评价提出的各项污染控制措施，保证做到污染物达标排放，同时污染物排放总量不大于地方环保部门核定的总量控制指标，则对周围环境影响不大。从环保角度分析，该项目在此建设和生产是可行的</w:t>
            </w:r>
            <w:r>
              <w:rPr>
                <w:rFonts w:hint="default" w:ascii="Times New Roman" w:hAnsi="Times New Roman" w:eastAsia="宋体" w:cs="Times New Roman"/>
                <w:color w:val="000000" w:themeColor="text1"/>
                <w:sz w:val="24"/>
                <w:szCs w:val="24"/>
                <w14:textFill>
                  <w14:solidFill>
                    <w14:schemeClr w14:val="tx1"/>
                  </w14:solidFill>
                </w14:textFill>
              </w:rPr>
              <w:t>。</w:t>
            </w:r>
          </w:p>
          <w:p>
            <w:pPr>
              <w:widowControl/>
              <w:spacing w:line="360" w:lineRule="auto"/>
              <w:ind w:firstLine="482" w:firstLineChars="200"/>
              <w:jc w:val="both"/>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二</w:t>
            </w:r>
            <w:r>
              <w:rPr>
                <w:rFonts w:hint="eastAsia" w:ascii="Times New Roman" w:hAnsi="Times New Roman" w:eastAsia="宋体" w:cs="Times New Roman"/>
                <w:b/>
                <w:bCs/>
                <w:color w:val="000000" w:themeColor="text1"/>
                <w:sz w:val="24"/>
                <w:szCs w:val="24"/>
                <w14:textFill>
                  <w14:solidFill>
                    <w14:schemeClr w14:val="tx1"/>
                  </w14:solidFill>
                </w14:textFill>
              </w:rPr>
              <w:t>、</w:t>
            </w:r>
            <w:r>
              <w:rPr>
                <w:rFonts w:ascii="Times New Roman" w:hAnsi="Times New Roman" w:eastAsia="宋体" w:cs="Times New Roman"/>
                <w:b/>
                <w:bCs/>
                <w:color w:val="000000" w:themeColor="text1"/>
                <w:sz w:val="24"/>
                <w:szCs w:val="24"/>
                <w14:textFill>
                  <w14:solidFill>
                    <w14:schemeClr w14:val="tx1"/>
                  </w14:solidFill>
                </w14:textFill>
              </w:rPr>
              <w:t>审批部门审批决定</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一、同意该项目在该址建设。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二、要求该企业认真落实本报告表提出的各项环保措施，严格执行环保管理制度，确保污染物达标排放，做好环保工作。</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三、项目执行的污染物排放标准和控制要求：</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1、废水排放近期执行GB8978-96《污水综合排放标准》表4一级标准，远期由金都工业集中区污水处理厂统一处理时，执行上述标准表4三级标准。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2、厂界噪声风别执行GB12348-2008《工业企业厂界环境噪声排放标准》3类、4类标准。</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3、注塑废气经集气罩收集，排放执行GB16297-96《大气污染物综合排放标准》二级标准，排气筒高度应不低于15米，并高出周围200米范围内最高建筑物5米以上。</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四、主要污染物允许排放量：COD≤0.6吨/年，氨氮≤0.0吨/年。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五、固体废物和生活垃圾及时处理处置，避免二次污染。</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六、做好绿化工作，起到美化净化环境和降噪作用。</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七、严格执行环保“三同时”制度，环保设施必须与主体工程同时设计、同时施工、同时投产使用。项目自生产之日起3个月内。应向我局神经环保设施竣工验收。经验收合格后，方可正式生产。</w:t>
            </w:r>
          </w:p>
          <w:p>
            <w:pPr>
              <w:pStyle w:val="37"/>
              <w:spacing w:line="360" w:lineRule="auto"/>
              <w:ind w:firstLine="482" w:firstLineChars="200"/>
              <w:jc w:val="both"/>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三</w:t>
            </w:r>
            <w:r>
              <w:rPr>
                <w:rFonts w:ascii="Times New Roman" w:hAnsi="Times New Roman" w:cs="Times New Roman"/>
                <w:b/>
                <w:bCs/>
                <w:color w:val="000000" w:themeColor="text1"/>
                <w14:textFill>
                  <w14:solidFill>
                    <w14:schemeClr w14:val="tx1"/>
                  </w14:solidFill>
                </w14:textFill>
              </w:rPr>
              <w:t>、环境影响报告表及批复意见落实情况调查</w:t>
            </w:r>
          </w:p>
          <w:p>
            <w:pPr>
              <w:pStyle w:val="37"/>
              <w:jc w:val="center"/>
              <w:rPr>
                <w:rFonts w:ascii="Times New Roman" w:hAnsi="Times New Roman" w:cs="Times New Roman"/>
                <w:b/>
                <w:bCs/>
                <w:color w:val="000000" w:themeColor="text1"/>
                <w:sz w:val="21"/>
                <w:szCs w:val="21"/>
                <w14:textFill>
                  <w14:solidFill>
                    <w14:schemeClr w14:val="tx1"/>
                  </w14:solidFill>
                </w14:textFill>
              </w:rPr>
            </w:pPr>
            <w:r>
              <w:rPr>
                <w:rFonts w:ascii="Times New Roman" w:hAnsi="Times New Roman" w:cs="Times New Roman"/>
                <w:b/>
                <w:bCs/>
                <w:color w:val="000000" w:themeColor="text1"/>
                <w:sz w:val="21"/>
                <w:szCs w:val="21"/>
                <w14:textFill>
                  <w14:solidFill>
                    <w14:schemeClr w14:val="tx1"/>
                  </w14:solidFill>
                </w14:textFill>
              </w:rPr>
              <w:t>表4-</w:t>
            </w:r>
            <w:r>
              <w:rPr>
                <w:rFonts w:hint="eastAsia" w:ascii="Times New Roman" w:hAnsi="Times New Roman" w:cs="Times New Roman"/>
                <w:b/>
                <w:bCs/>
                <w:color w:val="000000" w:themeColor="text1"/>
                <w:sz w:val="21"/>
                <w:szCs w:val="21"/>
                <w:lang w:val="en-US" w:eastAsia="zh-CN"/>
                <w14:textFill>
                  <w14:solidFill>
                    <w14:schemeClr w14:val="tx1"/>
                  </w14:solidFill>
                </w14:textFill>
              </w:rPr>
              <w:t>1</w:t>
            </w:r>
            <w:r>
              <w:rPr>
                <w:rFonts w:ascii="Times New Roman" w:hAnsi="Times New Roman" w:cs="Times New Roman"/>
                <w:b/>
                <w:bCs/>
                <w:color w:val="000000" w:themeColor="text1"/>
                <w:sz w:val="21"/>
                <w:szCs w:val="21"/>
                <w14:textFill>
                  <w14:solidFill>
                    <w14:schemeClr w14:val="tx1"/>
                  </w14:solidFill>
                </w14:textFill>
              </w:rPr>
              <w:t xml:space="preserve"> 环境影响报告表批复意见落实一览表</w:t>
            </w:r>
          </w:p>
          <w:tbl>
            <w:tblPr>
              <w:tblStyle w:val="27"/>
              <w:tblW w:w="86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20"/>
              <w:gridCol w:w="4005"/>
              <w:gridCol w:w="43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84" w:type="pc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序号</w:t>
                  </w:r>
                </w:p>
              </w:tc>
              <w:tc>
                <w:tcPr>
                  <w:tcW w:w="2312" w:type="pc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批复情况</w:t>
                  </w:r>
                </w:p>
              </w:tc>
              <w:tc>
                <w:tcPr>
                  <w:tcW w:w="2502" w:type="pct"/>
                  <w:tcBorders>
                    <w:tl2br w:val="nil"/>
                    <w:tr2bl w:val="nil"/>
                  </w:tcBorders>
                  <w:vAlign w:val="center"/>
                </w:tcPr>
                <w:p>
                  <w:pPr>
                    <w:pStyle w:val="37"/>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实际执行情况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7"/>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c>
                <w:tcPr>
                  <w:tcW w:w="2312" w:type="pct"/>
                  <w:tcBorders>
                    <w:tl2br w:val="nil"/>
                    <w:tr2bl w:val="nil"/>
                  </w:tcBorders>
                  <w:vAlign w:val="center"/>
                </w:tcPr>
                <w:p>
                  <w:pPr>
                    <w:pStyle w:val="37"/>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废水排放近期执行GB8978-96《污水综合排放标准》表4一级标准，远期由金都工业集中区污水处理厂统一处理时，执行上述标准表4三级标准。</w:t>
                  </w:r>
                </w:p>
              </w:tc>
              <w:tc>
                <w:tcPr>
                  <w:tcW w:w="2502" w:type="pct"/>
                  <w:tcBorders>
                    <w:tl2br w:val="nil"/>
                    <w:tr2bl w:val="nil"/>
                  </w:tcBorders>
                  <w:vAlign w:val="center"/>
                </w:tcPr>
                <w:p>
                  <w:pPr>
                    <w:pStyle w:val="37"/>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t>生活污水经三级化粪池预处理后与清洗废水一同经过生化处理后排入</w:t>
                  </w:r>
                  <w:r>
                    <w:rPr>
                      <w:rFonts w:hint="default" w:ascii="Times New Roman" w:hAnsi="Times New Roman" w:eastAsia="宋体" w:cs="Times New Roman"/>
                      <w:color w:val="000000" w:themeColor="text1"/>
                      <w:sz w:val="21"/>
                      <w:szCs w:val="21"/>
                      <w:lang w:val="zh-CN" w:eastAsia="zh-CN" w:bidi="ar-SA"/>
                      <w14:textFill>
                        <w14:solidFill>
                          <w14:schemeClr w14:val="tx1"/>
                        </w14:solidFill>
                      </w14:textFill>
                    </w:rPr>
                    <w:t>诏安县城东污水处理厂。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7"/>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2</w:t>
                  </w:r>
                </w:p>
              </w:tc>
              <w:tc>
                <w:tcPr>
                  <w:tcW w:w="2312" w:type="pct"/>
                  <w:tcBorders>
                    <w:tl2br w:val="nil"/>
                    <w:tr2bl w:val="nil"/>
                  </w:tcBorders>
                  <w:vAlign w:val="center"/>
                </w:tcPr>
                <w:p>
                  <w:pPr>
                    <w:widowControl w:val="0"/>
                    <w:spacing w:line="240" w:lineRule="auto"/>
                    <w:jc w:val="left"/>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厂界噪声风别执行GB12348-2008《工业企业厂界环境噪声排放标准》3类、4类标准。</w:t>
                  </w:r>
                </w:p>
              </w:tc>
              <w:tc>
                <w:tcPr>
                  <w:tcW w:w="2502" w:type="pct"/>
                  <w:tcBorders>
                    <w:tl2br w:val="nil"/>
                    <w:tr2bl w:val="nil"/>
                  </w:tcBorders>
                  <w:vAlign w:val="center"/>
                </w:tcPr>
                <w:p>
                  <w:pPr>
                    <w:widowControl w:val="0"/>
                    <w:spacing w:line="240" w:lineRule="auto"/>
                    <w:jc w:val="left"/>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通过合理布局，使高噪声设备远离厂界；对噪声值较高的设备基座底部安装减振垫等；定期检查并调整好运动机器部件的静平衡与动平衡的动力，加强设备维护，使其处于良好运行状态，以此来降低环境噪声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7"/>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3</w:t>
                  </w:r>
                </w:p>
              </w:tc>
              <w:tc>
                <w:tcPr>
                  <w:tcW w:w="2312" w:type="pct"/>
                  <w:tcBorders>
                    <w:tl2br w:val="nil"/>
                    <w:tr2bl w:val="nil"/>
                  </w:tcBorders>
                  <w:vAlign w:val="center"/>
                </w:tcPr>
                <w:p>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注塑废气经集气罩收集，排放执行GB16297-96《大气污染物综合排放标准》二级标准，排气筒高度应不低于15米，并高出周围200米范围内最高建筑物5米以上。</w:t>
                  </w:r>
                </w:p>
              </w:tc>
              <w:tc>
                <w:tcPr>
                  <w:tcW w:w="2502" w:type="pct"/>
                  <w:tcBorders>
                    <w:tl2br w:val="nil"/>
                    <w:tr2bl w:val="nil"/>
                  </w:tcBorders>
                  <w:vAlign w:val="center"/>
                </w:tcPr>
                <w:p>
                  <w:pPr>
                    <w:widowControl w:val="0"/>
                    <w:spacing w:line="240" w:lineRule="auto"/>
                    <w:jc w:val="left"/>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项目不再生产塑料制品，故没有有机废气产生。原环评设计的调味料生产产生的无组织废气改为有组织排放：熬煮废气分别经过两套油烟净化装置处理后通过两根16m高排气筒排放；油炸废气分别经过两套油烟净化装置处理后通过两根16m高排气筒排放；焙炒废气通过油烟净化装置处理后通过16m高排气筒排放；冷却废气通过油烟净化装置处理后通过16m高排气筒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 w:type="pct"/>
                  <w:tcBorders>
                    <w:tl2br w:val="nil"/>
                    <w:tr2bl w:val="nil"/>
                  </w:tcBorders>
                  <w:vAlign w:val="center"/>
                </w:tcPr>
                <w:p>
                  <w:pPr>
                    <w:pStyle w:val="37"/>
                    <w:jc w:val="center"/>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4</w:t>
                  </w:r>
                </w:p>
              </w:tc>
              <w:tc>
                <w:tcPr>
                  <w:tcW w:w="2312" w:type="pct"/>
                  <w:tcBorders>
                    <w:tl2br w:val="nil"/>
                    <w:tr2bl w:val="nil"/>
                  </w:tcBorders>
                  <w:vAlign w:val="center"/>
                </w:tcPr>
                <w:p>
                  <w:pPr>
                    <w:pStyle w:val="37"/>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固体废物和生活垃圾及时处理处置，避免二次污染。</w:t>
                  </w:r>
                </w:p>
              </w:tc>
              <w:tc>
                <w:tcPr>
                  <w:tcW w:w="2502" w:type="pct"/>
                  <w:tcBorders>
                    <w:tl2br w:val="nil"/>
                    <w:tr2bl w:val="nil"/>
                  </w:tcBorders>
                  <w:vAlign w:val="center"/>
                </w:tcPr>
                <w:p>
                  <w:pPr>
                    <w:pStyle w:val="37"/>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生活垃圾：</w:t>
                  </w:r>
                  <w:r>
                    <w:rPr>
                      <w:rFonts w:hint="default" w:ascii="Times New Roman" w:hAnsi="Times New Roman" w:eastAsia="宋体" w:cs="Times New Roman"/>
                      <w:color w:val="000000" w:themeColor="text1"/>
                      <w:kern w:val="0"/>
                      <w:sz w:val="21"/>
                      <w:szCs w:val="21"/>
                      <w:lang w:val="en-GB" w:eastAsia="zh-CN" w:bidi="ar-SA"/>
                      <w14:textFill>
                        <w14:solidFill>
                          <w14:schemeClr w14:val="tx1"/>
                        </w14:solidFill>
                      </w14:textFill>
                    </w:rPr>
                    <w:t>生活垃圾分类收集后统一交由环卫部门清运处置</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。一般工业固体废物：原料边角料统一收集后</w:t>
                  </w:r>
                  <w:r>
                    <w:rPr>
                      <w:rFonts w:hint="default" w:ascii="Times New Roman" w:hAnsi="Times New Roman" w:eastAsia="宋体" w:cs="Times New Roman"/>
                      <w:color w:val="000000" w:themeColor="text1"/>
                      <w:kern w:val="0"/>
                      <w:sz w:val="21"/>
                      <w:szCs w:val="21"/>
                      <w:lang w:val="en-GB" w:eastAsia="zh-CN" w:bidi="ar-SA"/>
                      <w14:textFill>
                        <w14:solidFill>
                          <w14:schemeClr w14:val="tx1"/>
                        </w14:solidFill>
                      </w14:textFill>
                    </w:rPr>
                    <w:t>交由环卫部门清运处置</w:t>
                  </w:r>
                  <w:r>
                    <w:rPr>
                      <w:rFonts w:hint="eastAsia" w:ascii="Times New Roman" w:hAnsi="Times New Roman" w:eastAsia="宋体" w:cs="Times New Roman"/>
                      <w:color w:val="000000" w:themeColor="text1"/>
                      <w:kern w:val="0"/>
                      <w:sz w:val="21"/>
                      <w:szCs w:val="21"/>
                      <w:lang w:val="en-GB" w:eastAsia="zh-CN" w:bidi="ar-SA"/>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 xml:space="preserve">废包装材料委托厂家回收利用，污水处理设施产生的废油脂委托油脂回收单位回收利用。 </w:t>
                  </w:r>
                </w:p>
              </w:tc>
            </w:tr>
          </w:tbl>
          <w:p>
            <w:pPr>
              <w:pStyle w:val="37"/>
              <w:spacing w:line="360" w:lineRule="auto"/>
              <w:jc w:val="both"/>
              <w:rPr>
                <w:rFonts w:ascii="Times New Roman" w:hAnsi="Times New Roman" w:cs="Times New Roman"/>
                <w:color w:val="0000FF"/>
              </w:rPr>
            </w:pPr>
          </w:p>
        </w:tc>
      </w:tr>
    </w:tbl>
    <w:p>
      <w:pPr>
        <w:spacing w:line="360" w:lineRule="auto"/>
        <w:rPr>
          <w:rFonts w:ascii="Times New Roman" w:hAnsi="Times New Roman" w:eastAsia="宋体" w:cs="Times New Roman"/>
          <w:color w:val="0000FF"/>
          <w:sz w:val="21"/>
          <w:szCs w:val="21"/>
        </w:rPr>
        <w:sectPr>
          <w:footerReference r:id="rId5"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表五</w:t>
      </w:r>
    </w:p>
    <w:tbl>
      <w:tblPr>
        <w:tblStyle w:val="27"/>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2" w:hRule="atLeast"/>
        </w:trPr>
        <w:tc>
          <w:tcPr>
            <w:tcW w:w="8797" w:type="dxa"/>
          </w:tcPr>
          <w:p>
            <w:pPr>
              <w:widowControl/>
              <w:spacing w:line="360" w:lineRule="auto"/>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验收监测质量保证及质量控制：</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1、监测分析方法</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此次验收监测的分析方法按环境要素说明各项监测因子监测分析方法名称、方法标准号或方法来源、分析方法的最低检出限，详见下表。</w:t>
            </w:r>
          </w:p>
          <w:p>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ascii="Times New Roman" w:hAnsi="Times New Roman" w:eastAsia="宋体" w:cs="Times New Roman"/>
                <w:b/>
                <w:bCs/>
                <w:color w:val="auto"/>
                <w:sz w:val="21"/>
                <w:szCs w:val="21"/>
              </w:rPr>
            </w:pPr>
            <w:bookmarkStart w:id="2" w:name="_Toc1961"/>
            <w:r>
              <w:rPr>
                <w:rFonts w:ascii="Times New Roman" w:hAnsi="Times New Roman" w:eastAsia="宋体" w:cs="Times New Roman"/>
                <w:b/>
                <w:bCs/>
                <w:color w:val="auto"/>
                <w:sz w:val="21"/>
                <w:szCs w:val="21"/>
              </w:rPr>
              <w:t>表5-1 监测分析方法</w:t>
            </w:r>
            <w:bookmarkEnd w:id="2"/>
            <w:r>
              <w:rPr>
                <w:rFonts w:ascii="Times New Roman" w:hAnsi="Times New Roman" w:eastAsia="宋体" w:cs="Times New Roman"/>
                <w:b/>
                <w:bCs/>
                <w:color w:val="auto"/>
                <w:sz w:val="21"/>
                <w:szCs w:val="21"/>
              </w:rPr>
              <w:t>表</w:t>
            </w:r>
          </w:p>
          <w:tbl>
            <w:tblPr>
              <w:tblStyle w:val="26"/>
              <w:tblW w:w="85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993"/>
              <w:gridCol w:w="3003"/>
              <w:gridCol w:w="1481"/>
              <w:gridCol w:w="1332"/>
              <w:gridCol w:w="1016"/>
              <w:gridCol w:w="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类型</w:t>
                  </w:r>
                </w:p>
              </w:tc>
              <w:tc>
                <w:tcPr>
                  <w:tcW w:w="99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c>
                <w:tcPr>
                  <w:tcW w:w="300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检测方法及依据</w:t>
                  </w:r>
                </w:p>
              </w:tc>
              <w:tc>
                <w:tcPr>
                  <w:tcW w:w="148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检测仪器名称</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及型号</w:t>
                  </w:r>
                </w:p>
              </w:tc>
              <w:tc>
                <w:tcPr>
                  <w:tcW w:w="133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检出限</w:t>
                  </w:r>
                </w:p>
              </w:tc>
              <w:tc>
                <w:tcPr>
                  <w:tcW w:w="1020" w:type="dxa"/>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vMerge w:val="restart"/>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99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pH值</w:t>
                  </w:r>
                </w:p>
              </w:tc>
              <w:tc>
                <w:tcPr>
                  <w:tcW w:w="300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水质 pH值的测定 电极法 </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1147-2020</w:t>
                  </w:r>
                </w:p>
              </w:tc>
              <w:tc>
                <w:tcPr>
                  <w:tcW w:w="148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笔试PH计SX-620</w:t>
                  </w:r>
                </w:p>
              </w:tc>
              <w:tc>
                <w:tcPr>
                  <w:tcW w:w="133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20" w:type="dxa"/>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林振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vMerge w:val="continue"/>
                  <w:noWrap w:val="0"/>
                  <w:vAlign w:val="center"/>
                </w:tcPr>
                <w:p>
                  <w:pPr>
                    <w:jc w:val="center"/>
                    <w:rPr>
                      <w:rFonts w:hint="default" w:ascii="Times New Roman" w:hAnsi="Times New Roman" w:eastAsia="宋体" w:cs="Times New Roman"/>
                      <w:color w:val="auto"/>
                      <w:sz w:val="21"/>
                      <w:szCs w:val="21"/>
                    </w:rPr>
                  </w:pPr>
                </w:p>
              </w:tc>
              <w:tc>
                <w:tcPr>
                  <w:tcW w:w="99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300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氨氮的测定</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纳氏试剂分光光度法</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535-2009</w:t>
                  </w:r>
                </w:p>
              </w:tc>
              <w:tc>
                <w:tcPr>
                  <w:tcW w:w="148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双光束紫外可见分光光度计 UV1800</w:t>
                  </w:r>
                </w:p>
              </w:tc>
              <w:tc>
                <w:tcPr>
                  <w:tcW w:w="133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0.025mg/L</w:t>
                  </w:r>
                </w:p>
              </w:tc>
              <w:tc>
                <w:tcPr>
                  <w:tcW w:w="1020" w:type="dxa"/>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刘曼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vMerge w:val="continue"/>
                  <w:noWrap w:val="0"/>
                  <w:vAlign w:val="center"/>
                </w:tcPr>
                <w:p>
                  <w:pPr>
                    <w:jc w:val="center"/>
                    <w:rPr>
                      <w:rFonts w:hint="default" w:ascii="Times New Roman" w:hAnsi="Times New Roman" w:eastAsia="宋体" w:cs="Times New Roman"/>
                      <w:color w:val="auto"/>
                      <w:sz w:val="21"/>
                      <w:szCs w:val="21"/>
                    </w:rPr>
                  </w:pPr>
                </w:p>
              </w:tc>
              <w:tc>
                <w:tcPr>
                  <w:tcW w:w="99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悬浮物</w:t>
                  </w:r>
                </w:p>
              </w:tc>
              <w:tc>
                <w:tcPr>
                  <w:tcW w:w="300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水质 悬浮物的测定 </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重量法 </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11901-1989</w:t>
                  </w:r>
                </w:p>
              </w:tc>
              <w:tc>
                <w:tcPr>
                  <w:tcW w:w="148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电子天平BSA224S</w:t>
                  </w:r>
                </w:p>
              </w:tc>
              <w:tc>
                <w:tcPr>
                  <w:tcW w:w="133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4mg/L</w:t>
                  </w:r>
                </w:p>
              </w:tc>
              <w:tc>
                <w:tcPr>
                  <w:tcW w:w="1020" w:type="dxa"/>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陈子清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vMerge w:val="continue"/>
                  <w:noWrap w:val="0"/>
                  <w:vAlign w:val="center"/>
                </w:tcPr>
                <w:p>
                  <w:pPr>
                    <w:jc w:val="center"/>
                    <w:rPr>
                      <w:rFonts w:hint="default" w:ascii="Times New Roman" w:hAnsi="Times New Roman" w:eastAsia="宋体" w:cs="Times New Roman"/>
                      <w:color w:val="auto"/>
                      <w:sz w:val="21"/>
                      <w:szCs w:val="21"/>
                    </w:rPr>
                  </w:pPr>
                </w:p>
              </w:tc>
              <w:tc>
                <w:tcPr>
                  <w:tcW w:w="99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动植物油</w:t>
                  </w:r>
                </w:p>
              </w:tc>
              <w:tc>
                <w:tcPr>
                  <w:tcW w:w="300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石油类和动植物油类的测定</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红外分光光度法 </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637-2018</w:t>
                  </w:r>
                </w:p>
              </w:tc>
              <w:tc>
                <w:tcPr>
                  <w:tcW w:w="148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红外测油仪 MH-6</w:t>
                  </w:r>
                </w:p>
              </w:tc>
              <w:tc>
                <w:tcPr>
                  <w:tcW w:w="133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0.06mg/L</w:t>
                  </w:r>
                </w:p>
              </w:tc>
              <w:tc>
                <w:tcPr>
                  <w:tcW w:w="1020" w:type="dxa"/>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钟盛峰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vMerge w:val="continue"/>
                  <w:noWrap w:val="0"/>
                  <w:vAlign w:val="center"/>
                </w:tcPr>
                <w:p>
                  <w:pPr>
                    <w:jc w:val="center"/>
                    <w:rPr>
                      <w:rFonts w:hint="default" w:ascii="Times New Roman" w:hAnsi="Times New Roman" w:eastAsia="宋体" w:cs="Times New Roman"/>
                      <w:color w:val="auto"/>
                      <w:sz w:val="21"/>
                      <w:szCs w:val="21"/>
                    </w:rPr>
                  </w:pPr>
                </w:p>
              </w:tc>
              <w:tc>
                <w:tcPr>
                  <w:tcW w:w="99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w:t>
                  </w:r>
                </w:p>
              </w:tc>
              <w:tc>
                <w:tcPr>
                  <w:tcW w:w="300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化学需氧量的测定</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重铬酸盐法 </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828-2017</w:t>
                  </w:r>
                </w:p>
              </w:tc>
              <w:tc>
                <w:tcPr>
                  <w:tcW w:w="148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滴定管</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50mL</w:t>
                  </w:r>
                </w:p>
              </w:tc>
              <w:tc>
                <w:tcPr>
                  <w:tcW w:w="133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4mg/L</w:t>
                  </w:r>
                </w:p>
              </w:tc>
              <w:tc>
                <w:tcPr>
                  <w:tcW w:w="1020" w:type="dxa"/>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陈子清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727" w:type="dxa"/>
                  <w:vMerge w:val="continue"/>
                  <w:noWrap w:val="0"/>
                  <w:vAlign w:val="center"/>
                </w:tcPr>
                <w:p>
                  <w:pPr>
                    <w:jc w:val="center"/>
                    <w:rPr>
                      <w:rFonts w:hint="default" w:ascii="Times New Roman" w:hAnsi="Times New Roman" w:eastAsia="宋体" w:cs="Times New Roman"/>
                      <w:color w:val="auto"/>
                      <w:sz w:val="21"/>
                      <w:szCs w:val="21"/>
                    </w:rPr>
                  </w:pPr>
                </w:p>
              </w:tc>
              <w:tc>
                <w:tcPr>
                  <w:tcW w:w="99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五日生化需氧量</w:t>
                  </w:r>
                </w:p>
              </w:tc>
              <w:tc>
                <w:tcPr>
                  <w:tcW w:w="300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水质 五日生化需氧量 （BOD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）的测定 稀释与接种法 </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HJ 505-2009</w:t>
                  </w:r>
                </w:p>
              </w:tc>
              <w:tc>
                <w:tcPr>
                  <w:tcW w:w="148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生化培养箱LRH-250</w:t>
                  </w:r>
                </w:p>
              </w:tc>
              <w:tc>
                <w:tcPr>
                  <w:tcW w:w="133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0.5mg/L</w:t>
                  </w:r>
                </w:p>
              </w:tc>
              <w:tc>
                <w:tcPr>
                  <w:tcW w:w="1020" w:type="dxa"/>
                  <w:gridSpan w:val="2"/>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陈子清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有组织</w:t>
                  </w:r>
                  <w:r>
                    <w:rPr>
                      <w:rFonts w:hint="default" w:ascii="Times New Roman" w:hAnsi="Times New Roman" w:eastAsia="宋体" w:cs="Times New Roman"/>
                      <w:color w:val="auto"/>
                      <w:sz w:val="21"/>
                      <w:szCs w:val="21"/>
                    </w:rPr>
                    <w:t>废气</w:t>
                  </w:r>
                </w:p>
              </w:tc>
              <w:tc>
                <w:tcPr>
                  <w:tcW w:w="99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饮食业油烟</w:t>
                  </w:r>
                </w:p>
              </w:tc>
              <w:tc>
                <w:tcPr>
                  <w:tcW w:w="300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饮食业油烟排放标准</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18483-2001</w:t>
                  </w:r>
                </w:p>
              </w:tc>
              <w:tc>
                <w:tcPr>
                  <w:tcW w:w="1481"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红外测油仪 MH-6</w:t>
                  </w:r>
                </w:p>
              </w:tc>
              <w:tc>
                <w:tcPr>
                  <w:tcW w:w="133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20" w:type="dxa"/>
                  <w:gridSpan w:val="2"/>
                  <w:noWrap w:val="0"/>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傅东平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无组织</w:t>
                  </w:r>
                  <w:r>
                    <w:rPr>
                      <w:rFonts w:hint="default" w:ascii="Times New Roman" w:hAnsi="Times New Roman" w:eastAsia="宋体" w:cs="Times New Roman"/>
                      <w:color w:val="auto"/>
                      <w:sz w:val="21"/>
                      <w:szCs w:val="21"/>
                    </w:rPr>
                    <w:t>废气</w:t>
                  </w:r>
                </w:p>
              </w:tc>
              <w:tc>
                <w:tcPr>
                  <w:tcW w:w="99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臭气浓度</w:t>
                  </w:r>
                </w:p>
              </w:tc>
              <w:tc>
                <w:tcPr>
                  <w:tcW w:w="3003"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空气质量 恶臭的测定 </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三点比较式臭袋法</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GB/T 14675-93</w:t>
                  </w:r>
                </w:p>
              </w:tc>
              <w:tc>
                <w:tcPr>
                  <w:tcW w:w="148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33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20" w:type="dxa"/>
                  <w:gridSpan w:val="2"/>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张杭玲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7"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w:t>
                  </w:r>
                </w:p>
              </w:tc>
              <w:tc>
                <w:tcPr>
                  <w:tcW w:w="99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厂界噪声</w:t>
                  </w:r>
                </w:p>
              </w:tc>
              <w:tc>
                <w:tcPr>
                  <w:tcW w:w="3003"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工业企业厂界环境噪声排放标准 GB 12348-2008</w:t>
                  </w:r>
                </w:p>
              </w:tc>
              <w:tc>
                <w:tcPr>
                  <w:tcW w:w="1481"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多功能声级计AWA6228</w:t>
                  </w:r>
                </w:p>
              </w:tc>
              <w:tc>
                <w:tcPr>
                  <w:tcW w:w="1332" w:type="dxa"/>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20" w:type="dxa"/>
                  <w:gridSpan w:val="2"/>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许进来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dxa"/>
                <w:trHeight w:val="605" w:hRule="atLeast"/>
                <w:jc w:val="center"/>
              </w:trPr>
              <w:tc>
                <w:tcPr>
                  <w:tcW w:w="727" w:type="dxa"/>
                  <w:tcBorders>
                    <w:top w:val="single" w:color="auto" w:sz="4" w:space="0"/>
                    <w:left w:val="nil"/>
                    <w:bottom w:val="nil"/>
                    <w:right w:val="nil"/>
                  </w:tcBorders>
                  <w:noWrap w:val="0"/>
                  <w:vAlign w:val="top"/>
                </w:tcPr>
                <w:p>
                  <w:pPr>
                    <w:jc w:val="both"/>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备注：</w:t>
                  </w:r>
                </w:p>
              </w:tc>
              <w:tc>
                <w:tcPr>
                  <w:tcW w:w="7825" w:type="dxa"/>
                  <w:gridSpan w:val="5"/>
                  <w:tcBorders>
                    <w:top w:val="single" w:color="auto" w:sz="4" w:space="0"/>
                    <w:left w:val="nil"/>
                    <w:bottom w:val="nil"/>
                    <w:right w:val="nil"/>
                  </w:tcBorders>
                  <w:noWrap w:val="0"/>
                  <w:vAlign w:val="top"/>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“—”表示无相关信息。</w:t>
                  </w:r>
                </w:p>
              </w:tc>
            </w:tr>
          </w:tbl>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2、质控措施</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（1）人员：承担监测任务的</w:t>
            </w:r>
            <w:r>
              <w:rPr>
                <w:rFonts w:hint="eastAsia" w:ascii="Times New Roman" w:hAnsi="Times New Roman" w:eastAsia="宋体" w:cs="Times New Roman"/>
                <w:color w:val="auto"/>
                <w:sz w:val="24"/>
                <w:szCs w:val="24"/>
                <w:lang w:val="en-US" w:eastAsia="zh-CN"/>
              </w:rPr>
              <w:t>环境检测单位</w:t>
            </w:r>
            <w:r>
              <w:rPr>
                <w:rFonts w:ascii="Times New Roman" w:hAnsi="Times New Roman" w:eastAsia="宋体" w:cs="Times New Roman"/>
                <w:color w:val="auto"/>
                <w:sz w:val="24"/>
                <w:szCs w:val="24"/>
              </w:rPr>
              <w:t>通过资质认定，监测人员持证上岗。</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设备：监测过程中使用的仪器设备符合国家有关标准和技术要求。《中华人民共和国强制检定的工作计量器具明细目录》里的仪器设备，经计量检定合格并在有效期内；不属于明细目录里的仪器设备，校准合格并在有效期内使用。</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（3）监测时的工况调查：监测在企业生产设备处于正常运行状态下进行，核查工况，在建设项目竣工环境保护验收技术规范要求的负荷下采样。</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采样：采样点位选取应考虑到合适性和代表性，采样严格按技术规范要求进行，采样点位若现场与方案布设的采样点位有出入，在现场记录表格中的右上角用红笔星号（※）做标记以示区别。废气采样时保证采样系统的密封性，测试前气密性检查、校零校标，并提供校准校标记录作为附件；废气采样采集平行样。噪声采样记录上反映监测时的风速，监测时加带风罩，监测前后用标准声源对仪器进行校准，校准结果不超过0.5dB 数据方认为有效。</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（5）样品的保存及运输：凡能做现场测定的项目，均应在现场测定；不能现场测定的，应加保存剂保存并在保存期内测定。</w:t>
            </w:r>
          </w:p>
          <w:p>
            <w:pPr>
              <w:widowControl w:val="0"/>
              <w:adjustRightIn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实验室分析：保证实验室条件，实验室用水、使用试剂、器皿符合要求。分析现场采集水质密码样，实验室水质分析、样品分析能做平行双样的加测10%以上平行样。当平行双样测定合格率低于95%时，除对当批样品重新测定外再增加样品数10%～20%的平行样，直至平行双样测定合格率大于95%。平行双样最终结果以双样的平均值报出。有证环境标准样品的带有证环境标准样品进行分析。</w:t>
            </w:r>
          </w:p>
          <w:p>
            <w:pPr>
              <w:widowControl w:val="0"/>
              <w:adjustRightInd/>
              <w:spacing w:line="360" w:lineRule="auto"/>
              <w:ind w:firstLine="480" w:firstLineChars="200"/>
              <w:jc w:val="both"/>
              <w:rPr>
                <w:color w:val="auto"/>
              </w:rPr>
            </w:pPr>
            <w:r>
              <w:rPr>
                <w:rFonts w:ascii="Times New Roman" w:hAnsi="Times New Roman" w:eastAsia="宋体" w:cs="Times New Roman"/>
                <w:color w:val="auto"/>
                <w:sz w:val="24"/>
                <w:szCs w:val="24"/>
              </w:rPr>
              <w:t>（7）采样记录、分析结果、监测方案及报告均严格执行三级审核制度。</w:t>
            </w:r>
            <w:r>
              <w:rPr>
                <w:rFonts w:hint="eastAsia" w:ascii="Times New Roman" w:hAnsi="Times New Roman" w:eastAsia="宋体" w:cs="Times New Roman"/>
                <w:color w:val="auto"/>
                <w:sz w:val="24"/>
                <w:szCs w:val="24"/>
              </w:rPr>
              <w:t>即所在检测科室的室主任、质控负责人和技术负责人逐级审核，发现问题及时解决，不得进入下一环节。</w:t>
            </w:r>
          </w:p>
          <w:p>
            <w:pPr>
              <w:pStyle w:val="25"/>
              <w:widowControl w:val="0"/>
              <w:rPr>
                <w:color w:val="auto"/>
              </w:rPr>
            </w:pPr>
          </w:p>
          <w:p>
            <w:pPr>
              <w:pStyle w:val="25"/>
              <w:widowControl w:val="0"/>
              <w:rPr>
                <w:color w:val="auto"/>
              </w:rPr>
            </w:pP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s="Times New Roman"/>
          <w:b/>
          <w:color w:val="0000FF"/>
          <w:sz w:val="21"/>
          <w:szCs w:val="21"/>
        </w:r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表六</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9"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验收监测内容：</w:t>
            </w:r>
          </w:p>
          <w:p>
            <w:pPr>
              <w:widowControl w:val="0"/>
              <w:adjustRightInd/>
              <w:snapToGrid/>
              <w:spacing w:line="360" w:lineRule="auto"/>
              <w:ind w:firstLine="480" w:firstLineChars="200"/>
              <w:jc w:val="both"/>
              <w:outlineLvl w:val="1"/>
              <w:rPr>
                <w:rFonts w:ascii="Times New Roman" w:hAnsi="Times New Roman" w:eastAsia="宋体" w:cs="Times New Roman"/>
                <w:bCs/>
                <w:color w:val="auto"/>
                <w:sz w:val="24"/>
                <w:szCs w:val="24"/>
              </w:rPr>
            </w:pPr>
            <w:bookmarkStart w:id="3" w:name="_Toc24246"/>
            <w:bookmarkStart w:id="4" w:name="_Toc4084"/>
            <w:r>
              <w:rPr>
                <w:rFonts w:ascii="Times New Roman" w:hAnsi="Times New Roman" w:eastAsia="宋体" w:cs="Times New Roman"/>
                <w:bCs/>
                <w:color w:val="auto"/>
                <w:sz w:val="24"/>
                <w:szCs w:val="24"/>
              </w:rPr>
              <w:t>1、环境保护设施调试效果</w:t>
            </w:r>
            <w:bookmarkEnd w:id="3"/>
            <w:bookmarkEnd w:id="4"/>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通过对各类污染物达标排放排放及各类污染治理设施去除效率的监测，来说明环境保护设施调试效果，具体监测内容如下：</w:t>
            </w:r>
          </w:p>
          <w:p>
            <w:pPr>
              <w:widowControl w:val="0"/>
              <w:numPr>
                <w:ilvl w:val="0"/>
                <w:numId w:val="4"/>
              </w:numPr>
              <w:adjustRightInd/>
              <w:snapToGrid/>
              <w:spacing w:line="360" w:lineRule="auto"/>
              <w:ind w:firstLine="480" w:firstLineChars="200"/>
              <w:jc w:val="both"/>
              <w:rPr>
                <w:rFonts w:hint="eastAsia" w:ascii="Times New Roman" w:hAnsi="Times New Roman" w:eastAsia="宋体" w:cs="Times New Roman"/>
                <w:bCs/>
                <w:color w:val="auto"/>
                <w:sz w:val="24"/>
                <w:szCs w:val="24"/>
                <w:lang w:val="en-US" w:eastAsia="zh-CN"/>
              </w:rPr>
            </w:pPr>
            <w:r>
              <w:rPr>
                <w:rFonts w:ascii="Times New Roman" w:hAnsi="Times New Roman" w:eastAsia="宋体" w:cs="Times New Roman"/>
                <w:bCs/>
                <w:color w:val="auto"/>
                <w:sz w:val="24"/>
                <w:szCs w:val="24"/>
              </w:rPr>
              <w:t>废</w:t>
            </w:r>
            <w:r>
              <w:rPr>
                <w:rFonts w:hint="eastAsia" w:ascii="Times New Roman" w:hAnsi="Times New Roman" w:eastAsia="宋体" w:cs="Times New Roman"/>
                <w:bCs/>
                <w:color w:val="auto"/>
                <w:sz w:val="24"/>
                <w:szCs w:val="24"/>
                <w:lang w:val="en-US" w:eastAsia="zh-CN"/>
              </w:rPr>
              <w:t>水</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本次验收废</w:t>
            </w:r>
            <w:r>
              <w:rPr>
                <w:rFonts w:hint="eastAsia" w:ascii="Times New Roman" w:hAnsi="Times New Roman" w:eastAsia="宋体" w:cs="Times New Roman"/>
                <w:bCs/>
                <w:color w:val="auto"/>
                <w:sz w:val="24"/>
                <w:szCs w:val="24"/>
                <w:lang w:val="en-US" w:eastAsia="zh-CN"/>
              </w:rPr>
              <w:t>水</w:t>
            </w:r>
            <w:r>
              <w:rPr>
                <w:rFonts w:ascii="Times New Roman" w:hAnsi="Times New Roman" w:eastAsia="宋体" w:cs="Times New Roman"/>
                <w:bCs/>
                <w:color w:val="auto"/>
                <w:sz w:val="24"/>
                <w:szCs w:val="24"/>
              </w:rPr>
              <w:t>监测内容明细表见下表。</w:t>
            </w:r>
          </w:p>
          <w:p>
            <w:pPr>
              <w:widowControl w:val="0"/>
              <w:adjustRightInd/>
              <w:snapToGrid/>
              <w:spacing w:beforeLines="5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 xml:space="preserve">1 </w:t>
            </w:r>
            <w:r>
              <w:rPr>
                <w:rFonts w:ascii="Times New Roman" w:hAnsi="Times New Roman" w:eastAsia="宋体" w:cs="Times New Roman"/>
                <w:b/>
                <w:color w:val="auto"/>
                <w:sz w:val="21"/>
                <w:szCs w:val="21"/>
              </w:rPr>
              <w:t>废</w:t>
            </w:r>
            <w:r>
              <w:rPr>
                <w:rFonts w:hint="eastAsia" w:ascii="Times New Roman" w:hAnsi="Times New Roman" w:eastAsia="宋体" w:cs="Times New Roman"/>
                <w:b/>
                <w:color w:val="auto"/>
                <w:sz w:val="21"/>
                <w:szCs w:val="21"/>
                <w:lang w:val="en-US" w:eastAsia="zh-CN"/>
              </w:rPr>
              <w:t>水</w:t>
            </w:r>
            <w:r>
              <w:rPr>
                <w:rFonts w:ascii="Times New Roman" w:hAnsi="Times New Roman" w:eastAsia="宋体" w:cs="Times New Roman"/>
                <w:b/>
                <w:color w:val="auto"/>
                <w:sz w:val="21"/>
                <w:szCs w:val="21"/>
              </w:rPr>
              <w:t>监测明内容细</w:t>
            </w:r>
          </w:p>
          <w:tbl>
            <w:tblPr>
              <w:tblStyle w:val="27"/>
              <w:tblW w:w="8217"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26"/>
              <w:gridCol w:w="2878"/>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2826"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2878"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生活污水</w:t>
                  </w:r>
                </w:p>
              </w:tc>
              <w:tc>
                <w:tcPr>
                  <w:tcW w:w="2826"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废水处理设施进出口</w:t>
                  </w:r>
                </w:p>
              </w:tc>
              <w:tc>
                <w:tcPr>
                  <w:tcW w:w="2878"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三级化粪池+生化处理设施</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3次/天，2天</w:t>
                  </w:r>
                </w:p>
              </w:tc>
            </w:tr>
          </w:tbl>
          <w:p>
            <w:pPr>
              <w:pStyle w:val="4"/>
              <w:widowControl w:val="0"/>
              <w:numPr>
                <w:ilvl w:val="0"/>
                <w:numId w:val="0"/>
              </w:numPr>
              <w:spacing w:line="360" w:lineRule="auto"/>
              <w:ind w:firstLine="480" w:firstLineChars="200"/>
              <w:jc w:val="both"/>
              <w:rPr>
                <w:rFonts w:hint="eastAsia" w:ascii="Times New Roman" w:hAnsi="Times New Roman" w:eastAsia="宋体" w:cs="Times New Roman"/>
                <w:b w:val="0"/>
                <w:bCs/>
                <w:color w:val="auto"/>
                <w:kern w:val="0"/>
                <w:sz w:val="24"/>
                <w:szCs w:val="24"/>
                <w:lang w:val="en-US" w:eastAsia="zh-CN" w:bidi="ar-SA"/>
              </w:rPr>
            </w:pPr>
            <w:r>
              <w:rPr>
                <w:rFonts w:hint="eastAsia" w:ascii="Times New Roman" w:hAnsi="Times New Roman" w:eastAsia="宋体" w:cs="Times New Roman"/>
                <w:b w:val="0"/>
                <w:bCs/>
                <w:color w:val="auto"/>
                <w:kern w:val="0"/>
                <w:sz w:val="24"/>
                <w:szCs w:val="24"/>
                <w:lang w:val="en-US" w:eastAsia="zh-CN" w:bidi="ar-SA"/>
              </w:rPr>
              <w:t>（2）废气</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本次验收废气监测内容明细表见下表。</w:t>
            </w:r>
          </w:p>
          <w:p>
            <w:pPr>
              <w:widowControl w:val="0"/>
              <w:adjustRightInd/>
              <w:snapToGrid/>
              <w:spacing w:beforeLines="50"/>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 xml:space="preserve">2 </w:t>
            </w:r>
            <w:r>
              <w:rPr>
                <w:rFonts w:ascii="Times New Roman" w:hAnsi="Times New Roman" w:eastAsia="宋体" w:cs="Times New Roman"/>
                <w:b/>
                <w:color w:val="auto"/>
                <w:sz w:val="21"/>
                <w:szCs w:val="21"/>
              </w:rPr>
              <w:t>废气监测明内容细</w:t>
            </w:r>
          </w:p>
          <w:tbl>
            <w:tblPr>
              <w:tblStyle w:val="27"/>
              <w:tblW w:w="8215"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825"/>
              <w:gridCol w:w="2877"/>
              <w:gridCol w:w="1410"/>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1103"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282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2877"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1410"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油烟废气</w:t>
                  </w:r>
                </w:p>
              </w:tc>
              <w:tc>
                <w:tcPr>
                  <w:tcW w:w="282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6台油烟净化器出口</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油烟净化器</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3"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臭气浓度</w:t>
                  </w:r>
                </w:p>
              </w:tc>
              <w:tc>
                <w:tcPr>
                  <w:tcW w:w="2825"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厂界四周</w:t>
                  </w:r>
                </w:p>
              </w:tc>
              <w:tc>
                <w:tcPr>
                  <w:tcW w:w="2877" w:type="dxa"/>
                  <w:tcBorders>
                    <w:tl2br w:val="nil"/>
                    <w:tr2bl w:val="nil"/>
                  </w:tcBorders>
                  <w:vAlign w:val="center"/>
                </w:tcPr>
                <w:p>
                  <w:pPr>
                    <w:widowControl w:val="0"/>
                    <w:adjustRightInd/>
                    <w:snapToGrid/>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410" w:type="dxa"/>
                  <w:tcBorders>
                    <w:tl2br w:val="nil"/>
                    <w:tr2bl w:val="nil"/>
                  </w:tcBorders>
                  <w:vAlign w:val="center"/>
                </w:tcPr>
                <w:p>
                  <w:pPr>
                    <w:widowControl w:val="0"/>
                    <w:adjustRightInd/>
                    <w:snapToGrid/>
                    <w:jc w:val="center"/>
                    <w:rPr>
                      <w:rFonts w:hint="eastAsia" w:ascii="Times New Roman" w:hAnsi="Times New Roman" w:eastAsia="宋体" w:cs="Times New Roman"/>
                      <w:bCs/>
                      <w:color w:val="auto"/>
                      <w:sz w:val="21"/>
                      <w:szCs w:val="21"/>
                      <w:lang w:val="en-US" w:eastAsia="zh-CN" w:bidi="ar-SA"/>
                    </w:rPr>
                  </w:pPr>
                  <w:r>
                    <w:rPr>
                      <w:rFonts w:hint="eastAsia" w:ascii="Times New Roman" w:hAnsi="Times New Roman" w:eastAsia="宋体" w:cs="Times New Roman"/>
                      <w:bCs/>
                      <w:color w:val="auto"/>
                      <w:sz w:val="21"/>
                      <w:szCs w:val="21"/>
                      <w:lang w:val="en-US" w:eastAsia="zh-CN"/>
                    </w:rPr>
                    <w:t>3次/天，2天</w:t>
                  </w:r>
                </w:p>
              </w:tc>
            </w:tr>
          </w:tbl>
          <w:p>
            <w:pPr>
              <w:widowControl w:val="0"/>
              <w:adjustRightInd/>
              <w:spacing w:line="360" w:lineRule="auto"/>
              <w:ind w:firstLine="480" w:firstLineChars="200"/>
              <w:jc w:val="both"/>
              <w:outlineLvl w:val="2"/>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lang w:val="en-US" w:eastAsia="zh-CN"/>
              </w:rPr>
              <w:t>3</w:t>
            </w:r>
            <w:r>
              <w:rPr>
                <w:rFonts w:ascii="Times New Roman" w:hAnsi="Times New Roman" w:eastAsia="宋体" w:cs="Times New Roman"/>
                <w:bCs/>
                <w:color w:val="auto"/>
                <w:sz w:val="24"/>
                <w:szCs w:val="24"/>
              </w:rPr>
              <w:t>）厂界噪声监测</w:t>
            </w:r>
          </w:p>
          <w:p>
            <w:pPr>
              <w:widowControl w:val="0"/>
              <w:adjustRightIn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bCs/>
                <w:color w:val="auto"/>
                <w:sz w:val="24"/>
                <w:szCs w:val="24"/>
              </w:rPr>
              <w:t>本次验收厂界噪声监测明细表见下表。</w:t>
            </w:r>
          </w:p>
          <w:p>
            <w:pPr>
              <w:widowControl w:val="0"/>
              <w:adjustRightInd/>
              <w:jc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表6-</w:t>
            </w:r>
            <w:r>
              <w:rPr>
                <w:rFonts w:hint="eastAsia" w:ascii="Times New Roman" w:hAnsi="Times New Roman" w:eastAsia="宋体" w:cs="Times New Roman"/>
                <w:b/>
                <w:color w:val="auto"/>
                <w:sz w:val="21"/>
                <w:szCs w:val="21"/>
                <w:lang w:val="en-US" w:eastAsia="zh-CN"/>
              </w:rPr>
              <w:t>3</w:t>
            </w:r>
            <w:r>
              <w:rPr>
                <w:rFonts w:ascii="Times New Roman" w:hAnsi="Times New Roman" w:eastAsia="宋体" w:cs="Times New Roman"/>
                <w:b/>
                <w:color w:val="auto"/>
                <w:sz w:val="21"/>
                <w:szCs w:val="21"/>
              </w:rPr>
              <w:t>厂界噪声监测内容明细</w:t>
            </w:r>
          </w:p>
          <w:tbl>
            <w:tblPr>
              <w:tblStyle w:val="27"/>
              <w:tblW w:w="7958" w:type="dxa"/>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61"/>
              <w:gridCol w:w="1955"/>
              <w:gridCol w:w="1415"/>
              <w:gridCol w:w="2827"/>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监测项目</w:t>
                  </w:r>
                </w:p>
              </w:tc>
              <w:tc>
                <w:tcPr>
                  <w:tcW w:w="195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监测点位</w:t>
                  </w:r>
                </w:p>
              </w:tc>
              <w:tc>
                <w:tcPr>
                  <w:tcW w:w="1415"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环保设施</w:t>
                  </w:r>
                </w:p>
              </w:tc>
              <w:tc>
                <w:tcPr>
                  <w:tcW w:w="2827" w:type="dxa"/>
                  <w:tcBorders>
                    <w:tl2br w:val="nil"/>
                    <w:tr2bl w:val="nil"/>
                  </w:tcBorders>
                  <w:vAlign w:val="center"/>
                </w:tcPr>
                <w:p>
                  <w:pPr>
                    <w:widowControl w:val="0"/>
                    <w:adjustRightInd/>
                    <w:snapToGri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监测频次</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厂界噪声</w:t>
                  </w: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厂界1</w:t>
                  </w:r>
                </w:p>
              </w:tc>
              <w:tc>
                <w:tcPr>
                  <w:tcW w:w="1415" w:type="dxa"/>
                  <w:vMerge w:val="restart"/>
                  <w:tcBorders>
                    <w:tl2br w:val="nil"/>
                    <w:tr2bl w:val="nil"/>
                  </w:tcBorders>
                  <w:vAlign w:val="center"/>
                </w:tcPr>
                <w:p>
                  <w:pPr>
                    <w:widowControl w:val="0"/>
                    <w:adjustRightInd/>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隔声</w:t>
                  </w:r>
                  <w:r>
                    <w:rPr>
                      <w:rFonts w:hint="eastAsia" w:ascii="Times New Roman" w:hAnsi="Times New Roman" w:eastAsia="宋体" w:cs="Times New Roman"/>
                      <w:bCs/>
                      <w:color w:val="auto"/>
                      <w:sz w:val="21"/>
                      <w:szCs w:val="21"/>
                    </w:rPr>
                    <w:t>、合理布局机台</w:t>
                  </w:r>
                </w:p>
              </w:tc>
              <w:tc>
                <w:tcPr>
                  <w:tcW w:w="2827" w:type="dxa"/>
                  <w:vMerge w:val="restart"/>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昼</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夜各</w:t>
                  </w:r>
                  <w:r>
                    <w:rPr>
                      <w:rFonts w:ascii="Times New Roman" w:hAnsi="Times New Roman" w:eastAsia="宋体" w:cs="Times New Roman"/>
                      <w:bCs/>
                      <w:color w:val="auto"/>
                      <w:sz w:val="21"/>
                      <w:szCs w:val="21"/>
                    </w:rPr>
                    <w:t>1次/天，2天</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厂界2</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ascii="Times New Roman" w:hAnsi="Times New Roman" w:eastAsia="宋体" w:cs="Times New Roman"/>
                      <w:bCs/>
                      <w:color w:val="auto"/>
                      <w:sz w:val="21"/>
                      <w:szCs w:val="21"/>
                    </w:rPr>
                  </w:pPr>
                  <w:r>
                    <w:rPr>
                      <w:rFonts w:ascii="Times New Roman" w:hAnsi="Times New Roman" w:eastAsia="宋体" w:cs="Times New Roman"/>
                      <w:color w:val="auto"/>
                      <w:sz w:val="21"/>
                      <w:szCs w:val="21"/>
                    </w:rPr>
                    <w:t>厂界3</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1"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1955" w:type="dxa"/>
                  <w:tcBorders>
                    <w:tl2br w:val="nil"/>
                    <w:tr2bl w:val="nil"/>
                  </w:tcBorders>
                  <w:vAlign w:val="center"/>
                </w:tcPr>
                <w:p>
                  <w:pPr>
                    <w:widowControl/>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厂界</w:t>
                  </w:r>
                  <w:r>
                    <w:rPr>
                      <w:rFonts w:hint="eastAsia" w:ascii="Times New Roman" w:hAnsi="Times New Roman" w:eastAsia="宋体" w:cs="Times New Roman"/>
                      <w:color w:val="auto"/>
                      <w:sz w:val="21"/>
                      <w:szCs w:val="21"/>
                      <w:lang w:val="en-US" w:eastAsia="zh-CN"/>
                    </w:rPr>
                    <w:t>4</w:t>
                  </w:r>
                </w:p>
              </w:tc>
              <w:tc>
                <w:tcPr>
                  <w:tcW w:w="1415"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c>
                <w:tcPr>
                  <w:tcW w:w="2827" w:type="dxa"/>
                  <w:vMerge w:val="continue"/>
                  <w:tcBorders>
                    <w:tl2br w:val="nil"/>
                    <w:tr2bl w:val="nil"/>
                  </w:tcBorders>
                  <w:vAlign w:val="center"/>
                </w:tcPr>
                <w:p>
                  <w:pPr>
                    <w:widowControl w:val="0"/>
                    <w:adjustRightInd/>
                    <w:snapToGrid/>
                    <w:spacing w:line="360" w:lineRule="auto"/>
                    <w:jc w:val="center"/>
                    <w:rPr>
                      <w:rFonts w:ascii="Times New Roman" w:hAnsi="Times New Roman" w:eastAsia="宋体" w:cs="Times New Roman"/>
                      <w:bCs/>
                      <w:color w:val="auto"/>
                      <w:sz w:val="21"/>
                      <w:szCs w:val="21"/>
                    </w:rPr>
                  </w:pPr>
                </w:p>
              </w:tc>
            </w:tr>
          </w:tbl>
          <w:p>
            <w:pPr>
              <w:pStyle w:val="25"/>
              <w:widowControl w:val="0"/>
              <w:ind w:left="0" w:leftChars="0" w:firstLine="0" w:firstLineChars="0"/>
              <w:jc w:val="both"/>
              <w:rPr>
                <w:rFonts w:hint="eastAsia"/>
                <w:color w:val="auto"/>
                <w:lang w:val="en-US" w:eastAsia="zh-CN"/>
              </w:rPr>
            </w:pPr>
          </w:p>
          <w:p>
            <w:pPr>
              <w:pStyle w:val="25"/>
              <w:widowControl w:val="0"/>
              <w:jc w:val="both"/>
              <w:rPr>
                <w:rFonts w:hint="eastAsia" w:ascii="Times New Roman" w:hAnsi="Times New Roman" w:eastAsia="宋体" w:cs="Times New Roman"/>
                <w:bCs/>
                <w:color w:val="auto"/>
                <w:sz w:val="24"/>
                <w:szCs w:val="24"/>
                <w:lang w:val="en-US" w:eastAsia="zh-CN" w:bidi="ar-SA"/>
              </w:rPr>
            </w:pPr>
            <w:r>
              <w:rPr>
                <w:rFonts w:hint="eastAsia" w:ascii="Times New Roman" w:hAnsi="Times New Roman" w:eastAsia="宋体" w:cs="Times New Roman"/>
                <w:bCs/>
                <w:color w:val="auto"/>
                <w:sz w:val="24"/>
                <w:szCs w:val="24"/>
                <w:lang w:val="en-US" w:eastAsia="zh-CN" w:bidi="ar-SA"/>
              </w:rPr>
              <w:t>监测点位见下图6-1：</w:t>
            </w:r>
          </w:p>
          <w:p>
            <w:pPr>
              <w:pStyle w:val="25"/>
              <w:widowControl w:val="0"/>
              <w:ind w:left="0" w:leftChars="0" w:firstLine="0" w:firstLineChars="0"/>
              <w:jc w:val="center"/>
              <w:rPr>
                <w:rFonts w:hint="default" w:eastAsia="楷体_GB2312"/>
                <w:color w:val="0000FF"/>
                <w:lang w:val="en-US" w:eastAsia="zh-CN"/>
              </w:rPr>
            </w:pPr>
            <w:r>
              <w:rPr>
                <w:rFonts w:hint="eastAsia" w:eastAsia="宋体"/>
                <w:b/>
                <w:bCs/>
                <w:sz w:val="36"/>
                <w:szCs w:val="36"/>
                <w:lang w:eastAsia="zh-CN"/>
              </w:rPr>
              <w:object>
                <v:shape id="_x0000_i1025" o:spt="75" type="#_x0000_t75" style="height:360.6pt;width:421.2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r>
              <w:rPr>
                <w:rFonts w:hint="default" w:ascii="Times New Roman" w:hAnsi="Times New Roman" w:eastAsia="宋体" w:cs="Times New Roman"/>
                <w:b/>
                <w:bCs/>
                <w:color w:val="auto"/>
                <w:sz w:val="21"/>
                <w:szCs w:val="21"/>
                <w:lang w:val="en-US" w:eastAsia="zh-CN"/>
              </w:rPr>
              <w:t>图6-1  监测点位图</w:t>
            </w:r>
          </w:p>
        </w:tc>
      </w:tr>
    </w:tbl>
    <w:p>
      <w:pPr>
        <w:spacing w:line="360" w:lineRule="auto"/>
        <w:outlineLvl w:val="0"/>
        <w:rPr>
          <w:rFonts w:ascii="Times New Roman" w:hAnsi="Times New Roman" w:eastAsia="宋体" w:cs="Times New Roman"/>
          <w:b/>
          <w:color w:val="0000FF"/>
          <w:sz w:val="21"/>
          <w:szCs w:val="21"/>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表七</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3" w:hRule="atLeast"/>
        </w:trPr>
        <w:tc>
          <w:tcPr>
            <w:tcW w:w="8522" w:type="dxa"/>
          </w:tcPr>
          <w:p>
            <w:pPr>
              <w:widowControl/>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验收监测期间生产工况记录：</w:t>
            </w:r>
          </w:p>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bookmarkStart w:id="5" w:name="_Toc23720"/>
            <w:bookmarkStart w:id="6" w:name="_Toc8105"/>
            <w:r>
              <w:rPr>
                <w:rFonts w:ascii="Times New Roman" w:hAnsi="Times New Roman" w:eastAsia="宋体" w:cs="Times New Roman"/>
                <w:color w:val="auto"/>
                <w:sz w:val="24"/>
                <w:szCs w:val="24"/>
              </w:rPr>
              <w:t>1、生产工况</w:t>
            </w:r>
            <w:bookmarkEnd w:id="5"/>
            <w:bookmarkEnd w:id="6"/>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厦门华夏学苑检测有限公司</w:t>
            </w:r>
            <w:r>
              <w:rPr>
                <w:rFonts w:hint="eastAsia"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2021年</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16</w:t>
            </w:r>
            <w:r>
              <w:rPr>
                <w:rFonts w:hint="eastAsia" w:ascii="Times New Roman" w:hAnsi="Times New Roman" w:eastAsia="宋体" w:cs="Times New Roman"/>
                <w:color w:val="auto"/>
                <w:sz w:val="24"/>
                <w:szCs w:val="24"/>
                <w:lang w:eastAsia="zh-CN"/>
              </w:rPr>
              <w:t>日至2021年</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val="en-US" w:eastAsia="zh-CN"/>
              </w:rPr>
              <w:t>17</w:t>
            </w:r>
            <w:r>
              <w:rPr>
                <w:rFonts w:hint="eastAsia"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rPr>
              <w:t>到</w:t>
            </w:r>
            <w:r>
              <w:rPr>
                <w:rFonts w:hint="eastAsia" w:ascii="Times New Roman" w:hAnsi="Times New Roman" w:eastAsia="宋体" w:cs="Times New Roman"/>
                <w:color w:val="auto"/>
                <w:sz w:val="24"/>
                <w:szCs w:val="24"/>
                <w:lang w:val="en-US" w:eastAsia="zh-CN"/>
              </w:rPr>
              <w:t>福建省皇牌食品有限公司</w:t>
            </w:r>
            <w:r>
              <w:rPr>
                <w:rFonts w:hint="eastAsia" w:ascii="Times New Roman" w:hAnsi="Times New Roman" w:eastAsia="宋体" w:cs="Times New Roman"/>
                <w:color w:val="auto"/>
                <w:sz w:val="24"/>
                <w:szCs w:val="24"/>
              </w:rPr>
              <w:t>进行现场监测，项目环评设计年生产沙茶酱5000吨、辣椒酱1000吨、塑料制品50吨，年仓储、装卸塑料制品、食品罐头2万吨，目前项目实际生产能力为年生产沙茶酱5000吨、辣椒酱1000吨。在验收期间，</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16</w:t>
            </w:r>
            <w:r>
              <w:rPr>
                <w:rFonts w:hint="eastAsia" w:ascii="Times New Roman" w:hAnsi="Times New Roman" w:eastAsia="宋体" w:cs="Times New Roman"/>
                <w:color w:val="auto"/>
                <w:sz w:val="24"/>
                <w:szCs w:val="24"/>
              </w:rPr>
              <w:t>日生产沙茶酱</w:t>
            </w:r>
            <w:r>
              <w:rPr>
                <w:rFonts w:hint="eastAsia" w:ascii="Times New Roman" w:hAnsi="Times New Roman" w:eastAsia="宋体" w:cs="Times New Roman"/>
                <w:color w:val="auto"/>
                <w:sz w:val="24"/>
                <w:szCs w:val="24"/>
                <w:lang w:val="en-US" w:eastAsia="zh-CN"/>
              </w:rPr>
              <w:t>15</w:t>
            </w:r>
            <w:r>
              <w:rPr>
                <w:rFonts w:hint="eastAsia" w:ascii="Times New Roman" w:hAnsi="Times New Roman" w:eastAsia="宋体" w:cs="Times New Roman"/>
                <w:color w:val="auto"/>
                <w:sz w:val="24"/>
                <w:szCs w:val="24"/>
              </w:rPr>
              <w:t>吨、辣椒酱</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吨，生产负荷率为</w:t>
            </w:r>
            <w:r>
              <w:rPr>
                <w:rFonts w:hint="eastAsia" w:ascii="Times New Roman" w:hAnsi="Times New Roman" w:eastAsia="宋体" w:cs="Times New Roman"/>
                <w:color w:val="auto"/>
                <w:sz w:val="24"/>
                <w:szCs w:val="24"/>
                <w:lang w:val="en-US" w:eastAsia="zh-CN"/>
              </w:rPr>
              <w:t>90</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17</w:t>
            </w:r>
            <w:r>
              <w:rPr>
                <w:rFonts w:hint="eastAsia" w:ascii="Times New Roman" w:hAnsi="Times New Roman" w:eastAsia="宋体" w:cs="Times New Roman"/>
                <w:color w:val="auto"/>
                <w:sz w:val="24"/>
                <w:szCs w:val="24"/>
              </w:rPr>
              <w:t>号生产沙茶酱</w:t>
            </w:r>
            <w:r>
              <w:rPr>
                <w:rFonts w:hint="eastAsia" w:ascii="Times New Roman" w:hAnsi="Times New Roman" w:eastAsia="宋体" w:cs="Times New Roman"/>
                <w:color w:val="auto"/>
                <w:sz w:val="24"/>
                <w:szCs w:val="24"/>
                <w:lang w:val="en-US" w:eastAsia="zh-CN"/>
              </w:rPr>
              <w:t>15.8</w:t>
            </w:r>
            <w:r>
              <w:rPr>
                <w:rFonts w:hint="eastAsia" w:ascii="Times New Roman" w:hAnsi="Times New Roman" w:eastAsia="宋体" w:cs="Times New Roman"/>
                <w:color w:val="auto"/>
                <w:sz w:val="24"/>
                <w:szCs w:val="24"/>
              </w:rPr>
              <w:t>吨、辣椒酱</w:t>
            </w:r>
            <w:r>
              <w:rPr>
                <w:rFonts w:hint="eastAsia" w:ascii="Times New Roman" w:hAnsi="Times New Roman" w:eastAsia="宋体" w:cs="Times New Roman"/>
                <w:color w:val="auto"/>
                <w:sz w:val="24"/>
                <w:szCs w:val="24"/>
                <w:lang w:val="en-US" w:eastAsia="zh-CN"/>
              </w:rPr>
              <w:t>3.2</w:t>
            </w:r>
            <w:r>
              <w:rPr>
                <w:rFonts w:hint="eastAsia" w:ascii="Times New Roman" w:hAnsi="Times New Roman" w:eastAsia="宋体" w:cs="Times New Roman"/>
                <w:color w:val="auto"/>
                <w:sz w:val="24"/>
                <w:szCs w:val="24"/>
              </w:rPr>
              <w:t>吨，生产负荷率为9</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rPr>
              <w:t>%。采样期间的现场工况见下表。</w:t>
            </w:r>
          </w:p>
          <w:p>
            <w:pPr>
              <w:widowControl w:val="0"/>
              <w:adjustRightInd/>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表7-1 生产负荷表</w:t>
            </w:r>
          </w:p>
          <w:tbl>
            <w:tblPr>
              <w:tblStyle w:val="27"/>
              <w:tblW w:w="4721"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2036"/>
              <w:gridCol w:w="1140"/>
              <w:gridCol w:w="2418"/>
              <w:gridCol w:w="995"/>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791"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日期</w:t>
                  </w:r>
                </w:p>
              </w:tc>
              <w:tc>
                <w:tcPr>
                  <w:tcW w:w="1300"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环评设计产能</w:t>
                  </w:r>
                </w:p>
              </w:tc>
              <w:tc>
                <w:tcPr>
                  <w:tcW w:w="727"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实际产能</w:t>
                  </w:r>
                </w:p>
              </w:tc>
              <w:tc>
                <w:tcPr>
                  <w:tcW w:w="1544"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采样当天产能</w:t>
                  </w:r>
                </w:p>
              </w:tc>
              <w:tc>
                <w:tcPr>
                  <w:tcW w:w="635"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负荷</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rPr>
                    <w:t>月</w:t>
                  </w:r>
                  <w:r>
                    <w:rPr>
                      <w:rFonts w:hint="eastAsia" w:ascii="Times New Roman" w:hAnsi="Times New Roman" w:eastAsia="宋体" w:cs="Times New Roman"/>
                      <w:color w:val="auto"/>
                      <w:sz w:val="21"/>
                      <w:szCs w:val="21"/>
                      <w:lang w:val="en-US" w:eastAsia="zh-CN"/>
                    </w:rPr>
                    <w:t>16</w:t>
                  </w:r>
                  <w:r>
                    <w:rPr>
                      <w:rFonts w:hint="eastAsia" w:ascii="Times New Roman" w:hAnsi="Times New Roman" w:eastAsia="宋体" w:cs="Times New Roman"/>
                      <w:color w:val="auto"/>
                      <w:sz w:val="21"/>
                      <w:szCs w:val="21"/>
                    </w:rPr>
                    <w:t>日</w:t>
                  </w:r>
                </w:p>
              </w:tc>
              <w:tc>
                <w:tcPr>
                  <w:tcW w:w="1300"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年生产沙茶酱5000吨、辣椒酱1000吨、塑料制品50吨，年仓储、装卸塑料制品、食品罐头2万吨</w:t>
                  </w:r>
                </w:p>
              </w:tc>
              <w:tc>
                <w:tcPr>
                  <w:tcW w:w="727" w:type="pct"/>
                  <w:vMerge w:val="restart"/>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年生产沙茶酱5000吨、辣椒酱1000吨</w:t>
                  </w:r>
                </w:p>
              </w:tc>
              <w:tc>
                <w:tcPr>
                  <w:tcW w:w="1544" w:type="pct"/>
                  <w:tcBorders>
                    <w:tl2br w:val="nil"/>
                    <w:tr2bl w:val="nil"/>
                  </w:tcBorders>
                  <w:vAlign w:val="center"/>
                </w:tcPr>
                <w:p>
                  <w:pPr>
                    <w:widowControl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生产沙茶酱</w:t>
                  </w:r>
                  <w:r>
                    <w:rPr>
                      <w:rFonts w:hint="eastAsia" w:ascii="Times New Roman" w:hAnsi="Times New Roman" w:eastAsia="宋体" w:cs="Times New Roman"/>
                      <w:color w:val="auto"/>
                      <w:sz w:val="21"/>
                      <w:szCs w:val="21"/>
                      <w:lang w:val="en-US" w:eastAsia="zh-CN"/>
                    </w:rPr>
                    <w:t>15</w:t>
                  </w:r>
                  <w:r>
                    <w:rPr>
                      <w:rFonts w:hint="eastAsia" w:ascii="Times New Roman" w:hAnsi="Times New Roman" w:eastAsia="宋体" w:cs="Times New Roman"/>
                      <w:color w:val="auto"/>
                      <w:sz w:val="21"/>
                      <w:szCs w:val="21"/>
                    </w:rPr>
                    <w:t>吨、辣椒酱</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吨</w:t>
                  </w:r>
                </w:p>
              </w:tc>
              <w:tc>
                <w:tcPr>
                  <w:tcW w:w="635" w:type="pct"/>
                  <w:vMerge w:val="restar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1" w:type="pct"/>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w:t>
                  </w:r>
                  <w:r>
                    <w:rPr>
                      <w:rFonts w:hint="eastAsia" w:ascii="Times New Roman" w:hAnsi="Times New Roman" w:eastAsia="宋体" w:cs="Times New Roman"/>
                      <w:color w:val="auto"/>
                      <w:sz w:val="21"/>
                      <w:szCs w:val="21"/>
                    </w:rPr>
                    <w:t>月</w:t>
                  </w:r>
                  <w:r>
                    <w:rPr>
                      <w:rFonts w:hint="eastAsia" w:ascii="Times New Roman" w:hAnsi="Times New Roman" w:eastAsia="宋体" w:cs="Times New Roman"/>
                      <w:color w:val="auto"/>
                      <w:sz w:val="21"/>
                      <w:szCs w:val="21"/>
                      <w:lang w:val="en-US" w:eastAsia="zh-CN"/>
                    </w:rPr>
                    <w:t>17</w:t>
                  </w:r>
                  <w:r>
                    <w:rPr>
                      <w:rFonts w:hint="eastAsia" w:ascii="Times New Roman" w:hAnsi="Times New Roman" w:eastAsia="宋体" w:cs="Times New Roman"/>
                      <w:color w:val="auto"/>
                      <w:sz w:val="21"/>
                      <w:szCs w:val="21"/>
                    </w:rPr>
                    <w:t>日</w:t>
                  </w:r>
                </w:p>
              </w:tc>
              <w:tc>
                <w:tcPr>
                  <w:tcW w:w="1300"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p>
              </w:tc>
              <w:tc>
                <w:tcPr>
                  <w:tcW w:w="727" w:type="pct"/>
                  <w:vMerge w:val="continue"/>
                  <w:tcBorders>
                    <w:tl2br w:val="nil"/>
                    <w:tr2bl w:val="nil"/>
                  </w:tcBorders>
                  <w:vAlign w:val="center"/>
                </w:tcPr>
                <w:p>
                  <w:pPr>
                    <w:widowControl w:val="0"/>
                    <w:adjustRightInd/>
                    <w:snapToGrid/>
                    <w:jc w:val="center"/>
                    <w:rPr>
                      <w:rFonts w:hint="eastAsia" w:ascii="Times New Roman" w:hAnsi="Times New Roman" w:eastAsia="宋体" w:cs="Times New Roman"/>
                      <w:color w:val="auto"/>
                      <w:sz w:val="21"/>
                      <w:szCs w:val="21"/>
                      <w:lang w:val="en-US" w:eastAsia="zh-CN"/>
                    </w:rPr>
                  </w:pPr>
                </w:p>
              </w:tc>
              <w:tc>
                <w:tcPr>
                  <w:tcW w:w="1544" w:type="pct"/>
                  <w:tcBorders>
                    <w:tl2br w:val="nil"/>
                    <w:tr2bl w:val="nil"/>
                  </w:tcBorders>
                  <w:vAlign w:val="center"/>
                </w:tcPr>
                <w:p>
                  <w:pPr>
                    <w:widowControl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生产沙茶酱</w:t>
                  </w:r>
                  <w:r>
                    <w:rPr>
                      <w:rFonts w:hint="eastAsia" w:ascii="Times New Roman" w:hAnsi="Times New Roman" w:eastAsia="宋体" w:cs="Times New Roman"/>
                      <w:color w:val="auto"/>
                      <w:sz w:val="21"/>
                      <w:szCs w:val="21"/>
                      <w:lang w:val="en-US" w:eastAsia="zh-CN"/>
                    </w:rPr>
                    <w:t>15.8</w:t>
                  </w:r>
                  <w:r>
                    <w:rPr>
                      <w:rFonts w:hint="eastAsia" w:ascii="Times New Roman" w:hAnsi="Times New Roman" w:eastAsia="宋体" w:cs="Times New Roman"/>
                      <w:color w:val="auto"/>
                      <w:sz w:val="21"/>
                      <w:szCs w:val="21"/>
                    </w:rPr>
                    <w:t>吨、辣椒酱</w:t>
                  </w:r>
                  <w:r>
                    <w:rPr>
                      <w:rFonts w:hint="eastAsia" w:ascii="Times New Roman" w:hAnsi="Times New Roman" w:eastAsia="宋体" w:cs="Times New Roman"/>
                      <w:color w:val="auto"/>
                      <w:sz w:val="21"/>
                      <w:szCs w:val="21"/>
                      <w:lang w:val="en-US" w:eastAsia="zh-CN"/>
                    </w:rPr>
                    <w:t>3.2</w:t>
                  </w:r>
                  <w:r>
                    <w:rPr>
                      <w:rFonts w:hint="eastAsia" w:ascii="Times New Roman" w:hAnsi="Times New Roman" w:eastAsia="宋体" w:cs="Times New Roman"/>
                      <w:color w:val="auto"/>
                      <w:sz w:val="21"/>
                      <w:szCs w:val="21"/>
                    </w:rPr>
                    <w:t>吨</w:t>
                  </w:r>
                </w:p>
              </w:tc>
              <w:tc>
                <w:tcPr>
                  <w:tcW w:w="635" w:type="pct"/>
                  <w:vMerge w:val="continue"/>
                  <w:tcBorders>
                    <w:tl2br w:val="nil"/>
                    <w:tr2bl w:val="nil"/>
                  </w:tcBorders>
                  <w:vAlign w:val="center"/>
                </w:tcPr>
                <w:p>
                  <w:pPr>
                    <w:widowControl w:val="0"/>
                    <w:adjustRightInd/>
                    <w:snapToGrid/>
                    <w:jc w:val="center"/>
                    <w:rPr>
                      <w:rFonts w:ascii="Times New Roman" w:hAnsi="Times New Roman" w:eastAsia="宋体" w:cs="Times New Roman"/>
                      <w:color w:val="auto"/>
                      <w:sz w:val="21"/>
                      <w:szCs w:val="21"/>
                    </w:rPr>
                  </w:pPr>
                </w:p>
              </w:tc>
            </w:tr>
          </w:tbl>
          <w:p>
            <w:pPr>
              <w:widowControl/>
              <w:spacing w:line="360" w:lineRule="auto"/>
              <w:ind w:firstLine="480" w:firstLineChars="20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w:t>
            </w:r>
            <w:r>
              <w:rPr>
                <w:rFonts w:hint="eastAsia" w:ascii="Times New Roman" w:hAnsi="Times New Roman" w:eastAsia="宋体" w:cs="Times New Roman"/>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验收监测结果：</w:t>
            </w:r>
          </w:p>
          <w:p>
            <w:pPr>
              <w:pStyle w:val="4"/>
              <w:widowControl/>
              <w:spacing w:line="360" w:lineRule="auto"/>
              <w:ind w:firstLine="480" w:firstLineChars="200"/>
              <w:jc w:val="both"/>
              <w:outlineLvl w:val="0"/>
              <w:rPr>
                <w:rFonts w:ascii="Times New Roman" w:hAnsi="Times New Roman" w:eastAsia="宋体" w:cs="Times New Roman"/>
                <w:b w:val="0"/>
                <w:bCs w:val="0"/>
                <w:color w:val="000000" w:themeColor="text1"/>
                <w:sz w:val="24"/>
                <w:szCs w:val="24"/>
                <w14:textFill>
                  <w14:solidFill>
                    <w14:schemeClr w14:val="tx1"/>
                  </w14:solidFill>
                </w14:textFill>
              </w:rPr>
            </w:pPr>
            <w:r>
              <w:rPr>
                <w:rFonts w:ascii="Times New Roman" w:hAnsi="Times New Roman" w:eastAsia="宋体" w:cs="Times New Roman"/>
                <w:b w:val="0"/>
                <w:bCs w:val="0"/>
                <w:color w:val="000000" w:themeColor="text1"/>
                <w:sz w:val="24"/>
                <w:szCs w:val="24"/>
                <w14:textFill>
                  <w14:solidFill>
                    <w14:schemeClr w14:val="tx1"/>
                  </w14:solidFill>
                </w14:textFill>
              </w:rPr>
              <w:t>（1）废水</w:t>
            </w:r>
          </w:p>
          <w:p>
            <w:pPr>
              <w:pStyle w:val="37"/>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ascii="Times New Roman" w:hAnsi="Times New Roman" w:cs="Times New Roman"/>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监测结果见下表。</w:t>
            </w:r>
          </w:p>
          <w:p>
            <w:pPr>
              <w:pStyle w:val="37"/>
              <w:spacing w:line="240" w:lineRule="auto"/>
              <w:ind w:firstLine="422" w:firstLineChars="20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表7-</w:t>
            </w:r>
            <w:r>
              <w:rPr>
                <w:rFonts w:hint="eastAsia" w:ascii="Times New Roman" w:hAnsi="Times New Roman"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 xml:space="preserve"> 废</w:t>
            </w:r>
            <w:r>
              <w:rPr>
                <w:rFonts w:hint="eastAsia" w:ascii="Times New Roman" w:hAnsi="Times New Roman" w:cs="Times New Roman"/>
                <w:b/>
                <w:bCs/>
                <w:color w:val="000000" w:themeColor="text1"/>
                <w:sz w:val="21"/>
                <w:szCs w:val="21"/>
                <w:lang w:val="en-US" w:eastAsia="zh-CN"/>
                <w14:textFill>
                  <w14:solidFill>
                    <w14:schemeClr w14:val="tx1"/>
                  </w14:solidFill>
                </w14:textFill>
              </w:rPr>
              <w:t>水</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监测结果</w:t>
            </w:r>
          </w:p>
          <w:tbl>
            <w:tblPr>
              <w:tblStyle w:val="26"/>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720"/>
              <w:gridCol w:w="1117"/>
              <w:gridCol w:w="645"/>
              <w:gridCol w:w="1020"/>
              <w:gridCol w:w="1020"/>
              <w:gridCol w:w="1035"/>
              <w:gridCol w:w="1095"/>
              <w:gridCol w:w="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5" w:type="dxa"/>
                  <w:vMerge w:val="restart"/>
                  <w:tcBorders>
                    <w:top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采样日期</w:t>
                  </w:r>
                </w:p>
              </w:tc>
              <w:tc>
                <w:tcPr>
                  <w:tcW w:w="720" w:type="dxa"/>
                  <w:vMerge w:val="restart"/>
                  <w:tcBorders>
                    <w:top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w:t>
                  </w:r>
                </w:p>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点位</w:t>
                  </w:r>
                </w:p>
              </w:tc>
              <w:tc>
                <w:tcPr>
                  <w:tcW w:w="1117" w:type="dxa"/>
                  <w:vMerge w:val="restart"/>
                  <w:tcBorders>
                    <w:top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645" w:type="dxa"/>
                  <w:vMerge w:val="restart"/>
                  <w:tcBorders>
                    <w:top w:val="single" w:color="auto" w:sz="4" w:space="0"/>
                  </w:tcBorders>
                  <w:noWrap w:val="0"/>
                  <w:vAlign w:val="center"/>
                </w:tcPr>
                <w:p>
                  <w:pPr>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限值</w:t>
                  </w:r>
                </w:p>
              </w:tc>
              <w:tc>
                <w:tcPr>
                  <w:tcW w:w="5153" w:type="dxa"/>
                  <w:gridSpan w:val="5"/>
                  <w:tcBorders>
                    <w:top w:val="single" w:color="auto" w:sz="4" w:space="0"/>
                  </w:tcBorders>
                  <w:noWrap w:val="0"/>
                  <w:vAlign w:val="center"/>
                </w:tcPr>
                <w:p>
                  <w:pPr>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检测结果</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单位：pH值为无量纲，其他未mg/L</w:t>
                  </w:r>
                  <w:r>
                    <w:rPr>
                      <w:rFonts w:hint="eastAsia" w:ascii="Times New Roman" w:hAnsi="Times New Roman" w:eastAsia="宋体" w:cs="Times New Roman"/>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vMerge w:val="continue"/>
                  <w:noWrap w:val="0"/>
                  <w:vAlign w:val="center"/>
                </w:tcPr>
                <w:p>
                  <w:pPr>
                    <w:jc w:val="center"/>
                    <w:rPr>
                      <w:rFonts w:hint="default" w:ascii="Times New Roman" w:hAnsi="Times New Roman" w:eastAsia="宋体" w:cs="Times New Roman"/>
                      <w:sz w:val="21"/>
                      <w:szCs w:val="21"/>
                    </w:rPr>
                  </w:pPr>
                </w:p>
              </w:tc>
              <w:tc>
                <w:tcPr>
                  <w:tcW w:w="645" w:type="dxa"/>
                  <w:vMerge w:val="continue"/>
                  <w:noWrap w:val="0"/>
                  <w:vAlign w:val="center"/>
                </w:tcPr>
                <w:p>
                  <w:pPr>
                    <w:jc w:val="center"/>
                    <w:rPr>
                      <w:rFonts w:hint="default" w:ascii="Times New Roman" w:hAnsi="Times New Roman" w:eastAsia="宋体" w:cs="Times New Roman"/>
                      <w:sz w:val="21"/>
                      <w:szCs w:val="21"/>
                    </w:rPr>
                  </w:pPr>
                </w:p>
              </w:tc>
              <w:tc>
                <w:tcPr>
                  <w:tcW w:w="102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第一次</w:t>
                  </w:r>
                </w:p>
              </w:tc>
              <w:tc>
                <w:tcPr>
                  <w:tcW w:w="1020"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第二次</w:t>
                  </w:r>
                </w:p>
              </w:tc>
              <w:tc>
                <w:tcPr>
                  <w:tcW w:w="1035"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第三次</w:t>
                  </w:r>
                </w:p>
              </w:tc>
              <w:tc>
                <w:tcPr>
                  <w:tcW w:w="1095"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第四次</w:t>
                  </w:r>
                </w:p>
              </w:tc>
              <w:tc>
                <w:tcPr>
                  <w:tcW w:w="983" w:type="dxa"/>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5"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2021.</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16</w:t>
                  </w:r>
                </w:p>
              </w:tc>
              <w:tc>
                <w:tcPr>
                  <w:tcW w:w="720"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废水处理设施进口</w:t>
                  </w:r>
                  <w:r>
                    <w:rPr>
                      <w:rFonts w:hint="default" w:ascii="Times New Roman" w:hAnsi="Times New Roman" w:eastAsia="宋体" w:cs="Times New Roman"/>
                      <w:sz w:val="21"/>
                      <w:szCs w:val="21"/>
                    </w:rPr>
                    <w:t>1#</w:t>
                  </w: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w:t>
                  </w:r>
                </w:p>
              </w:tc>
              <w:tc>
                <w:tcPr>
                  <w:tcW w:w="645" w:type="dxa"/>
                  <w:vMerge w:val="restar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6.4</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6.4</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6.7</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645" w:type="dxa"/>
                  <w:vMerge w:val="continue"/>
                  <w:noWrap w:val="0"/>
                  <w:vAlign w:val="center"/>
                </w:tcPr>
                <w:p>
                  <w:pPr>
                    <w:jc w:val="center"/>
                    <w:rPr>
                      <w:rFonts w:hint="default" w:ascii="Times New Roman" w:hAnsi="Times New Roman" w:eastAsia="宋体" w:cs="Times New Roman"/>
                      <w:sz w:val="21"/>
                      <w:szCs w:val="21"/>
                      <w:lang w:val="en-US" w:eastAsia="zh-CN"/>
                    </w:rPr>
                  </w:pP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28.9</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27.9</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29.7</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27.7</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645" w:type="dxa"/>
                  <w:vMerge w:val="continue"/>
                  <w:noWrap w:val="0"/>
                  <w:vAlign w:val="center"/>
                </w:tcPr>
                <w:p>
                  <w:pPr>
                    <w:jc w:val="center"/>
                    <w:rPr>
                      <w:rFonts w:hint="default" w:ascii="Times New Roman" w:hAnsi="Times New Roman" w:eastAsia="宋体" w:cs="Times New Roman"/>
                      <w:sz w:val="21"/>
                      <w:szCs w:val="21"/>
                      <w:lang w:val="en-US" w:eastAsia="zh-CN"/>
                    </w:rPr>
                  </w:pP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244</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222</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264</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250</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动植物油</w:t>
                  </w:r>
                </w:p>
              </w:tc>
              <w:tc>
                <w:tcPr>
                  <w:tcW w:w="645" w:type="dxa"/>
                  <w:vMerge w:val="continue"/>
                  <w:noWrap w:val="0"/>
                  <w:vAlign w:val="center"/>
                </w:tcPr>
                <w:p>
                  <w:pPr>
                    <w:jc w:val="center"/>
                    <w:rPr>
                      <w:rFonts w:hint="default" w:ascii="Times New Roman" w:hAnsi="Times New Roman" w:eastAsia="宋体" w:cs="Times New Roman"/>
                      <w:sz w:val="21"/>
                      <w:szCs w:val="21"/>
                      <w:lang w:val="en-US" w:eastAsia="zh-CN"/>
                    </w:rPr>
                  </w:pP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15.9</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15.7</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15.9</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645" w:type="dxa"/>
                  <w:vMerge w:val="continue"/>
                  <w:noWrap w:val="0"/>
                  <w:vAlign w:val="center"/>
                </w:tcPr>
                <w:p>
                  <w:pPr>
                    <w:jc w:val="center"/>
                    <w:rPr>
                      <w:rFonts w:hint="default" w:ascii="Times New Roman" w:hAnsi="Times New Roman" w:eastAsia="宋体" w:cs="Times New Roman"/>
                      <w:sz w:val="21"/>
                      <w:szCs w:val="21"/>
                      <w:lang w:val="en-US" w:eastAsia="zh-CN"/>
                    </w:rPr>
                  </w:pP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1.48</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lang w:val="en-US" w:eastAsia="zh-CN"/>
                    </w:rPr>
                    <w:t>3</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1.35</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lang w:val="en-US" w:eastAsia="zh-CN"/>
                    </w:rPr>
                    <w:t>3</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1.42</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lang w:val="en-US" w:eastAsia="zh-CN"/>
                    </w:rPr>
                    <w:t>3</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1.24</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lang w:val="en-US" w:eastAsia="zh-CN"/>
                    </w:rPr>
                    <w:t>3</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1.37</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五日生化需氧量</w:t>
                  </w:r>
                </w:p>
              </w:tc>
              <w:tc>
                <w:tcPr>
                  <w:tcW w:w="645" w:type="dxa"/>
                  <w:vMerge w:val="continue"/>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418</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458</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507</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456</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废水处理设施出口2</w:t>
                  </w:r>
                  <w:r>
                    <w:rPr>
                      <w:rFonts w:hint="default" w:ascii="Times New Roman" w:hAnsi="Times New Roman" w:eastAsia="宋体" w:cs="Times New Roman"/>
                      <w:sz w:val="21"/>
                      <w:szCs w:val="21"/>
                    </w:rPr>
                    <w:t>#</w:t>
                  </w: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6~9</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7.2</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45</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3.81</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3.69</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3.54</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3.50</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400</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31</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动植物油</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100</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0.16</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0.20</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0.19</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0.18</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500</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233</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213</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204</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197</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五日生化需氧量</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300</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103</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110</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113</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98.4</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2021.</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17</w:t>
                  </w:r>
                </w:p>
              </w:tc>
              <w:tc>
                <w:tcPr>
                  <w:tcW w:w="720"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废水处理设施进口</w:t>
                  </w:r>
                  <w:r>
                    <w:rPr>
                      <w:rFonts w:hint="default" w:ascii="Times New Roman" w:hAnsi="Times New Roman" w:eastAsia="宋体" w:cs="Times New Roman"/>
                      <w:sz w:val="21"/>
                      <w:szCs w:val="21"/>
                    </w:rPr>
                    <w:t>1#</w:t>
                  </w: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w:t>
                  </w:r>
                </w:p>
              </w:tc>
              <w:tc>
                <w:tcPr>
                  <w:tcW w:w="645" w:type="dxa"/>
                  <w:vMerge w:val="restart"/>
                  <w:noWrap w:val="0"/>
                  <w:vAlign w:val="center"/>
                </w:tcPr>
                <w:p>
                  <w:pPr>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6.6</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6.6</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6.7</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6.3</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645" w:type="dxa"/>
                  <w:vMerge w:val="continue"/>
                  <w:noWrap w:val="0"/>
                  <w:vAlign w:val="center"/>
                </w:tcPr>
                <w:p>
                  <w:pPr>
                    <w:jc w:val="center"/>
                    <w:rPr>
                      <w:rFonts w:hint="default" w:ascii="Times New Roman" w:hAnsi="Times New Roman" w:eastAsia="宋体" w:cs="Times New Roman"/>
                      <w:sz w:val="21"/>
                      <w:szCs w:val="21"/>
                    </w:rPr>
                  </w:pP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27.7</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28.1</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28.4</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26.6</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645" w:type="dxa"/>
                  <w:vMerge w:val="continue"/>
                  <w:noWrap w:val="0"/>
                  <w:vAlign w:val="center"/>
                </w:tcPr>
                <w:p>
                  <w:pPr>
                    <w:jc w:val="center"/>
                    <w:rPr>
                      <w:rFonts w:hint="default" w:ascii="Times New Roman" w:hAnsi="Times New Roman" w:eastAsia="宋体" w:cs="Times New Roman"/>
                      <w:sz w:val="21"/>
                      <w:szCs w:val="21"/>
                    </w:rPr>
                  </w:pP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246</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232</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246</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230</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动植物油</w:t>
                  </w:r>
                </w:p>
              </w:tc>
              <w:tc>
                <w:tcPr>
                  <w:tcW w:w="645" w:type="dxa"/>
                  <w:vMerge w:val="continue"/>
                  <w:noWrap w:val="0"/>
                  <w:vAlign w:val="center"/>
                </w:tcPr>
                <w:p>
                  <w:pPr>
                    <w:jc w:val="center"/>
                    <w:rPr>
                      <w:rFonts w:hint="default" w:ascii="Times New Roman" w:hAnsi="Times New Roman" w:eastAsia="宋体" w:cs="Times New Roman"/>
                      <w:sz w:val="21"/>
                      <w:szCs w:val="21"/>
                    </w:rPr>
                  </w:pP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15.6</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15.7</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15.2</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645" w:type="dxa"/>
                  <w:vMerge w:val="continue"/>
                  <w:noWrap w:val="0"/>
                  <w:vAlign w:val="center"/>
                </w:tcPr>
                <w:p>
                  <w:pPr>
                    <w:jc w:val="center"/>
                    <w:rPr>
                      <w:rFonts w:hint="default" w:ascii="Times New Roman" w:hAnsi="Times New Roman" w:eastAsia="宋体" w:cs="Times New Roman"/>
                      <w:sz w:val="21"/>
                      <w:szCs w:val="21"/>
                    </w:rPr>
                  </w:pP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1.47</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lang w:val="en-US" w:eastAsia="zh-CN"/>
                    </w:rPr>
                    <w:t>3</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1.33</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lang w:val="en-US" w:eastAsia="zh-CN"/>
                    </w:rPr>
                    <w:t>3</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1.45</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lang w:val="en-US" w:eastAsia="zh-CN"/>
                    </w:rPr>
                    <w:t>3</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1.32</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lang w:val="en-US" w:eastAsia="zh-CN"/>
                    </w:rPr>
                    <w:t>3</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1.39</w:t>
                  </w:r>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五日生化需氧量</w:t>
                  </w:r>
                </w:p>
              </w:tc>
              <w:tc>
                <w:tcPr>
                  <w:tcW w:w="645" w:type="dxa"/>
                  <w:vMerge w:val="continue"/>
                  <w:tcBorders>
                    <w:bottom w:val="single" w:color="auto" w:sz="4" w:space="0"/>
                  </w:tcBorders>
                  <w:noWrap w:val="0"/>
                  <w:vAlign w:val="center"/>
                </w:tcPr>
                <w:p>
                  <w:pPr>
                    <w:jc w:val="center"/>
                    <w:rPr>
                      <w:rFonts w:hint="default" w:ascii="Times New Roman" w:hAnsi="Times New Roman" w:eastAsia="宋体" w:cs="Times New Roman"/>
                      <w:sz w:val="21"/>
                      <w:szCs w:val="21"/>
                    </w:rPr>
                  </w:pP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447</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451</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453</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380</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restart"/>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废水处理设施出口2</w:t>
                  </w:r>
                  <w:r>
                    <w:rPr>
                      <w:rFonts w:hint="default" w:ascii="Times New Roman" w:hAnsi="Times New Roman" w:eastAsia="宋体" w:cs="Times New Roman"/>
                      <w:sz w:val="21"/>
                      <w:szCs w:val="21"/>
                    </w:rPr>
                    <w:t>#</w:t>
                  </w: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6~9</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7.4</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7.4</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7.3</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45</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3.67</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3.50</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3.40</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3.56</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400</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26</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动植物油</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100</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0.24</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0.28</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0.26</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0.21</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500</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222</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204</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189</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5" w:type="dxa"/>
                  <w:vMerge w:val="continue"/>
                  <w:noWrap w:val="0"/>
                  <w:vAlign w:val="center"/>
                </w:tcPr>
                <w:p>
                  <w:pPr>
                    <w:jc w:val="center"/>
                    <w:rPr>
                      <w:rFonts w:hint="default" w:ascii="Times New Roman" w:hAnsi="Times New Roman" w:eastAsia="宋体" w:cs="Times New Roman"/>
                      <w:sz w:val="21"/>
                      <w:szCs w:val="21"/>
                    </w:rPr>
                  </w:pPr>
                </w:p>
              </w:tc>
              <w:tc>
                <w:tcPr>
                  <w:tcW w:w="720" w:type="dxa"/>
                  <w:vMerge w:val="continue"/>
                  <w:noWrap w:val="0"/>
                  <w:vAlign w:val="center"/>
                </w:tcPr>
                <w:p>
                  <w:pPr>
                    <w:jc w:val="center"/>
                    <w:rPr>
                      <w:rFonts w:hint="default" w:ascii="Times New Roman" w:hAnsi="Times New Roman" w:eastAsia="宋体" w:cs="Times New Roman"/>
                      <w:sz w:val="21"/>
                      <w:szCs w:val="21"/>
                    </w:rPr>
                  </w:pPr>
                </w:p>
              </w:tc>
              <w:tc>
                <w:tcPr>
                  <w:tcW w:w="1117" w:type="dxa"/>
                  <w:tcBorders>
                    <w:bottom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五日生化需氧量</w:t>
                  </w:r>
                </w:p>
              </w:tc>
              <w:tc>
                <w:tcPr>
                  <w:tcW w:w="64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300</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113</w:t>
                  </w:r>
                </w:p>
              </w:tc>
              <w:tc>
                <w:tcPr>
                  <w:tcW w:w="1020"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98.7</w:t>
                  </w:r>
                </w:p>
              </w:tc>
              <w:tc>
                <w:tcPr>
                  <w:tcW w:w="103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102</w:t>
                  </w:r>
                </w:p>
              </w:tc>
              <w:tc>
                <w:tcPr>
                  <w:tcW w:w="1095"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118</w:t>
                  </w:r>
                </w:p>
              </w:tc>
              <w:tc>
                <w:tcPr>
                  <w:tcW w:w="983" w:type="dxa"/>
                  <w:tcBorders>
                    <w:bottom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108</w:t>
                  </w:r>
                </w:p>
              </w:tc>
            </w:tr>
          </w:tbl>
          <w:p>
            <w:pPr>
              <w:pStyle w:val="25"/>
              <w:widowControl w:val="0"/>
              <w:numPr>
                <w:ilvl w:val="0"/>
                <w:numId w:val="0"/>
              </w:numPr>
              <w:spacing w:after="60" w:line="360" w:lineRule="auto"/>
              <w:ind w:firstLine="480" w:firstLineChars="200"/>
              <w:jc w:val="both"/>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由上表7-2监测结果可知，</w:t>
            </w:r>
            <w:r>
              <w:rPr>
                <w:rFonts w:hint="eastAsia" w:ascii="Times New Roman" w:hAnsi="Times New Roman" w:eastAsia="宋体" w:cs="Times New Roman"/>
                <w:color w:val="auto"/>
                <w:sz w:val="24"/>
                <w:szCs w:val="24"/>
                <w:lang w:val="en-US" w:eastAsia="zh-CN" w:bidi="ar-SA"/>
              </w:rPr>
              <w:t>本项目废水污染物排放满足《污水综合排放标准》（GB8978-1996）表4三级标准，即：pH：6~9、COD：500mg/L、BOD5：300mg/L、SS：400mg/L、动植物油：100mg/L；以及《污水排入城镇下水道水质标准》(GB/T 31962-2015)表1标准，即：氨氮：45mg/L</w:t>
            </w:r>
          </w:p>
          <w:p>
            <w:pPr>
              <w:widowControl/>
              <w:numPr>
                <w:ilvl w:val="0"/>
                <w:numId w:val="0"/>
              </w:numPr>
              <w:spacing w:line="360" w:lineRule="auto"/>
              <w:ind w:firstLine="480"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废气</w:t>
            </w:r>
          </w:p>
          <w:p>
            <w:pPr>
              <w:pStyle w:val="37"/>
              <w:spacing w:line="240" w:lineRule="auto"/>
              <w:ind w:firstLine="480" w:firstLineChars="200"/>
              <w:jc w:val="both"/>
              <w:rPr>
                <w:rFonts w:ascii="Times New Roman" w:hAnsi="Times New Roman" w:cs="Times New Roman"/>
                <w:color w:val="auto"/>
              </w:rPr>
            </w:pPr>
            <w:r>
              <w:rPr>
                <w:rFonts w:ascii="Times New Roman" w:hAnsi="Times New Roman" w:cs="Times New Roman"/>
                <w:color w:val="auto"/>
              </w:rPr>
              <w:t>废气监测结果见下表。</w:t>
            </w:r>
          </w:p>
          <w:p>
            <w:pPr>
              <w:pStyle w:val="37"/>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3</w:t>
            </w:r>
            <w:r>
              <w:rPr>
                <w:rFonts w:ascii="Times New Roman" w:hAnsi="Times New Roman" w:cs="Times New Roman"/>
                <w:b/>
                <w:bCs/>
                <w:color w:val="auto"/>
                <w:sz w:val="21"/>
                <w:szCs w:val="21"/>
              </w:rPr>
              <w:t xml:space="preserve"> 废气监测结果</w:t>
            </w:r>
          </w:p>
          <w:tbl>
            <w:tblPr>
              <w:tblStyle w:val="26"/>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1"/>
              <w:gridCol w:w="1305"/>
              <w:gridCol w:w="1175"/>
              <w:gridCol w:w="955"/>
              <w:gridCol w:w="1174"/>
              <w:gridCol w:w="1166"/>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tcBorders>
                    <w:top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w:t>
                  </w:r>
                </w:p>
              </w:tc>
              <w:tc>
                <w:tcPr>
                  <w:tcW w:w="2480" w:type="dxa"/>
                  <w:gridSpan w:val="2"/>
                  <w:vMerge w:val="restart"/>
                  <w:tcBorders>
                    <w:top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955" w:type="dxa"/>
                  <w:vMerge w:val="restart"/>
                  <w:tcBorders>
                    <w:top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340" w:type="dxa"/>
                  <w:gridSpan w:val="2"/>
                  <w:tcBorders>
                    <w:top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检测结果</w:t>
                  </w:r>
                </w:p>
              </w:tc>
              <w:tc>
                <w:tcPr>
                  <w:tcW w:w="981" w:type="dxa"/>
                  <w:vMerge w:val="restart"/>
                  <w:tcBorders>
                    <w:top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tcBorders>
                    <w:bottom w:val="single" w:color="auto" w:sz="4" w:space="0"/>
                  </w:tcBorders>
                  <w:noWrap w:val="0"/>
                  <w:vAlign w:val="center"/>
                </w:tcPr>
                <w:p>
                  <w:pPr>
                    <w:widowControl/>
                    <w:jc w:val="left"/>
                    <w:rPr>
                      <w:rFonts w:hint="default" w:ascii="Times New Roman" w:hAnsi="Times New Roman" w:eastAsia="宋体" w:cs="Times New Roman"/>
                      <w:sz w:val="21"/>
                      <w:szCs w:val="21"/>
                    </w:rPr>
                  </w:pPr>
                </w:p>
              </w:tc>
              <w:tc>
                <w:tcPr>
                  <w:tcW w:w="2480" w:type="dxa"/>
                  <w:gridSpan w:val="2"/>
                  <w:vMerge w:val="continue"/>
                  <w:tcBorders>
                    <w:bottom w:val="single" w:color="auto" w:sz="4" w:space="0"/>
                  </w:tcBorders>
                  <w:noWrap w:val="0"/>
                  <w:vAlign w:val="center"/>
                </w:tcPr>
                <w:p>
                  <w:pPr>
                    <w:widowControl/>
                    <w:jc w:val="left"/>
                    <w:rPr>
                      <w:rFonts w:hint="default" w:ascii="Times New Roman" w:hAnsi="Times New Roman" w:eastAsia="宋体" w:cs="Times New Roman"/>
                      <w:sz w:val="21"/>
                      <w:szCs w:val="21"/>
                    </w:rPr>
                  </w:pPr>
                </w:p>
              </w:tc>
              <w:tc>
                <w:tcPr>
                  <w:tcW w:w="955" w:type="dxa"/>
                  <w:vMerge w:val="continue"/>
                  <w:tcBorders>
                    <w:bottom w:val="single" w:color="auto" w:sz="4" w:space="0"/>
                  </w:tcBorders>
                  <w:noWrap w:val="0"/>
                  <w:vAlign w:val="center"/>
                </w:tcPr>
                <w:p>
                  <w:pPr>
                    <w:widowControl/>
                    <w:jc w:val="left"/>
                    <w:rPr>
                      <w:rFonts w:hint="default" w:ascii="Times New Roman" w:hAnsi="Times New Roman" w:eastAsia="宋体" w:cs="Times New Roman"/>
                      <w:sz w:val="21"/>
                      <w:szCs w:val="21"/>
                    </w:rPr>
                  </w:pPr>
                </w:p>
              </w:tc>
              <w:tc>
                <w:tcPr>
                  <w:tcW w:w="1174" w:type="dxa"/>
                  <w:tcBorders>
                    <w:bottom w:val="single" w:color="auto" w:sz="4" w:space="0"/>
                  </w:tcBorders>
                  <w:noWrap w:val="0"/>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2021.10.16</w:t>
                  </w:r>
                </w:p>
              </w:tc>
              <w:tc>
                <w:tcPr>
                  <w:tcW w:w="1166" w:type="dxa"/>
                  <w:tcBorders>
                    <w:bottom w:val="single" w:color="auto" w:sz="4" w:space="0"/>
                  </w:tcBorders>
                  <w:noWrap w:val="0"/>
                  <w:vAlign w:val="center"/>
                </w:tcPr>
                <w:p>
                  <w:pPr>
                    <w:widowControl/>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2021.10.17</w:t>
                  </w:r>
                </w:p>
              </w:tc>
              <w:tc>
                <w:tcPr>
                  <w:tcW w:w="981" w:type="dxa"/>
                  <w:vMerge w:val="continue"/>
                  <w:tcBorders>
                    <w:bottom w:val="single" w:color="auto" w:sz="4" w:space="0"/>
                  </w:tcBorders>
                  <w:noWrap w:val="0"/>
                  <w:vAlign w:val="center"/>
                </w:tcPr>
                <w:p>
                  <w:pPr>
                    <w:widowControl/>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1#油炸</w:t>
                  </w:r>
                  <w:r>
                    <w:rPr>
                      <w:rFonts w:hint="default" w:ascii="Times New Roman" w:hAnsi="Times New Roman" w:eastAsia="宋体" w:cs="Times New Roman"/>
                      <w:sz w:val="21"/>
                      <w:szCs w:val="21"/>
                    </w:rPr>
                    <w:t>油烟净化器</w:t>
                  </w:r>
                  <w:r>
                    <w:rPr>
                      <w:rFonts w:hint="default" w:ascii="Times New Roman" w:hAnsi="Times New Roman" w:eastAsia="宋体" w:cs="Times New Roman"/>
                      <w:sz w:val="21"/>
                      <w:szCs w:val="21"/>
                      <w:lang w:val="en-US" w:eastAsia="zh-CN"/>
                    </w:rPr>
                    <w:t>进口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9.69</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1.22</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981" w:type="dxa"/>
                  <w:vMerge w:val="restart"/>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4.2</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4.0</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1#油炸</w:t>
                  </w:r>
                  <w:r>
                    <w:rPr>
                      <w:rFonts w:hint="default" w:ascii="Times New Roman" w:hAnsi="Times New Roman" w:eastAsia="宋体" w:cs="Times New Roman"/>
                      <w:sz w:val="21"/>
                      <w:szCs w:val="21"/>
                    </w:rPr>
                    <w:t>油烟净化器出口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9.69</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9.68</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1.3</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1.3</w:t>
                  </w:r>
                </w:p>
              </w:tc>
              <w:tc>
                <w:tcPr>
                  <w:tcW w:w="981" w:type="dxa"/>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2#熬煮</w:t>
                  </w:r>
                  <w:r>
                    <w:rPr>
                      <w:rFonts w:hint="default" w:ascii="Times New Roman" w:hAnsi="Times New Roman" w:eastAsia="宋体" w:cs="Times New Roman"/>
                      <w:sz w:val="21"/>
                      <w:szCs w:val="21"/>
                    </w:rPr>
                    <w:t>油烟净化器</w:t>
                  </w:r>
                  <w:r>
                    <w:rPr>
                      <w:rFonts w:hint="default" w:ascii="Times New Roman" w:hAnsi="Times New Roman" w:eastAsia="宋体" w:cs="Times New Roman"/>
                      <w:sz w:val="21"/>
                      <w:szCs w:val="21"/>
                      <w:lang w:val="en-US" w:eastAsia="zh-CN"/>
                    </w:rPr>
                    <w:t>进口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1.16</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1.14</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981" w:type="dxa"/>
                  <w:vMerge w:val="restart"/>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4.6</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4.4</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2#熬煮</w:t>
                  </w:r>
                  <w:r>
                    <w:rPr>
                      <w:rFonts w:hint="default" w:ascii="Times New Roman" w:hAnsi="Times New Roman" w:eastAsia="宋体" w:cs="Times New Roman"/>
                      <w:sz w:val="21"/>
                      <w:szCs w:val="21"/>
                    </w:rPr>
                    <w:t>油烟净化器出口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9.12</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9.75</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1.3</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1.36</w:t>
                  </w:r>
                </w:p>
              </w:tc>
              <w:tc>
                <w:tcPr>
                  <w:tcW w:w="981" w:type="dxa"/>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3#油炸</w:t>
                  </w:r>
                  <w:r>
                    <w:rPr>
                      <w:rFonts w:hint="default" w:ascii="Times New Roman" w:hAnsi="Times New Roman" w:eastAsia="宋体" w:cs="Times New Roman"/>
                      <w:sz w:val="21"/>
                      <w:szCs w:val="21"/>
                    </w:rPr>
                    <w:t>油烟净化器</w:t>
                  </w:r>
                  <w:r>
                    <w:rPr>
                      <w:rFonts w:hint="default" w:ascii="Times New Roman" w:hAnsi="Times New Roman" w:eastAsia="宋体" w:cs="Times New Roman"/>
                      <w:sz w:val="21"/>
                      <w:szCs w:val="21"/>
                      <w:lang w:val="en-US" w:eastAsia="zh-CN"/>
                    </w:rPr>
                    <w:t>进口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1.12</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1.15</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981" w:type="dxa"/>
                  <w:vMerge w:val="restart"/>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4.9</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4.4</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3#油炸</w:t>
                  </w:r>
                  <w:r>
                    <w:rPr>
                      <w:rFonts w:hint="default" w:ascii="Times New Roman" w:hAnsi="Times New Roman" w:eastAsia="宋体" w:cs="Times New Roman"/>
                      <w:sz w:val="21"/>
                      <w:szCs w:val="21"/>
                    </w:rPr>
                    <w:t>油烟净化器出口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9.08</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9.57</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1.4</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1.4</w:t>
                  </w:r>
                </w:p>
              </w:tc>
              <w:tc>
                <w:tcPr>
                  <w:tcW w:w="981" w:type="dxa"/>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4#焙炒</w:t>
                  </w:r>
                  <w:r>
                    <w:rPr>
                      <w:rFonts w:hint="default" w:ascii="Times New Roman" w:hAnsi="Times New Roman" w:eastAsia="宋体" w:cs="Times New Roman"/>
                      <w:sz w:val="21"/>
                      <w:szCs w:val="21"/>
                    </w:rPr>
                    <w:t>净化器</w:t>
                  </w:r>
                  <w:r>
                    <w:rPr>
                      <w:rFonts w:hint="default" w:ascii="Times New Roman" w:hAnsi="Times New Roman" w:eastAsia="宋体" w:cs="Times New Roman"/>
                      <w:sz w:val="21"/>
                      <w:szCs w:val="21"/>
                      <w:lang w:val="en-US" w:eastAsia="zh-CN"/>
                    </w:rPr>
                    <w:t>进口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1.00</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1.03</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981" w:type="dxa"/>
                  <w:vMerge w:val="restart"/>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4.74</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4.2</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4#焙炒</w:t>
                  </w:r>
                  <w:r>
                    <w:rPr>
                      <w:rFonts w:hint="default" w:ascii="Times New Roman" w:hAnsi="Times New Roman" w:eastAsia="宋体" w:cs="Times New Roman"/>
                      <w:sz w:val="21"/>
                      <w:szCs w:val="21"/>
                    </w:rPr>
                    <w:t>油烟净化器出口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967</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1.02</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1.6</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1.7</w:t>
                  </w:r>
                </w:p>
              </w:tc>
              <w:tc>
                <w:tcPr>
                  <w:tcW w:w="981" w:type="dxa"/>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5#冷却</w:t>
                  </w:r>
                  <w:r>
                    <w:rPr>
                      <w:rFonts w:hint="default" w:ascii="Times New Roman" w:hAnsi="Times New Roman" w:eastAsia="宋体" w:cs="Times New Roman"/>
                      <w:sz w:val="21"/>
                      <w:szCs w:val="21"/>
                    </w:rPr>
                    <w:t>净化器</w:t>
                  </w:r>
                  <w:r>
                    <w:rPr>
                      <w:rFonts w:hint="default" w:ascii="Times New Roman" w:hAnsi="Times New Roman" w:eastAsia="宋体" w:cs="Times New Roman"/>
                      <w:sz w:val="21"/>
                      <w:szCs w:val="21"/>
                      <w:lang w:val="en-US" w:eastAsia="zh-CN"/>
                    </w:rPr>
                    <w:t>进口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1.13</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1.13</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981" w:type="dxa"/>
                  <w:vMerge w:val="restart"/>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4.7</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4.7</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5#冷却</w:t>
                  </w:r>
                  <w:r>
                    <w:rPr>
                      <w:rFonts w:hint="default" w:ascii="Times New Roman" w:hAnsi="Times New Roman" w:eastAsia="宋体" w:cs="Times New Roman"/>
                      <w:sz w:val="21"/>
                      <w:szCs w:val="21"/>
                    </w:rPr>
                    <w:t>油烟净化器出口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9.37</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9.49</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1.4</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1.6</w:t>
                  </w:r>
                </w:p>
              </w:tc>
              <w:tc>
                <w:tcPr>
                  <w:tcW w:w="981" w:type="dxa"/>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6#熬煮</w:t>
                  </w:r>
                  <w:r>
                    <w:rPr>
                      <w:rFonts w:hint="default" w:ascii="Times New Roman" w:hAnsi="Times New Roman" w:eastAsia="宋体" w:cs="Times New Roman"/>
                      <w:sz w:val="21"/>
                      <w:szCs w:val="21"/>
                    </w:rPr>
                    <w:t>净化器</w:t>
                  </w:r>
                  <w:r>
                    <w:rPr>
                      <w:rFonts w:hint="default" w:ascii="Times New Roman" w:hAnsi="Times New Roman" w:eastAsia="宋体" w:cs="Times New Roman"/>
                      <w:sz w:val="21"/>
                      <w:szCs w:val="21"/>
                      <w:lang w:val="en-US" w:eastAsia="zh-CN"/>
                    </w:rPr>
                    <w:t>进口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1.09</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1.11</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981" w:type="dxa"/>
                  <w:vMerge w:val="restart"/>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4.8</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4.5</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restart"/>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6#熬煮</w:t>
                  </w:r>
                  <w:r>
                    <w:rPr>
                      <w:rFonts w:hint="default" w:ascii="Times New Roman" w:hAnsi="Times New Roman" w:eastAsia="宋体" w:cs="Times New Roman"/>
                      <w:sz w:val="21"/>
                      <w:szCs w:val="21"/>
                    </w:rPr>
                    <w:t>油烟净化器出口</w:t>
                  </w:r>
                </w:p>
              </w:tc>
              <w:tc>
                <w:tcPr>
                  <w:tcW w:w="1305" w:type="dxa"/>
                  <w:vMerge w:val="restart"/>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饮食业油烟</w:t>
                  </w: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标杆流量</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9.44</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9.24</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lang w:val="en-US" w:eastAsia="zh-CN"/>
                    </w:rPr>
                    <w:t>3</w:t>
                  </w:r>
                </w:p>
              </w:tc>
              <w:tc>
                <w:tcPr>
                  <w:tcW w:w="981" w:type="dxa"/>
                  <w:vMerge w:val="continue"/>
                  <w:noWrap w:val="0"/>
                  <w:vAlign w:val="center"/>
                </w:tcPr>
                <w:p>
                  <w:pPr>
                    <w:autoSpaceDE w:val="0"/>
                    <w:jc w:val="center"/>
                    <w:rPr>
                      <w:rFonts w:hint="default"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01" w:type="dxa"/>
                  <w:vMerge w:val="continue"/>
                  <w:noWrap w:val="0"/>
                  <w:vAlign w:val="center"/>
                </w:tcPr>
                <w:p>
                  <w:pPr>
                    <w:autoSpaceDE w:val="0"/>
                    <w:jc w:val="center"/>
                    <w:rPr>
                      <w:rFonts w:hint="default" w:ascii="Times New Roman" w:hAnsi="Times New Roman" w:eastAsia="宋体" w:cs="Times New Roman"/>
                      <w:sz w:val="21"/>
                      <w:szCs w:val="21"/>
                    </w:rPr>
                  </w:pPr>
                </w:p>
              </w:tc>
              <w:tc>
                <w:tcPr>
                  <w:tcW w:w="1305" w:type="dxa"/>
                  <w:vMerge w:val="continue"/>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p>
              </w:tc>
              <w:tc>
                <w:tcPr>
                  <w:tcW w:w="1175" w:type="dxa"/>
                  <w:noWrap w:val="0"/>
                  <w:vAlign w:val="center"/>
                </w:tcPr>
                <w:p>
                  <w:pPr>
                    <w:spacing w:line="0" w:lineRule="atLeast"/>
                    <w:ind w:left="-209" w:leftChars="-95" w:right="-224" w:rightChars="-102"/>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排放浓度</w:t>
                  </w:r>
                </w:p>
              </w:tc>
              <w:tc>
                <w:tcPr>
                  <w:tcW w:w="955" w:type="dxa"/>
                  <w:noWrap w:val="0"/>
                  <w:vAlign w:val="center"/>
                </w:tcPr>
                <w:p>
                  <w:pPr>
                    <w:spacing w:line="0" w:lineRule="atLeas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174"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1.3</w:t>
                  </w:r>
                </w:p>
              </w:tc>
              <w:tc>
                <w:tcPr>
                  <w:tcW w:w="1166" w:type="dxa"/>
                  <w:noWrap w:val="0"/>
                  <w:vAlign w:val="center"/>
                </w:tcPr>
                <w:p>
                  <w:pPr>
                    <w:autoSpaceDE w:val="0"/>
                    <w:jc w:val="center"/>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1.4</w:t>
                  </w:r>
                </w:p>
              </w:tc>
              <w:tc>
                <w:tcPr>
                  <w:tcW w:w="981" w:type="dxa"/>
                  <w:noWrap w:val="0"/>
                  <w:vAlign w:val="center"/>
                </w:tcPr>
                <w:p>
                  <w:pPr>
                    <w:autoSpaceDE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bl>
          <w:p>
            <w:pPr>
              <w:pStyle w:val="25"/>
              <w:widowControl w:val="0"/>
              <w:numPr>
                <w:ilvl w:val="0"/>
                <w:numId w:val="0"/>
              </w:numPr>
              <w:spacing w:after="60" w:line="360" w:lineRule="auto"/>
              <w:ind w:firstLine="480" w:firstLineChars="200"/>
              <w:jc w:val="both"/>
              <w:rPr>
                <w:rFonts w:hint="eastAsia" w:ascii="Times New Roman" w:hAnsi="Times New Roman" w:eastAsia="宋体" w:cs="Times New Roman"/>
                <w:color w:val="auto"/>
                <w:sz w:val="24"/>
                <w:szCs w:val="24"/>
                <w:lang w:val="en-US" w:eastAsia="zh-CN" w:bidi="ar-SA"/>
              </w:rPr>
            </w:pPr>
            <w:r>
              <w:rPr>
                <w:rFonts w:hint="default" w:ascii="Times New Roman" w:hAnsi="Times New Roman" w:eastAsia="宋体" w:cs="Times New Roman"/>
                <w:b w:val="0"/>
                <w:bCs w:val="0"/>
                <w:color w:val="auto"/>
                <w:sz w:val="24"/>
                <w:szCs w:val="24"/>
                <w:lang w:val="en-US" w:eastAsia="zh-CN"/>
              </w:rPr>
              <w:t>由上表7-</w:t>
            </w:r>
            <w:r>
              <w:rPr>
                <w:rFonts w:hint="eastAsia" w:ascii="Times New Roman" w:hAnsi="Times New Roman" w:eastAsia="宋体" w:cs="Times New Roman"/>
                <w:b w:val="0"/>
                <w:bCs w:val="0"/>
                <w:color w:val="auto"/>
                <w:sz w:val="24"/>
                <w:szCs w:val="24"/>
                <w:lang w:val="en-US" w:eastAsia="zh-CN"/>
              </w:rPr>
              <w:t>3</w:t>
            </w:r>
            <w:r>
              <w:rPr>
                <w:rFonts w:hint="default" w:ascii="Times New Roman" w:hAnsi="Times New Roman" w:eastAsia="宋体" w:cs="Times New Roman"/>
                <w:b w:val="0"/>
                <w:bCs w:val="0"/>
                <w:color w:val="auto"/>
                <w:sz w:val="24"/>
                <w:szCs w:val="24"/>
                <w:lang w:val="en-US" w:eastAsia="zh-CN"/>
              </w:rPr>
              <w:t>监测结果可知</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eastAsia="zh-CN"/>
              </w:rPr>
              <w:t>项目</w:t>
            </w:r>
            <w:r>
              <w:rPr>
                <w:rFonts w:hint="eastAsia" w:ascii="Times New Roman" w:hAnsi="Times New Roman" w:eastAsia="宋体" w:cs="Times New Roman"/>
                <w:b w:val="0"/>
                <w:bCs w:val="0"/>
                <w:color w:val="auto"/>
                <w:sz w:val="24"/>
                <w:szCs w:val="24"/>
                <w:lang w:val="en-US" w:eastAsia="zh-CN"/>
              </w:rPr>
              <w:t>油烟</w:t>
            </w:r>
            <w:r>
              <w:rPr>
                <w:rFonts w:hint="default" w:ascii="Times New Roman" w:hAnsi="Times New Roman" w:eastAsia="宋体" w:cs="Times New Roman"/>
                <w:b w:val="0"/>
                <w:bCs w:val="0"/>
                <w:color w:val="auto"/>
                <w:sz w:val="24"/>
                <w:szCs w:val="24"/>
                <w:lang w:val="en-US" w:eastAsia="zh-CN"/>
              </w:rPr>
              <w:t>废气排放满足</w:t>
            </w:r>
            <w:r>
              <w:rPr>
                <w:rFonts w:hint="default" w:ascii="Times New Roman" w:hAnsi="Times New Roman" w:eastAsia="宋体" w:cs="Times New Roman"/>
                <w:color w:val="auto"/>
                <w:sz w:val="24"/>
                <w:szCs w:val="24"/>
              </w:rPr>
              <w:t>《饮食业油烟排放标准》（试行）（GB18483-2001）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即：油烟废气≤2.0</w:t>
            </w:r>
            <w:r>
              <w:rPr>
                <w:rFonts w:hint="default" w:ascii="Times New Roman" w:hAnsi="Times New Roman" w:eastAsia="宋体" w:cs="Times New Roman"/>
                <w:color w:val="auto"/>
                <w:kern w:val="1"/>
                <w:sz w:val="24"/>
                <w:szCs w:val="24"/>
                <w:lang w:bidi="ar"/>
              </w:rPr>
              <w:t>mg/m</w:t>
            </w:r>
            <w:r>
              <w:rPr>
                <w:rFonts w:hint="default" w:ascii="Times New Roman" w:hAnsi="Times New Roman" w:eastAsia="宋体" w:cs="Times New Roman"/>
                <w:color w:val="auto"/>
                <w:kern w:val="1"/>
                <w:sz w:val="24"/>
                <w:szCs w:val="24"/>
                <w:vertAlign w:val="superscript"/>
                <w:lang w:bidi="ar"/>
              </w:rPr>
              <w:t>3</w:t>
            </w:r>
            <w:r>
              <w:rPr>
                <w:rFonts w:hint="eastAsia" w:ascii="Times New Roman" w:hAnsi="Times New Roman" w:eastAsia="宋体" w:cs="Times New Roman"/>
                <w:color w:val="auto"/>
                <w:sz w:val="24"/>
                <w:szCs w:val="24"/>
                <w:lang w:val="en-US" w:eastAsia="zh-CN" w:bidi="ar-SA"/>
              </w:rPr>
              <w:t>。</w:t>
            </w:r>
          </w:p>
          <w:p>
            <w:pPr>
              <w:pStyle w:val="37"/>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Times New Roman"/>
                <w:b/>
                <w:bCs/>
                <w:color w:val="auto"/>
                <w:sz w:val="21"/>
                <w:szCs w:val="21"/>
              </w:rPr>
            </w:pPr>
          </w:p>
          <w:p>
            <w:pPr>
              <w:pStyle w:val="37"/>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4</w:t>
            </w:r>
            <w:r>
              <w:rPr>
                <w:rFonts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无组织</w:t>
            </w:r>
            <w:r>
              <w:rPr>
                <w:rFonts w:ascii="Times New Roman" w:hAnsi="Times New Roman" w:cs="Times New Roman"/>
                <w:b/>
                <w:bCs/>
                <w:color w:val="auto"/>
                <w:sz w:val="21"/>
                <w:szCs w:val="21"/>
              </w:rPr>
              <w:t>废气监测结果</w:t>
            </w:r>
          </w:p>
          <w:tbl>
            <w:tblPr>
              <w:tblStyle w:val="27"/>
              <w:tblW w:w="4980" w:type="pct"/>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586"/>
              <w:gridCol w:w="1357"/>
              <w:gridCol w:w="1210"/>
              <w:gridCol w:w="1257"/>
              <w:gridCol w:w="1169"/>
              <w:gridCol w:w="963"/>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restart"/>
                  <w:tcBorders>
                    <w:tl2br w:val="nil"/>
                    <w:tr2bl w:val="nil"/>
                  </w:tcBorders>
                  <w:vAlign w:val="center"/>
                </w:tcPr>
                <w:p>
                  <w:pPr>
                    <w:pStyle w:val="37"/>
                    <w:jc w:val="center"/>
                    <w:rPr>
                      <w:rFonts w:ascii="Times New Roman" w:hAnsi="Times New Roman" w:cs="Times New Roman"/>
                      <w:color w:val="auto"/>
                      <w:sz w:val="21"/>
                      <w:szCs w:val="21"/>
                    </w:rPr>
                  </w:pPr>
                  <w:r>
                    <w:rPr>
                      <w:rFonts w:ascii="Times New Roman" w:hAnsi="Times New Roman" w:cs="Times New Roman"/>
                      <w:color w:val="auto"/>
                      <w:sz w:val="21"/>
                      <w:szCs w:val="21"/>
                    </w:rPr>
                    <w:t>监测</w:t>
                  </w:r>
                </w:p>
                <w:p>
                  <w:pPr>
                    <w:pStyle w:val="37"/>
                    <w:jc w:val="center"/>
                    <w:rPr>
                      <w:rFonts w:ascii="Times New Roman" w:hAnsi="Times New Roman" w:cs="Times New Roman"/>
                      <w:color w:val="auto"/>
                      <w:sz w:val="21"/>
                      <w:szCs w:val="21"/>
                    </w:rPr>
                  </w:pPr>
                  <w:r>
                    <w:rPr>
                      <w:rFonts w:ascii="Times New Roman" w:hAnsi="Times New Roman" w:cs="Times New Roman"/>
                      <w:color w:val="auto"/>
                      <w:sz w:val="21"/>
                      <w:szCs w:val="21"/>
                    </w:rPr>
                    <w:t>时间</w:t>
                  </w:r>
                </w:p>
              </w:tc>
              <w:tc>
                <w:tcPr>
                  <w:tcW w:w="960" w:type="pct"/>
                  <w:vMerge w:val="restart"/>
                  <w:tcBorders>
                    <w:tl2br w:val="nil"/>
                    <w:tr2bl w:val="nil"/>
                  </w:tcBorders>
                  <w:vAlign w:val="center"/>
                </w:tcPr>
                <w:p>
                  <w:pPr>
                    <w:pStyle w:val="37"/>
                    <w:jc w:val="center"/>
                    <w:rPr>
                      <w:rFonts w:ascii="Times New Roman" w:hAnsi="Times New Roman" w:cs="Times New Roman"/>
                      <w:color w:val="auto"/>
                      <w:sz w:val="21"/>
                      <w:szCs w:val="21"/>
                    </w:rPr>
                  </w:pPr>
                  <w:r>
                    <w:rPr>
                      <w:rFonts w:ascii="Times New Roman" w:hAnsi="Times New Roman" w:cs="Times New Roman"/>
                      <w:color w:val="auto"/>
                      <w:sz w:val="21"/>
                      <w:szCs w:val="21"/>
                    </w:rPr>
                    <w:t>监测点位</w:t>
                  </w:r>
                </w:p>
              </w:tc>
              <w:tc>
                <w:tcPr>
                  <w:tcW w:w="821" w:type="pct"/>
                  <w:vMerge w:val="restart"/>
                  <w:tcBorders>
                    <w:tl2br w:val="nil"/>
                    <w:tr2bl w:val="nil"/>
                  </w:tcBorders>
                  <w:vAlign w:val="center"/>
                </w:tcPr>
                <w:p>
                  <w:pPr>
                    <w:pStyle w:val="37"/>
                    <w:jc w:val="center"/>
                    <w:rPr>
                      <w:rFonts w:ascii="Times New Roman" w:hAnsi="Times New Roman" w:cs="Times New Roman"/>
                      <w:color w:val="auto"/>
                      <w:sz w:val="21"/>
                      <w:szCs w:val="21"/>
                    </w:rPr>
                  </w:pPr>
                  <w:r>
                    <w:rPr>
                      <w:rFonts w:ascii="Times New Roman" w:hAnsi="Times New Roman" w:cs="Times New Roman"/>
                      <w:color w:val="auto"/>
                      <w:sz w:val="21"/>
                      <w:szCs w:val="21"/>
                    </w:rPr>
                    <w:t>分析</w:t>
                  </w:r>
                </w:p>
                <w:p>
                  <w:pPr>
                    <w:pStyle w:val="37"/>
                    <w:jc w:val="center"/>
                    <w:rPr>
                      <w:rFonts w:ascii="Times New Roman" w:hAnsi="Times New Roman" w:cs="Times New Roman"/>
                      <w:color w:val="auto"/>
                      <w:sz w:val="21"/>
                      <w:szCs w:val="21"/>
                    </w:rPr>
                  </w:pPr>
                  <w:r>
                    <w:rPr>
                      <w:rFonts w:ascii="Times New Roman" w:hAnsi="Times New Roman" w:cs="Times New Roman"/>
                      <w:color w:val="auto"/>
                      <w:sz w:val="21"/>
                      <w:szCs w:val="21"/>
                    </w:rPr>
                    <w:t>项目</w:t>
                  </w:r>
                </w:p>
              </w:tc>
              <w:tc>
                <w:tcPr>
                  <w:tcW w:w="2784" w:type="pct"/>
                  <w:gridSpan w:val="4"/>
                  <w:tcBorders>
                    <w:tl2br w:val="nil"/>
                    <w:tr2bl w:val="nil"/>
                  </w:tcBorders>
                  <w:vAlign w:val="center"/>
                </w:tcPr>
                <w:p>
                  <w:pPr>
                    <w:pStyle w:val="37"/>
                    <w:jc w:val="center"/>
                    <w:rPr>
                      <w:rFonts w:ascii="Times New Roman" w:hAnsi="Times New Roman" w:cs="Times New Roman"/>
                      <w:color w:val="auto"/>
                      <w:sz w:val="21"/>
                      <w:szCs w:val="21"/>
                    </w:rPr>
                  </w:pPr>
                  <w:r>
                    <w:rPr>
                      <w:rFonts w:ascii="Times New Roman" w:hAnsi="Times New Roman" w:cs="Times New Roman"/>
                      <w:color w:val="auto"/>
                      <w:sz w:val="21"/>
                      <w:szCs w:val="21"/>
                    </w:rPr>
                    <w:t>监测结果</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7"/>
                    <w:jc w:val="center"/>
                    <w:rPr>
                      <w:rFonts w:ascii="Times New Roman" w:hAnsi="Times New Roman" w:cs="Times New Roman"/>
                      <w:color w:val="auto"/>
                      <w:sz w:val="21"/>
                      <w:szCs w:val="21"/>
                    </w:rPr>
                  </w:pPr>
                </w:p>
              </w:tc>
              <w:tc>
                <w:tcPr>
                  <w:tcW w:w="960" w:type="pct"/>
                  <w:vMerge w:val="continue"/>
                  <w:tcBorders>
                    <w:tl2br w:val="nil"/>
                    <w:tr2bl w:val="nil"/>
                  </w:tcBorders>
                  <w:vAlign w:val="center"/>
                </w:tcPr>
                <w:p>
                  <w:pPr>
                    <w:pStyle w:val="37"/>
                    <w:jc w:val="center"/>
                    <w:rPr>
                      <w:rFonts w:ascii="Times New Roman" w:hAnsi="Times New Roman" w:cs="Times New Roman"/>
                      <w:color w:val="auto"/>
                      <w:sz w:val="21"/>
                      <w:szCs w:val="21"/>
                    </w:rPr>
                  </w:pPr>
                </w:p>
              </w:tc>
              <w:tc>
                <w:tcPr>
                  <w:tcW w:w="821" w:type="pct"/>
                  <w:vMerge w:val="continue"/>
                  <w:tcBorders>
                    <w:tl2br w:val="nil"/>
                    <w:tr2bl w:val="nil"/>
                  </w:tcBorders>
                  <w:vAlign w:val="center"/>
                </w:tcPr>
                <w:p>
                  <w:pPr>
                    <w:pStyle w:val="37"/>
                    <w:jc w:val="center"/>
                    <w:rPr>
                      <w:rFonts w:ascii="Times New Roman" w:hAnsi="Times New Roman" w:cs="Times New Roman"/>
                      <w:color w:val="auto"/>
                      <w:sz w:val="21"/>
                      <w:szCs w:val="21"/>
                    </w:rPr>
                  </w:pPr>
                </w:p>
              </w:tc>
              <w:tc>
                <w:tcPr>
                  <w:tcW w:w="732" w:type="pct"/>
                  <w:tcBorders>
                    <w:tl2br w:val="nil"/>
                    <w:tr2bl w:val="nil"/>
                  </w:tcBorders>
                  <w:vAlign w:val="center"/>
                </w:tcPr>
                <w:p>
                  <w:pPr>
                    <w:pStyle w:val="37"/>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760" w:type="pct"/>
                  <w:tcBorders>
                    <w:tl2br w:val="nil"/>
                    <w:tr2bl w:val="nil"/>
                  </w:tcBorders>
                  <w:vAlign w:val="center"/>
                </w:tcPr>
                <w:p>
                  <w:pPr>
                    <w:pStyle w:val="37"/>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707" w:type="pct"/>
                  <w:tcBorders>
                    <w:tl2br w:val="nil"/>
                    <w:tr2bl w:val="nil"/>
                  </w:tcBorders>
                  <w:vAlign w:val="center"/>
                </w:tcPr>
                <w:p>
                  <w:pPr>
                    <w:pStyle w:val="37"/>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583" w:type="pct"/>
                  <w:tcBorders>
                    <w:tl2br w:val="nil"/>
                    <w:tr2bl w:val="nil"/>
                  </w:tcBorders>
                  <w:vAlign w:val="center"/>
                </w:tcPr>
                <w:p>
                  <w:pPr>
                    <w:pStyle w:val="37"/>
                    <w:jc w:val="center"/>
                    <w:rPr>
                      <w:rFonts w:ascii="Times New Roman" w:hAnsi="Times New Roman" w:cs="Times New Roman"/>
                      <w:color w:val="auto"/>
                      <w:sz w:val="21"/>
                      <w:szCs w:val="21"/>
                    </w:rPr>
                  </w:pPr>
                  <w:r>
                    <w:rPr>
                      <w:rFonts w:ascii="Times New Roman" w:hAnsi="Times New Roman" w:cs="Times New Roman"/>
                      <w:b w:val="0"/>
                      <w:bCs w:val="0"/>
                      <w:color w:val="auto"/>
                      <w:sz w:val="21"/>
                      <w:szCs w:val="21"/>
                    </w:rPr>
                    <w:t>最大值</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restart"/>
                  <w:tcBorders>
                    <w:tl2br w:val="nil"/>
                    <w:tr2bl w:val="nil"/>
                  </w:tcBorders>
                  <w:vAlign w:val="center"/>
                </w:tcPr>
                <w:p>
                  <w:pPr>
                    <w:widowControl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2021.10.16</w:t>
                  </w: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auto"/>
                      <w:sz w:val="22"/>
                      <w:szCs w:val="22"/>
                      <w:lang w:val="en-US" w:eastAsia="zh-CN" w:bidi="ar-SA"/>
                    </w:rPr>
                  </w:pPr>
                  <w:r>
                    <w:rPr>
                      <w:rFonts w:hint="default" w:ascii="Times New Roman" w:hAnsi="Times New Roman" w:eastAsia="宋体" w:cs="Times New Roman"/>
                      <w:b w:val="0"/>
                      <w:bCs w:val="0"/>
                      <w:color w:val="auto"/>
                      <w:lang w:val="en-US" w:eastAsia="zh-CN"/>
                    </w:rPr>
                    <w:t>厂界上风向1#</w:t>
                  </w:r>
                </w:p>
              </w:tc>
              <w:tc>
                <w:tcPr>
                  <w:tcW w:w="821" w:type="pct"/>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臭气浓度（无量纲）</w:t>
                  </w:r>
                </w:p>
              </w:tc>
              <w:tc>
                <w:tcPr>
                  <w:tcW w:w="732"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&lt;10</w:t>
                  </w:r>
                </w:p>
              </w:tc>
              <w:tc>
                <w:tcPr>
                  <w:tcW w:w="760"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&lt;10</w:t>
                  </w:r>
                </w:p>
              </w:tc>
              <w:tc>
                <w:tcPr>
                  <w:tcW w:w="707"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&lt;10</w:t>
                  </w:r>
                </w:p>
              </w:tc>
              <w:tc>
                <w:tcPr>
                  <w:tcW w:w="583" w:type="pct"/>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continue"/>
                  <w:tcBorders>
                    <w:tl2br w:val="nil"/>
                    <w:tr2bl w:val="nil"/>
                  </w:tcBorders>
                  <w:vAlign w:val="center"/>
                </w:tcPr>
                <w:p>
                  <w:pPr>
                    <w:pStyle w:val="37"/>
                    <w:jc w:val="center"/>
                    <w:rPr>
                      <w:rFonts w:ascii="Times New Roman" w:hAnsi="Times New Roman" w:cs="Times New Roman"/>
                      <w:color w:val="auto"/>
                      <w:sz w:val="21"/>
                      <w:szCs w:val="21"/>
                    </w:rPr>
                  </w:pP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auto"/>
                      <w:sz w:val="22"/>
                      <w:szCs w:val="22"/>
                      <w:lang w:val="en-US" w:eastAsia="zh-CN" w:bidi="ar-SA"/>
                    </w:rPr>
                  </w:pPr>
                  <w:r>
                    <w:rPr>
                      <w:rFonts w:hint="default" w:ascii="Times New Roman" w:hAnsi="Times New Roman" w:eastAsia="宋体" w:cs="Times New Roman"/>
                      <w:b w:val="0"/>
                      <w:bCs w:val="0"/>
                      <w:color w:val="auto"/>
                      <w:lang w:val="en-US" w:eastAsia="zh-CN"/>
                    </w:rPr>
                    <w:t>厂界下风向2#</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p>
              </w:tc>
              <w:tc>
                <w:tcPr>
                  <w:tcW w:w="732"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w:t>
                  </w:r>
                </w:p>
              </w:tc>
              <w:tc>
                <w:tcPr>
                  <w:tcW w:w="760"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w:t>
                  </w:r>
                </w:p>
              </w:tc>
              <w:tc>
                <w:tcPr>
                  <w:tcW w:w="707"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w:t>
                  </w:r>
                </w:p>
              </w:tc>
              <w:tc>
                <w:tcPr>
                  <w:tcW w:w="583" w:type="pct"/>
                  <w:vMerge w:val="continue"/>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7"/>
                    <w:jc w:val="center"/>
                    <w:rPr>
                      <w:rFonts w:ascii="Times New Roman" w:hAnsi="Times New Roman" w:cs="Times New Roman"/>
                      <w:color w:val="auto"/>
                      <w:sz w:val="21"/>
                      <w:szCs w:val="21"/>
                    </w:rPr>
                  </w:pP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auto"/>
                      <w:sz w:val="22"/>
                      <w:szCs w:val="22"/>
                      <w:lang w:val="en-US" w:eastAsia="zh-CN" w:bidi="ar-SA"/>
                    </w:rPr>
                  </w:pPr>
                  <w:r>
                    <w:rPr>
                      <w:rFonts w:hint="default" w:ascii="Times New Roman" w:hAnsi="Times New Roman" w:eastAsia="宋体" w:cs="Times New Roman"/>
                      <w:b w:val="0"/>
                      <w:bCs w:val="0"/>
                      <w:color w:val="auto"/>
                      <w:lang w:val="en-US" w:eastAsia="zh-CN"/>
                    </w:rPr>
                    <w:t>厂界下风向3#</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p>
              </w:tc>
              <w:tc>
                <w:tcPr>
                  <w:tcW w:w="732"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15</w:t>
                  </w:r>
                </w:p>
              </w:tc>
              <w:tc>
                <w:tcPr>
                  <w:tcW w:w="760"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14</w:t>
                  </w:r>
                </w:p>
              </w:tc>
              <w:tc>
                <w:tcPr>
                  <w:tcW w:w="707"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15</w:t>
                  </w:r>
                </w:p>
              </w:tc>
              <w:tc>
                <w:tcPr>
                  <w:tcW w:w="583" w:type="pct"/>
                  <w:vMerge w:val="continue"/>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7"/>
                    <w:jc w:val="center"/>
                    <w:rPr>
                      <w:rFonts w:ascii="Times New Roman" w:hAnsi="Times New Roman" w:cs="Times New Roman"/>
                      <w:color w:val="auto"/>
                      <w:sz w:val="21"/>
                      <w:szCs w:val="21"/>
                    </w:rPr>
                  </w:pPr>
                </w:p>
              </w:tc>
              <w:tc>
                <w:tcPr>
                  <w:tcW w:w="960" w:type="pct"/>
                  <w:tcBorders>
                    <w:tl2br w:val="nil"/>
                    <w:tr2bl w:val="nil"/>
                  </w:tcBorders>
                  <w:vAlign w:val="center"/>
                </w:tcPr>
                <w:p>
                  <w:pPr>
                    <w:widowControl w:val="0"/>
                    <w:spacing w:before="60" w:beforeLines="25" w:after="60" w:afterLines="25" w:line="240" w:lineRule="exact"/>
                    <w:jc w:val="center"/>
                    <w:rPr>
                      <w:rFonts w:hint="default" w:ascii="Times New Roman" w:hAnsi="Times New Roman" w:eastAsia="宋体" w:cs="Times New Roman"/>
                      <w:b w:val="0"/>
                      <w:bCs w:val="0"/>
                      <w:color w:val="auto"/>
                      <w:sz w:val="22"/>
                      <w:szCs w:val="22"/>
                      <w:lang w:val="en-US" w:eastAsia="zh-CN" w:bidi="ar-SA"/>
                    </w:rPr>
                  </w:pPr>
                  <w:r>
                    <w:rPr>
                      <w:rFonts w:hint="default" w:ascii="Times New Roman" w:hAnsi="Times New Roman" w:eastAsia="宋体" w:cs="Times New Roman"/>
                      <w:b w:val="0"/>
                      <w:bCs w:val="0"/>
                      <w:color w:val="auto"/>
                      <w:lang w:val="en-US" w:eastAsia="zh-CN"/>
                    </w:rPr>
                    <w:t>厂界下风向4#</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p>
              </w:tc>
              <w:tc>
                <w:tcPr>
                  <w:tcW w:w="732"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13</w:t>
                  </w:r>
                </w:p>
              </w:tc>
              <w:tc>
                <w:tcPr>
                  <w:tcW w:w="760"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w:t>
                  </w:r>
                </w:p>
              </w:tc>
              <w:tc>
                <w:tcPr>
                  <w:tcW w:w="707"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w:t>
                  </w:r>
                </w:p>
              </w:tc>
              <w:tc>
                <w:tcPr>
                  <w:tcW w:w="583" w:type="pct"/>
                  <w:vMerge w:val="continue"/>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restart"/>
                  <w:tcBorders>
                    <w:tl2br w:val="nil"/>
                    <w:tr2bl w:val="nil"/>
                  </w:tcBorders>
                  <w:vAlign w:val="center"/>
                </w:tcPr>
                <w:p>
                  <w:pPr>
                    <w:widowControl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2021.10.17</w:t>
                  </w: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lang w:val="en-US" w:eastAsia="zh-CN"/>
                    </w:rPr>
                    <w:t>厂界上风向1#</w:t>
                  </w:r>
                </w:p>
              </w:tc>
              <w:tc>
                <w:tcPr>
                  <w:tcW w:w="821" w:type="pct"/>
                  <w:vMerge w:val="restart"/>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臭气浓度（无量纲）</w:t>
                  </w:r>
                </w:p>
              </w:tc>
              <w:tc>
                <w:tcPr>
                  <w:tcW w:w="732"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&lt;10</w:t>
                  </w:r>
                </w:p>
              </w:tc>
              <w:tc>
                <w:tcPr>
                  <w:tcW w:w="760"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&lt;10</w:t>
                  </w:r>
                </w:p>
              </w:tc>
              <w:tc>
                <w:tcPr>
                  <w:tcW w:w="707"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ascii="Times New Roman" w:hAnsi="Times New Roman" w:eastAsia="宋体" w:cs="Times New Roman"/>
                      <w:color w:val="auto"/>
                      <w:sz w:val="21"/>
                      <w:szCs w:val="21"/>
                      <w:lang w:val="en-US" w:eastAsia="zh-CN" w:bidi="ar-SA"/>
                    </w:rPr>
                    <w:t>&lt;10</w:t>
                  </w:r>
                </w:p>
              </w:tc>
              <w:tc>
                <w:tcPr>
                  <w:tcW w:w="583" w:type="pct"/>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15</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7"/>
                    <w:jc w:val="center"/>
                    <w:rPr>
                      <w:rFonts w:ascii="Times New Roman" w:hAnsi="Times New Roman" w:cs="Times New Roman"/>
                      <w:color w:val="0000FF"/>
                      <w:sz w:val="21"/>
                      <w:szCs w:val="21"/>
                    </w:rPr>
                  </w:pP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lang w:val="en-US" w:eastAsia="zh-CN"/>
                    </w:rPr>
                    <w:t>厂界下风向2#</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p>
              </w:tc>
              <w:tc>
                <w:tcPr>
                  <w:tcW w:w="732"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w:t>
                  </w:r>
                </w:p>
              </w:tc>
              <w:tc>
                <w:tcPr>
                  <w:tcW w:w="760"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w:t>
                  </w:r>
                </w:p>
              </w:tc>
              <w:tc>
                <w:tcPr>
                  <w:tcW w:w="707"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w:t>
                  </w:r>
                </w:p>
              </w:tc>
              <w:tc>
                <w:tcPr>
                  <w:tcW w:w="583"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4" w:type="pct"/>
                  <w:vMerge w:val="continue"/>
                  <w:tcBorders>
                    <w:tl2br w:val="nil"/>
                    <w:tr2bl w:val="nil"/>
                  </w:tcBorders>
                  <w:vAlign w:val="center"/>
                </w:tcPr>
                <w:p>
                  <w:pPr>
                    <w:pStyle w:val="37"/>
                    <w:jc w:val="center"/>
                    <w:rPr>
                      <w:rFonts w:ascii="Times New Roman" w:hAnsi="Times New Roman" w:cs="Times New Roman"/>
                      <w:color w:val="0000FF"/>
                      <w:sz w:val="21"/>
                      <w:szCs w:val="21"/>
                    </w:rPr>
                  </w:pP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lang w:val="en-US" w:eastAsia="zh-CN"/>
                    </w:rPr>
                    <w:t>厂界下风向3#</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p>
              </w:tc>
              <w:tc>
                <w:tcPr>
                  <w:tcW w:w="732"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14</w:t>
                  </w:r>
                </w:p>
              </w:tc>
              <w:tc>
                <w:tcPr>
                  <w:tcW w:w="760"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14</w:t>
                  </w:r>
                </w:p>
              </w:tc>
              <w:tc>
                <w:tcPr>
                  <w:tcW w:w="707"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15</w:t>
                  </w:r>
                </w:p>
              </w:tc>
              <w:tc>
                <w:tcPr>
                  <w:tcW w:w="583"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lang w:val="en-US" w:eastAsia="zh-CN" w:bidi="ar-SA"/>
                    </w:rPr>
                  </w:pP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34" w:type="pct"/>
                  <w:vMerge w:val="continue"/>
                  <w:tcBorders>
                    <w:tl2br w:val="nil"/>
                    <w:tr2bl w:val="nil"/>
                  </w:tcBorders>
                  <w:vAlign w:val="center"/>
                </w:tcPr>
                <w:p>
                  <w:pPr>
                    <w:pStyle w:val="37"/>
                    <w:jc w:val="center"/>
                    <w:rPr>
                      <w:rFonts w:ascii="Times New Roman" w:hAnsi="Times New Roman" w:cs="Times New Roman"/>
                      <w:color w:val="0000FF"/>
                      <w:sz w:val="21"/>
                      <w:szCs w:val="21"/>
                    </w:rPr>
                  </w:pPr>
                </w:p>
              </w:tc>
              <w:tc>
                <w:tcPr>
                  <w:tcW w:w="960" w:type="pct"/>
                  <w:tcBorders>
                    <w:tl2br w:val="nil"/>
                    <w:tr2bl w:val="nil"/>
                  </w:tcBorders>
                  <w:vAlign w:val="center"/>
                </w:tcPr>
                <w:p>
                  <w:pPr>
                    <w:widowControl w:val="0"/>
                    <w:spacing w:before="60" w:beforeLines="25" w:after="60" w:afterLines="25" w:line="240" w:lineRule="exact"/>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b w:val="0"/>
                      <w:bCs w:val="0"/>
                      <w:color w:val="auto"/>
                      <w:lang w:val="en-US" w:eastAsia="zh-CN"/>
                    </w:rPr>
                    <w:t>厂界下风向4#</w:t>
                  </w:r>
                </w:p>
              </w:tc>
              <w:tc>
                <w:tcPr>
                  <w:tcW w:w="821" w:type="pct"/>
                  <w:vMerge w:val="continue"/>
                  <w:tcBorders>
                    <w:tl2br w:val="nil"/>
                    <w:tr2bl w:val="nil"/>
                  </w:tcBorders>
                  <w:vAlign w:val="center"/>
                </w:tcPr>
                <w:p>
                  <w:pPr>
                    <w:widowControl w:val="0"/>
                    <w:jc w:val="center"/>
                    <w:rPr>
                      <w:rFonts w:hint="default" w:ascii="Times New Roman" w:hAnsi="Times New Roman" w:eastAsia="宋体" w:cs="Times New Roman"/>
                      <w:color w:val="auto"/>
                      <w:sz w:val="21"/>
                      <w:szCs w:val="21"/>
                      <w:lang w:val="en-US" w:eastAsia="zh-CN" w:bidi="ar-SA"/>
                    </w:rPr>
                  </w:pPr>
                </w:p>
              </w:tc>
              <w:tc>
                <w:tcPr>
                  <w:tcW w:w="732"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w:t>
                  </w:r>
                </w:p>
              </w:tc>
              <w:tc>
                <w:tcPr>
                  <w:tcW w:w="760"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11</w:t>
                  </w:r>
                </w:p>
              </w:tc>
              <w:tc>
                <w:tcPr>
                  <w:tcW w:w="707" w:type="pct"/>
                  <w:tcBorders>
                    <w:tl2br w:val="nil"/>
                    <w:tr2bl w:val="nil"/>
                  </w:tcBorders>
                  <w:vAlign w:val="center"/>
                </w:tcPr>
                <w:p>
                  <w:pPr>
                    <w:widowControl w:val="0"/>
                    <w:autoSpaceDE w:val="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12</w:t>
                  </w:r>
                </w:p>
              </w:tc>
              <w:tc>
                <w:tcPr>
                  <w:tcW w:w="583" w:type="pct"/>
                  <w:vMerge w:val="continue"/>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0000FF"/>
                      <w:kern w:val="2"/>
                      <w:sz w:val="21"/>
                      <w:szCs w:val="21"/>
                      <w:lang w:val="en-US" w:eastAsia="zh-CN" w:bidi="ar-SA"/>
                    </w:rPr>
                  </w:pPr>
                </w:p>
              </w:tc>
            </w:tr>
          </w:tbl>
          <w:p>
            <w:pPr>
              <w:pStyle w:val="25"/>
              <w:widowControl w:val="0"/>
              <w:numPr>
                <w:ilvl w:val="0"/>
                <w:numId w:val="0"/>
              </w:numPr>
              <w:spacing w:after="60" w:line="360" w:lineRule="auto"/>
              <w:ind w:firstLine="480" w:firstLineChars="200"/>
              <w:jc w:val="both"/>
              <w:rPr>
                <w:rFonts w:hint="default" w:ascii="Times New Roman" w:hAnsi="Times New Roman"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由上表7-</w:t>
            </w: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监测结果可知</w:t>
            </w:r>
            <w:r>
              <w:rPr>
                <w:rFonts w:hint="default" w:ascii="Times New Roman" w:hAnsi="Times New Roman" w:eastAsia="宋体" w:cs="Times New Roman"/>
                <w:b w:val="0"/>
                <w:bCs w:val="0"/>
                <w:color w:val="auto"/>
                <w:sz w:val="24"/>
                <w:szCs w:val="24"/>
                <w:lang w:eastAsia="zh-CN"/>
              </w:rPr>
              <w:t>，</w:t>
            </w:r>
            <w:r>
              <w:rPr>
                <w:rFonts w:hint="default" w:ascii="Times New Roman" w:hAnsi="Times New Roman"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eastAsia="zh-CN"/>
              </w:rPr>
              <w:t>项目</w:t>
            </w:r>
            <w:r>
              <w:rPr>
                <w:rFonts w:hint="eastAsia" w:ascii="Times New Roman" w:hAnsi="Times New Roman" w:eastAsia="宋体" w:cs="Times New Roman"/>
                <w:b w:val="0"/>
                <w:bCs w:val="0"/>
                <w:color w:val="auto"/>
                <w:sz w:val="24"/>
                <w:szCs w:val="24"/>
                <w:lang w:val="en-US" w:eastAsia="zh-CN"/>
              </w:rPr>
              <w:t>厂界</w:t>
            </w:r>
            <w:r>
              <w:rPr>
                <w:rFonts w:hint="default" w:ascii="Times New Roman" w:hAnsi="Times New Roman" w:eastAsia="宋体" w:cs="Times New Roman"/>
                <w:b w:val="0"/>
                <w:bCs w:val="0"/>
                <w:color w:val="auto"/>
                <w:sz w:val="24"/>
                <w:szCs w:val="24"/>
                <w:lang w:val="en-US" w:eastAsia="zh-CN"/>
              </w:rPr>
              <w:t>无组织废气</w:t>
            </w:r>
            <w:r>
              <w:rPr>
                <w:rFonts w:hint="eastAsia" w:ascii="Times New Roman" w:hAnsi="Times New Roman" w:eastAsia="宋体" w:cs="Times New Roman"/>
                <w:b w:val="0"/>
                <w:bCs w:val="0"/>
                <w:color w:val="auto"/>
                <w:sz w:val="24"/>
                <w:szCs w:val="24"/>
                <w:lang w:val="en-US" w:eastAsia="zh-CN"/>
              </w:rPr>
              <w:t>排放满足《恶臭污染物排放标准》（GB14554-93）</w:t>
            </w:r>
            <w:r>
              <w:rPr>
                <w:rFonts w:hint="default" w:ascii="Times New Roman" w:hAnsi="Times New Roman" w:eastAsia="宋体" w:cs="Times New Roman"/>
                <w:b w:val="0"/>
                <w:bCs w:val="0"/>
                <w:color w:val="auto"/>
                <w:sz w:val="24"/>
                <w:szCs w:val="24"/>
                <w:lang w:val="en-US" w:eastAsia="zh-CN"/>
              </w:rPr>
              <w:t>，即：</w:t>
            </w:r>
            <w:r>
              <w:rPr>
                <w:rFonts w:hint="eastAsia" w:ascii="Times New Roman" w:hAnsi="Times New Roman" w:eastAsia="宋体" w:cs="Times New Roman"/>
                <w:b w:val="0"/>
                <w:bCs w:val="0"/>
                <w:color w:val="auto"/>
                <w:sz w:val="24"/>
                <w:szCs w:val="24"/>
                <w:lang w:val="en-US" w:eastAsia="zh-CN"/>
              </w:rPr>
              <w:t>臭气浓度</w:t>
            </w:r>
            <w:r>
              <w:rPr>
                <w:rFonts w:hint="default" w:ascii="Times New Roman" w:hAnsi="Times New Roman" w:eastAsia="宋体" w:cs="Times New Roman"/>
                <w:b w:val="0"/>
                <w:bCs w:val="0"/>
                <w:color w:val="auto"/>
                <w:sz w:val="24"/>
                <w:szCs w:val="24"/>
                <w:lang w:val="en-US" w:eastAsia="zh-CN"/>
              </w:rPr>
              <w:t>≤20</w:t>
            </w:r>
            <w:r>
              <w:rPr>
                <w:rFonts w:hint="eastAsia" w:ascii="Times New Roman" w:hAnsi="Times New Roman" w:eastAsia="宋体" w:cs="Times New Roman"/>
                <w:b w:val="0"/>
                <w:bCs w:val="0"/>
                <w:color w:val="auto"/>
                <w:sz w:val="24"/>
                <w:szCs w:val="24"/>
                <w:lang w:val="en-US" w:eastAsia="zh-CN"/>
              </w:rPr>
              <w:t>无量纲。</w:t>
            </w:r>
          </w:p>
          <w:p>
            <w:pPr>
              <w:pStyle w:val="37"/>
              <w:numPr>
                <w:ilvl w:val="0"/>
                <w:numId w:val="0"/>
              </w:numPr>
              <w:ind w:left="440" w:leftChars="0"/>
              <w:jc w:val="both"/>
              <w:rPr>
                <w:rFonts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w:t>
            </w:r>
            <w:r>
              <w:rPr>
                <w:rFonts w:ascii="Times New Roman" w:hAnsi="Times New Roman" w:cs="Times New Roman"/>
                <w:color w:val="auto"/>
              </w:rPr>
              <w:t>噪声</w:t>
            </w:r>
          </w:p>
          <w:p>
            <w:pPr>
              <w:pStyle w:val="37"/>
              <w:ind w:firstLine="480" w:firstLineChars="200"/>
              <w:jc w:val="both"/>
              <w:rPr>
                <w:rFonts w:ascii="Times New Roman" w:hAnsi="Times New Roman" w:cs="Times New Roman"/>
                <w:color w:val="auto"/>
              </w:rPr>
            </w:pPr>
            <w:r>
              <w:rPr>
                <w:rFonts w:ascii="Times New Roman" w:hAnsi="Times New Roman" w:cs="Times New Roman"/>
                <w:color w:val="auto"/>
              </w:rPr>
              <w:t>厂界噪声监测结果见下表。</w:t>
            </w:r>
          </w:p>
          <w:p>
            <w:pPr>
              <w:pStyle w:val="37"/>
              <w:ind w:firstLine="422" w:firstLineChars="200"/>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表7-</w:t>
            </w:r>
            <w:r>
              <w:rPr>
                <w:rFonts w:hint="eastAsia" w:ascii="Times New Roman" w:hAnsi="Times New Roman" w:cs="Times New Roman"/>
                <w:b/>
                <w:bCs/>
                <w:color w:val="auto"/>
                <w:sz w:val="21"/>
                <w:szCs w:val="21"/>
                <w:lang w:val="en-US" w:eastAsia="zh-CN"/>
              </w:rPr>
              <w:t>5</w:t>
            </w:r>
            <w:r>
              <w:rPr>
                <w:rFonts w:ascii="Times New Roman" w:hAnsi="Times New Roman" w:cs="Times New Roman"/>
                <w:b/>
                <w:bCs/>
                <w:color w:val="auto"/>
                <w:sz w:val="21"/>
                <w:szCs w:val="21"/>
              </w:rPr>
              <w:t xml:space="preserve"> 噪声监测结果</w:t>
            </w:r>
          </w:p>
          <w:tbl>
            <w:tblPr>
              <w:tblStyle w:val="26"/>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2350"/>
              <w:gridCol w:w="2104"/>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restart"/>
                  <w:tcBorders>
                    <w:top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采样日期</w:t>
                  </w:r>
                </w:p>
              </w:tc>
              <w:tc>
                <w:tcPr>
                  <w:tcW w:w="2350" w:type="dxa"/>
                  <w:vMerge w:val="restart"/>
                  <w:tcBorders>
                    <w:top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监测点位名称</w:t>
                  </w:r>
                </w:p>
              </w:tc>
              <w:tc>
                <w:tcPr>
                  <w:tcW w:w="4656" w:type="dxa"/>
                  <w:gridSpan w:val="2"/>
                  <w:tcBorders>
                    <w:top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检测结果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continue"/>
                  <w:noWrap w:val="0"/>
                  <w:vAlign w:val="center"/>
                </w:tcPr>
                <w:p>
                  <w:pPr>
                    <w:widowControl/>
                    <w:jc w:val="left"/>
                    <w:rPr>
                      <w:rFonts w:hint="default" w:ascii="Times New Roman" w:hAnsi="Times New Roman" w:eastAsia="宋体" w:cs="Times New Roman"/>
                      <w:sz w:val="21"/>
                      <w:szCs w:val="21"/>
                    </w:rPr>
                  </w:pPr>
                </w:p>
              </w:tc>
              <w:tc>
                <w:tcPr>
                  <w:tcW w:w="2350" w:type="dxa"/>
                  <w:vMerge w:val="continue"/>
                  <w:noWrap w:val="0"/>
                  <w:vAlign w:val="center"/>
                </w:tcPr>
                <w:p>
                  <w:pPr>
                    <w:widowControl/>
                    <w:jc w:val="left"/>
                    <w:rPr>
                      <w:rFonts w:hint="default" w:ascii="Times New Roman" w:hAnsi="Times New Roman" w:eastAsia="宋体" w:cs="Times New Roman"/>
                      <w:sz w:val="21"/>
                      <w:szCs w:val="21"/>
                    </w:rPr>
                  </w:pPr>
                </w:p>
              </w:tc>
              <w:tc>
                <w:tcPr>
                  <w:tcW w:w="2104" w:type="dxa"/>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w:t>
                  </w:r>
                </w:p>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Leq dB(A)</w:t>
                  </w:r>
                </w:p>
              </w:tc>
              <w:tc>
                <w:tcPr>
                  <w:tcW w:w="2552" w:type="dxa"/>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夜间</w:t>
                  </w:r>
                </w:p>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Leq 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restart"/>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2021.</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16</w:t>
                  </w:r>
                </w:p>
              </w:tc>
              <w:tc>
                <w:tcPr>
                  <w:tcW w:w="2350" w:type="dxa"/>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厂界东侧外1米处1#</w:t>
                  </w:r>
                </w:p>
              </w:tc>
              <w:tc>
                <w:tcPr>
                  <w:tcW w:w="2104" w:type="dxa"/>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w:t>
                  </w:r>
                </w:p>
              </w:tc>
              <w:tc>
                <w:tcPr>
                  <w:tcW w:w="2552" w:type="dxa"/>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continue"/>
                  <w:noWrap w:val="0"/>
                  <w:vAlign w:val="center"/>
                </w:tcPr>
                <w:p>
                  <w:pPr>
                    <w:autoSpaceDE w:val="0"/>
                    <w:jc w:val="center"/>
                    <w:rPr>
                      <w:rFonts w:hint="default" w:ascii="Times New Roman" w:hAnsi="Times New Roman" w:eastAsia="宋体" w:cs="Times New Roman"/>
                      <w:sz w:val="21"/>
                      <w:szCs w:val="21"/>
                    </w:rPr>
                  </w:pPr>
                </w:p>
              </w:tc>
              <w:tc>
                <w:tcPr>
                  <w:tcW w:w="2350" w:type="dxa"/>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厂界南侧外1米处2#</w:t>
                  </w:r>
                </w:p>
              </w:tc>
              <w:tc>
                <w:tcPr>
                  <w:tcW w:w="2104" w:type="dxa"/>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w:t>
                  </w:r>
                </w:p>
              </w:tc>
              <w:tc>
                <w:tcPr>
                  <w:tcW w:w="2552" w:type="dxa"/>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continue"/>
                  <w:noWrap w:val="0"/>
                  <w:vAlign w:val="center"/>
                </w:tcPr>
                <w:p>
                  <w:pPr>
                    <w:autoSpaceDE w:val="0"/>
                    <w:jc w:val="center"/>
                    <w:rPr>
                      <w:rFonts w:hint="default" w:ascii="Times New Roman" w:hAnsi="Times New Roman" w:eastAsia="宋体" w:cs="Times New Roman"/>
                      <w:sz w:val="21"/>
                      <w:szCs w:val="21"/>
                    </w:rPr>
                  </w:pPr>
                </w:p>
              </w:tc>
              <w:tc>
                <w:tcPr>
                  <w:tcW w:w="2350"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厂界西侧外1米处3#</w:t>
                  </w:r>
                </w:p>
              </w:tc>
              <w:tc>
                <w:tcPr>
                  <w:tcW w:w="2104"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w:t>
                  </w:r>
                </w:p>
              </w:tc>
              <w:tc>
                <w:tcPr>
                  <w:tcW w:w="2552"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continue"/>
                  <w:noWrap w:val="0"/>
                  <w:vAlign w:val="center"/>
                </w:tcPr>
                <w:p>
                  <w:pPr>
                    <w:autoSpaceDE w:val="0"/>
                    <w:jc w:val="center"/>
                    <w:rPr>
                      <w:rFonts w:hint="default" w:ascii="Times New Roman" w:hAnsi="Times New Roman" w:eastAsia="宋体" w:cs="Times New Roman"/>
                      <w:sz w:val="21"/>
                      <w:szCs w:val="21"/>
                    </w:rPr>
                  </w:pPr>
                </w:p>
              </w:tc>
              <w:tc>
                <w:tcPr>
                  <w:tcW w:w="2350"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厂界北侧外1米处4#</w:t>
                  </w:r>
                </w:p>
              </w:tc>
              <w:tc>
                <w:tcPr>
                  <w:tcW w:w="2104"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w:t>
                  </w:r>
                </w:p>
              </w:tc>
              <w:tc>
                <w:tcPr>
                  <w:tcW w:w="2552"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restart"/>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2021.</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17</w:t>
                  </w:r>
                </w:p>
              </w:tc>
              <w:tc>
                <w:tcPr>
                  <w:tcW w:w="2350"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厂界东侧外1米处1#</w:t>
                  </w:r>
                </w:p>
              </w:tc>
              <w:tc>
                <w:tcPr>
                  <w:tcW w:w="2104"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w:t>
                  </w:r>
                </w:p>
              </w:tc>
              <w:tc>
                <w:tcPr>
                  <w:tcW w:w="2552"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continue"/>
                  <w:noWrap w:val="0"/>
                  <w:vAlign w:val="center"/>
                </w:tcPr>
                <w:p>
                  <w:pPr>
                    <w:autoSpaceDE w:val="0"/>
                    <w:jc w:val="center"/>
                    <w:rPr>
                      <w:rFonts w:hint="default" w:ascii="Times New Roman" w:hAnsi="Times New Roman" w:eastAsia="宋体" w:cs="Times New Roman"/>
                      <w:sz w:val="21"/>
                      <w:szCs w:val="21"/>
                    </w:rPr>
                  </w:pPr>
                </w:p>
              </w:tc>
              <w:tc>
                <w:tcPr>
                  <w:tcW w:w="2350"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厂界南侧外1米处2#</w:t>
                  </w:r>
                </w:p>
              </w:tc>
              <w:tc>
                <w:tcPr>
                  <w:tcW w:w="2104"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58</w:t>
                  </w:r>
                </w:p>
              </w:tc>
              <w:tc>
                <w:tcPr>
                  <w:tcW w:w="2552"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continue"/>
                  <w:noWrap w:val="0"/>
                  <w:vAlign w:val="center"/>
                </w:tcPr>
                <w:p>
                  <w:pPr>
                    <w:autoSpaceDE w:val="0"/>
                    <w:jc w:val="center"/>
                    <w:rPr>
                      <w:rFonts w:hint="default" w:ascii="Times New Roman" w:hAnsi="Times New Roman" w:eastAsia="宋体" w:cs="Times New Roman"/>
                      <w:sz w:val="21"/>
                      <w:szCs w:val="21"/>
                    </w:rPr>
                  </w:pPr>
                </w:p>
              </w:tc>
              <w:tc>
                <w:tcPr>
                  <w:tcW w:w="2350"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厂界西侧外1米处3#</w:t>
                  </w:r>
                </w:p>
              </w:tc>
              <w:tc>
                <w:tcPr>
                  <w:tcW w:w="2104"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57</w:t>
                  </w:r>
                </w:p>
              </w:tc>
              <w:tc>
                <w:tcPr>
                  <w:tcW w:w="2552"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0" w:type="dxa"/>
                  <w:vMerge w:val="continue"/>
                  <w:tcBorders>
                    <w:bottom w:val="single" w:color="auto" w:sz="4" w:space="0"/>
                  </w:tcBorders>
                  <w:noWrap w:val="0"/>
                  <w:vAlign w:val="center"/>
                </w:tcPr>
                <w:p>
                  <w:pPr>
                    <w:autoSpaceDE w:val="0"/>
                    <w:jc w:val="center"/>
                    <w:rPr>
                      <w:rFonts w:hint="default" w:ascii="Times New Roman" w:hAnsi="Times New Roman" w:eastAsia="宋体" w:cs="Times New Roman"/>
                      <w:sz w:val="21"/>
                      <w:szCs w:val="21"/>
                    </w:rPr>
                  </w:pPr>
                </w:p>
              </w:tc>
              <w:tc>
                <w:tcPr>
                  <w:tcW w:w="2350"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厂界北侧外1米处4#</w:t>
                  </w:r>
                </w:p>
              </w:tc>
              <w:tc>
                <w:tcPr>
                  <w:tcW w:w="2104"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59</w:t>
                  </w:r>
                </w:p>
              </w:tc>
              <w:tc>
                <w:tcPr>
                  <w:tcW w:w="2552" w:type="dxa"/>
                  <w:tcBorders>
                    <w:bottom w:val="single" w:color="auto" w:sz="4" w:space="0"/>
                  </w:tcBorders>
                  <w:noWrap w:val="0"/>
                  <w:vAlign w:val="center"/>
                </w:tcPr>
                <w:p>
                  <w:pPr>
                    <w:autoSpaceDE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00" w:type="dxa"/>
                  <w:tcBorders>
                    <w:top w:val="single" w:color="auto" w:sz="4" w:space="0"/>
                    <w:left w:val="single" w:color="auto" w:sz="4" w:space="0"/>
                    <w:bottom w:val="single" w:color="auto" w:sz="4" w:space="0"/>
                    <w:right w:val="single" w:color="auto" w:sz="4" w:space="0"/>
                  </w:tcBorders>
                  <w:noWrap w:val="0"/>
                  <w:vAlign w:val="top"/>
                </w:tcPr>
                <w:p>
                  <w:pPr>
                    <w:autoSpaceDE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备注：</w:t>
                  </w:r>
                </w:p>
              </w:tc>
              <w:tc>
                <w:tcPr>
                  <w:tcW w:w="7006"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5"/>
                    </w:numPr>
                    <w:autoSpaceDE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2021.</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16</w:t>
                  </w:r>
                  <w:r>
                    <w:rPr>
                      <w:rFonts w:hint="default" w:ascii="Times New Roman" w:hAnsi="Times New Roman" w:eastAsia="宋体" w:cs="Times New Roman"/>
                      <w:sz w:val="21"/>
                      <w:szCs w:val="21"/>
                    </w:rPr>
                    <w:t>天气：晴；风速：</w:t>
                  </w:r>
                  <w:r>
                    <w:rPr>
                      <w:rFonts w:hint="default" w:ascii="Times New Roman" w:hAnsi="Times New Roman" w:eastAsia="宋体" w:cs="Times New Roman"/>
                      <w:sz w:val="21"/>
                      <w:szCs w:val="21"/>
                      <w:lang w:val="en-US" w:eastAsia="zh-CN"/>
                    </w:rPr>
                    <w:t>2.3</w:t>
                  </w:r>
                  <w:r>
                    <w:rPr>
                      <w:rFonts w:hint="default" w:ascii="Times New Roman" w:hAnsi="Times New Roman" w:eastAsia="宋体" w:cs="Times New Roman"/>
                      <w:sz w:val="21"/>
                      <w:szCs w:val="21"/>
                    </w:rPr>
                    <w:t>m/s；</w:t>
                  </w:r>
                </w:p>
                <w:p>
                  <w:pPr>
                    <w:numPr>
                      <w:ilvl w:val="0"/>
                      <w:numId w:val="5"/>
                    </w:numPr>
                    <w:autoSpaceDE w:val="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2021.</w:t>
                  </w:r>
                  <w:r>
                    <w:rPr>
                      <w:rFonts w:hint="default" w:ascii="Times New Roman" w:hAnsi="Times New Roman" w:eastAsia="宋体" w:cs="Times New Roman"/>
                      <w:sz w:val="21"/>
                      <w:szCs w:val="21"/>
                      <w:lang w:val="en-US" w:eastAsia="zh-CN"/>
                    </w:rPr>
                    <w:t>10</w:t>
                  </w:r>
                  <w:r>
                    <w:rPr>
                      <w:rFonts w:hint="default" w:ascii="Times New Roman" w:hAnsi="Times New Roman" w:eastAsia="宋体" w:cs="Times New Roman"/>
                      <w:sz w:val="21"/>
                      <w:szCs w:val="21"/>
                    </w:rPr>
                    <w:t>.</w:t>
                  </w:r>
                  <w:r>
                    <w:rPr>
                      <w:rFonts w:hint="default" w:ascii="Times New Roman" w:hAnsi="Times New Roman" w:eastAsia="宋体" w:cs="Times New Roman"/>
                      <w:sz w:val="21"/>
                      <w:szCs w:val="21"/>
                      <w:lang w:val="en-US" w:eastAsia="zh-CN"/>
                    </w:rPr>
                    <w:t>17</w:t>
                  </w:r>
                  <w:r>
                    <w:rPr>
                      <w:rFonts w:hint="default" w:ascii="Times New Roman" w:hAnsi="Times New Roman" w:eastAsia="宋体" w:cs="Times New Roman"/>
                      <w:sz w:val="21"/>
                      <w:szCs w:val="21"/>
                    </w:rPr>
                    <w:t>8天气：晴；风速：1.</w:t>
                  </w:r>
                  <w:r>
                    <w:rPr>
                      <w:rFonts w:hint="default" w:ascii="Times New Roman" w:hAnsi="Times New Roman" w:eastAsia="宋体" w:cs="Times New Roman"/>
                      <w:sz w:val="21"/>
                      <w:szCs w:val="21"/>
                      <w:lang w:val="en-US" w:eastAsia="zh-CN"/>
                    </w:rPr>
                    <w:t>9</w:t>
                  </w:r>
                  <w:r>
                    <w:rPr>
                      <w:rFonts w:hint="default" w:ascii="Times New Roman" w:hAnsi="Times New Roman" w:eastAsia="宋体" w:cs="Times New Roman"/>
                      <w:sz w:val="21"/>
                      <w:szCs w:val="21"/>
                    </w:rPr>
                    <w:t>m/s。</w:t>
                  </w:r>
                </w:p>
              </w:tc>
            </w:tr>
          </w:tbl>
          <w:p>
            <w:pPr>
              <w:pStyle w:val="37"/>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由7-</w:t>
            </w:r>
            <w:r>
              <w:rPr>
                <w:rFonts w:hint="eastAsia" w:ascii="Times New Roman" w:hAnsi="Times New Roman" w:cs="Times New Roman"/>
                <w:color w:val="auto"/>
                <w:lang w:val="en-US" w:eastAsia="zh-CN"/>
              </w:rPr>
              <w:t>5</w:t>
            </w:r>
            <w:r>
              <w:rPr>
                <w:rFonts w:ascii="Times New Roman" w:hAnsi="Times New Roman" w:cs="Times New Roman"/>
                <w:color w:val="auto"/>
              </w:rPr>
              <w:t>噪声监测结果可知，本项目噪声排放符合</w:t>
            </w:r>
            <w:r>
              <w:rPr>
                <w:rFonts w:hint="eastAsia" w:ascii="Times New Roman" w:hAnsi="Times New Roman" w:cs="Times New Roman"/>
                <w:color w:val="auto"/>
              </w:rPr>
              <w:t>《工业企业厂界环境噪声排放标准》（GB12348-2008</w:t>
            </w:r>
            <w:r>
              <w:rPr>
                <w:rFonts w:hint="eastAsia" w:ascii="Times New Roman" w:hAnsi="Times New Roman" w:cs="Times New Roman"/>
                <w:color w:val="auto"/>
                <w:lang w:eastAsia="zh-CN"/>
              </w:rPr>
              <w:t>）</w:t>
            </w:r>
            <w:r>
              <w:rPr>
                <w:rFonts w:hint="eastAsia" w:ascii="Times New Roman" w:hAnsi="Times New Roman" w:cs="Times New Roman"/>
                <w:color w:val="auto"/>
              </w:rPr>
              <w:t>中的</w:t>
            </w:r>
            <w:r>
              <w:rPr>
                <w:rFonts w:hint="eastAsia" w:ascii="Times New Roman" w:hAnsi="Times New Roman" w:cs="Times New Roman"/>
                <w:color w:val="auto"/>
                <w:lang w:val="en-US" w:eastAsia="zh-CN"/>
              </w:rPr>
              <w:t>3</w:t>
            </w:r>
            <w:r>
              <w:rPr>
                <w:rFonts w:hint="eastAsia" w:ascii="Times New Roman" w:hAnsi="Times New Roman" w:cs="Times New Roman"/>
                <w:color w:val="auto"/>
              </w:rPr>
              <w:t>类</w:t>
            </w:r>
            <w:r>
              <w:rPr>
                <w:rFonts w:hint="eastAsia" w:ascii="Times New Roman" w:hAnsi="Times New Roman" w:eastAsia="宋体" w:cs="Times New Roman"/>
                <w:color w:val="auto"/>
              </w:rPr>
              <w:t>标准，即：</w:t>
            </w:r>
            <w:r>
              <w:rPr>
                <w:rFonts w:hint="eastAsia" w:ascii="Times New Roman" w:hAnsi="Times New Roman" w:eastAsia="宋体" w:cs="Times New Roman"/>
                <w:color w:val="auto"/>
                <w:lang w:val="en-US" w:eastAsia="zh-CN"/>
              </w:rPr>
              <w:t>3类昼间：65dB（A），夜间55dB（A）</w:t>
            </w:r>
            <w:r>
              <w:rPr>
                <w:rFonts w:ascii="Times New Roman" w:hAnsi="Times New Roman" w:eastAsia="宋体" w:cs="Times New Roman"/>
                <w:color w:val="auto"/>
              </w:rPr>
              <w:t>。</w:t>
            </w:r>
          </w:p>
          <w:p>
            <w:pPr>
              <w:pStyle w:val="37"/>
              <w:numPr>
                <w:ilvl w:val="0"/>
                <w:numId w:val="0"/>
              </w:numPr>
              <w:spacing w:line="360" w:lineRule="auto"/>
              <w:ind w:firstLine="480" w:firstLineChars="200"/>
              <w:jc w:val="both"/>
              <w:rPr>
                <w:rFonts w:hint="default"/>
                <w:color w:val="0000FF"/>
                <w:lang w:val="en-US" w:eastAsia="zh-CN"/>
              </w:rPr>
            </w:pPr>
          </w:p>
        </w:tc>
      </w:tr>
    </w:tbl>
    <w:p>
      <w:pPr>
        <w:pStyle w:val="4"/>
        <w:rPr>
          <w:rFonts w:ascii="Times New Roman" w:hAnsi="Times New Roman" w:eastAsia="宋体"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60" w:charSpace="0"/>
        </w:sectPr>
      </w:pPr>
    </w:p>
    <w:p>
      <w:pPr>
        <w:spacing w:line="360" w:lineRule="auto"/>
        <w:outlineLvl w:val="0"/>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表八</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6" w:hRule="atLeast"/>
        </w:trPr>
        <w:tc>
          <w:tcPr>
            <w:tcW w:w="8522" w:type="dxa"/>
          </w:tcPr>
          <w:p>
            <w:pPr>
              <w:widowControl w:val="0"/>
              <w:spacing w:line="360" w:lineRule="auto"/>
              <w:jc w:val="both"/>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验收监测结论：</w:t>
            </w:r>
          </w:p>
          <w:p>
            <w:pPr>
              <w:pStyle w:val="37"/>
              <w:spacing w:line="360" w:lineRule="auto"/>
              <w:ind w:firstLine="482" w:firstLineChars="200"/>
              <w:jc w:val="both"/>
              <w:rPr>
                <w:rFonts w:ascii="Times New Roman" w:hAnsi="Times New Roman" w:cs="Times New Roman"/>
                <w:b/>
                <w:bCs/>
                <w:color w:val="auto"/>
              </w:rPr>
            </w:pPr>
            <w:r>
              <w:rPr>
                <w:rFonts w:ascii="Times New Roman" w:hAnsi="Times New Roman" w:cs="Times New Roman"/>
                <w:b/>
                <w:bCs/>
                <w:color w:val="auto"/>
              </w:rPr>
              <w:t>本次验收针对</w:t>
            </w:r>
            <w:r>
              <w:rPr>
                <w:rFonts w:hint="eastAsia" w:ascii="Times New Roman" w:hAnsi="Times New Roman" w:cs="Times New Roman"/>
                <w:b/>
                <w:bCs/>
                <w:color w:val="auto"/>
                <w:lang w:val="en-US" w:eastAsia="zh-CN"/>
              </w:rPr>
              <w:t>福建省皇牌食品有限公司调味料、塑料制品生产项目</w:t>
            </w:r>
            <w:r>
              <w:rPr>
                <w:rFonts w:ascii="Times New Roman" w:hAnsi="Times New Roman" w:cs="Times New Roman"/>
                <w:b/>
                <w:bCs/>
                <w:color w:val="auto"/>
              </w:rPr>
              <w:t>进行验收。验收期间本项目的性质、规模、地点、生产工艺等均未发生重大改变。故本次验收结论如下：</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bookmarkStart w:id="7" w:name="_Toc9522"/>
            <w:r>
              <w:rPr>
                <w:rFonts w:hint="default" w:ascii="Times New Roman" w:hAnsi="Times New Roman" w:eastAsia="宋体" w:cs="Times New Roman"/>
                <w:bCs/>
                <w:color w:val="auto"/>
                <w:sz w:val="24"/>
                <w:szCs w:val="24"/>
                <w:lang w:val="en-US" w:eastAsia="zh-CN"/>
              </w:rPr>
              <w:t>（1） 废水</w:t>
            </w:r>
          </w:p>
          <w:p>
            <w:pPr>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0" w:leftChars="0" w:right="0" w:rightChars="0" w:firstLine="480" w:firstLineChars="200"/>
              <w:jc w:val="both"/>
              <w:textAlignment w:val="auto"/>
              <w:outlineLvl w:val="9"/>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环保竣工</w:t>
            </w:r>
            <w:r>
              <w:rPr>
                <w:rFonts w:hint="default" w:ascii="Times New Roman" w:hAnsi="Times New Roman" w:eastAsia="宋体" w:cs="Times New Roman"/>
                <w:bCs/>
                <w:color w:val="auto"/>
                <w:sz w:val="24"/>
                <w:szCs w:val="24"/>
                <w:lang w:val="en-US" w:eastAsia="zh-CN"/>
              </w:rPr>
              <w:t>验收监测期间，</w:t>
            </w:r>
            <w:r>
              <w:rPr>
                <w:rFonts w:hint="eastAsia" w:ascii="Times New Roman" w:hAnsi="Times New Roman" w:eastAsia="宋体" w:cs="Times New Roman"/>
                <w:color w:val="auto"/>
                <w:sz w:val="24"/>
                <w:szCs w:val="24"/>
                <w:lang w:val="en-US" w:eastAsia="zh-CN" w:bidi="ar-SA"/>
              </w:rPr>
              <w:t>本项目废水污染物排放满足《污水综合排放标准》（GB8978-1996）表4标准，即：pH：6~9、COD：500mg/L、BOD5：300mg/L、SS：400mg/L、氨氮：400mg/L、动植物油：100mg/L；以及《污水排入城镇下水道水质标准》(GB/T 31962-2015)表1标准，即：氨氮：45mg/L</w:t>
            </w:r>
            <w:r>
              <w:rPr>
                <w:rFonts w:hint="eastAsia" w:ascii="Times New Roman" w:hAnsi="Times New Roman" w:eastAsia="宋体" w:cs="Times New Roman"/>
                <w:bCs/>
                <w:color w:val="auto"/>
                <w:sz w:val="24"/>
                <w:szCs w:val="24"/>
                <w:lang w:val="en-US" w:eastAsia="zh-CN"/>
              </w:rPr>
              <w:t>。</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（2）废气</w:t>
            </w:r>
          </w:p>
          <w:p>
            <w:pPr>
              <w:pStyle w:val="2"/>
              <w:widowControl w:val="0"/>
              <w:spacing w:line="360" w:lineRule="auto"/>
              <w:ind w:firstLine="448" w:firstLineChars="200"/>
              <w:jc w:val="both"/>
              <w:rPr>
                <w:rFonts w:hint="default" w:ascii="Times New Roman" w:hAnsi="Times New Roman" w:cs="Times New Roman"/>
                <w:color w:val="auto"/>
                <w:spacing w:val="0"/>
                <w:sz w:val="24"/>
                <w:lang w:val="en-US" w:eastAsia="zh-CN"/>
              </w:rPr>
            </w:pPr>
            <w:r>
              <w:rPr>
                <w:rFonts w:hint="default" w:ascii="Times New Roman" w:hAnsi="Times New Roman" w:eastAsia="宋体" w:cs="Times New Roman"/>
                <w:bCs/>
                <w:color w:val="auto"/>
                <w:sz w:val="24"/>
                <w:szCs w:val="24"/>
              </w:rPr>
              <w:t>环保竣工验收</w:t>
            </w:r>
            <w:r>
              <w:rPr>
                <w:rFonts w:hint="default" w:ascii="Times New Roman" w:hAnsi="Times New Roman" w:eastAsia="宋体" w:cs="Times New Roman"/>
                <w:bCs/>
                <w:color w:val="auto"/>
                <w:sz w:val="24"/>
                <w:szCs w:val="24"/>
                <w:lang w:val="en-US" w:eastAsia="zh-CN"/>
              </w:rPr>
              <w:t>监测期间，</w:t>
            </w:r>
            <w:r>
              <w:rPr>
                <w:rFonts w:hint="default" w:ascii="Times New Roman" w:hAnsi="Times New Roman"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eastAsia="zh-CN"/>
              </w:rPr>
              <w:t>项目项目</w:t>
            </w:r>
            <w:r>
              <w:rPr>
                <w:rFonts w:hint="eastAsia" w:ascii="Times New Roman" w:hAnsi="Times New Roman" w:eastAsia="宋体" w:cs="Times New Roman"/>
                <w:b w:val="0"/>
                <w:bCs w:val="0"/>
                <w:color w:val="auto"/>
                <w:sz w:val="24"/>
                <w:szCs w:val="24"/>
                <w:lang w:val="en-US" w:eastAsia="zh-CN"/>
              </w:rPr>
              <w:t>油烟</w:t>
            </w:r>
            <w:r>
              <w:rPr>
                <w:rFonts w:hint="default" w:ascii="Times New Roman" w:hAnsi="Times New Roman" w:eastAsia="宋体" w:cs="Times New Roman"/>
                <w:b w:val="0"/>
                <w:bCs w:val="0"/>
                <w:color w:val="auto"/>
                <w:sz w:val="24"/>
                <w:szCs w:val="24"/>
                <w:lang w:val="en-US" w:eastAsia="zh-CN"/>
              </w:rPr>
              <w:t>废气排放满足</w:t>
            </w:r>
            <w:r>
              <w:rPr>
                <w:rFonts w:hint="default" w:ascii="Times New Roman" w:hAnsi="Times New Roman" w:eastAsia="宋体" w:cs="Times New Roman"/>
                <w:color w:val="auto"/>
                <w:sz w:val="24"/>
                <w:szCs w:val="24"/>
              </w:rPr>
              <w:t>《饮食业油烟排放标准》（试行）（GB18483-2001）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即：油烟废气≤2.0</w:t>
            </w:r>
            <w:r>
              <w:rPr>
                <w:rFonts w:hint="default" w:ascii="Times New Roman" w:hAnsi="Times New Roman" w:eastAsia="宋体" w:cs="Times New Roman"/>
                <w:color w:val="auto"/>
                <w:kern w:val="1"/>
                <w:sz w:val="24"/>
                <w:szCs w:val="24"/>
                <w:lang w:bidi="ar"/>
              </w:rPr>
              <w:t>mg/m</w:t>
            </w:r>
            <w:r>
              <w:rPr>
                <w:rFonts w:hint="default" w:ascii="Times New Roman" w:hAnsi="Times New Roman" w:eastAsia="宋体" w:cs="Times New Roman"/>
                <w:color w:val="auto"/>
                <w:kern w:val="1"/>
                <w:sz w:val="24"/>
                <w:szCs w:val="24"/>
                <w:vertAlign w:val="superscript"/>
                <w:lang w:bidi="ar"/>
              </w:rPr>
              <w:t>3</w:t>
            </w:r>
            <w:r>
              <w:rPr>
                <w:rFonts w:hint="default" w:ascii="Times New Roman" w:hAnsi="Times New Roman" w:eastAsia="宋体" w:cs="Times New Roman"/>
                <w:color w:val="auto"/>
                <w:spacing w:val="0"/>
                <w:sz w:val="24"/>
                <w:szCs w:val="24"/>
                <w:lang w:val="en-US" w:eastAsia="zh-CN" w:bidi="ar-SA"/>
              </w:rPr>
              <w:t>。</w:t>
            </w:r>
            <w:r>
              <w:rPr>
                <w:rFonts w:hint="eastAsia" w:ascii="Times New Roman" w:hAnsi="Times New Roman" w:eastAsia="宋体" w:cs="Times New Roman"/>
                <w:color w:val="auto"/>
                <w:spacing w:val="0"/>
                <w:sz w:val="24"/>
                <w:szCs w:val="24"/>
                <w:lang w:val="en-US" w:eastAsia="zh-CN" w:bidi="ar-SA"/>
              </w:rPr>
              <w:t>无组织废气排放满足</w:t>
            </w:r>
            <w:r>
              <w:rPr>
                <w:rFonts w:hint="eastAsia" w:ascii="Times New Roman" w:hAnsi="Times New Roman" w:eastAsia="宋体" w:cs="Times New Roman"/>
                <w:b w:val="0"/>
                <w:bCs w:val="0"/>
                <w:color w:val="auto"/>
                <w:sz w:val="24"/>
                <w:szCs w:val="24"/>
                <w:lang w:val="en-US" w:eastAsia="zh-CN"/>
              </w:rPr>
              <w:t>《恶臭污染物排放标准》（GB14554-93）</w:t>
            </w:r>
            <w:r>
              <w:rPr>
                <w:rFonts w:hint="default" w:ascii="Times New Roman" w:hAnsi="Times New Roman" w:eastAsia="宋体" w:cs="Times New Roman"/>
                <w:b w:val="0"/>
                <w:bCs w:val="0"/>
                <w:color w:val="auto"/>
                <w:sz w:val="24"/>
                <w:szCs w:val="24"/>
                <w:lang w:val="en-US" w:eastAsia="zh-CN"/>
              </w:rPr>
              <w:t>，即：</w:t>
            </w:r>
            <w:r>
              <w:rPr>
                <w:rFonts w:hint="eastAsia" w:ascii="Times New Roman" w:hAnsi="Times New Roman" w:eastAsia="宋体" w:cs="Times New Roman"/>
                <w:b w:val="0"/>
                <w:bCs w:val="0"/>
                <w:color w:val="auto"/>
                <w:sz w:val="24"/>
                <w:szCs w:val="24"/>
                <w:lang w:val="en-US" w:eastAsia="zh-CN"/>
              </w:rPr>
              <w:t>臭气浓度</w:t>
            </w:r>
            <w:r>
              <w:rPr>
                <w:rFonts w:hint="default" w:ascii="Times New Roman" w:hAnsi="Times New Roman" w:eastAsia="宋体" w:cs="Times New Roman"/>
                <w:b w:val="0"/>
                <w:bCs w:val="0"/>
                <w:color w:val="auto"/>
                <w:sz w:val="24"/>
                <w:szCs w:val="24"/>
                <w:lang w:val="en-US" w:eastAsia="zh-CN"/>
              </w:rPr>
              <w:t>≤20</w:t>
            </w:r>
            <w:r>
              <w:rPr>
                <w:rFonts w:hint="eastAsia" w:ascii="Times New Roman" w:hAnsi="Times New Roman" w:eastAsia="宋体" w:cs="Times New Roman"/>
                <w:b w:val="0"/>
                <w:bCs w:val="0"/>
                <w:color w:val="auto"/>
                <w:sz w:val="24"/>
                <w:szCs w:val="24"/>
                <w:lang w:val="en-US" w:eastAsia="zh-CN"/>
              </w:rPr>
              <w:t>无量纲。</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（3） 噪声</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rPr>
              <w:t>环保竣工验收监测期间</w:t>
            </w:r>
            <w:r>
              <w:rPr>
                <w:rFonts w:hint="default" w:ascii="Times New Roman" w:hAnsi="Times New Roman" w:eastAsia="宋体" w:cs="Times New Roman"/>
                <w:bCs/>
                <w:color w:val="auto"/>
                <w:sz w:val="24"/>
                <w:szCs w:val="24"/>
                <w:lang w:val="en-US" w:eastAsia="zh-CN"/>
              </w:rPr>
              <w:t>，</w:t>
            </w:r>
            <w:r>
              <w:rPr>
                <w:rFonts w:hint="eastAsia" w:ascii="Times New Roman" w:hAnsi="Times New Roman" w:eastAsia="宋体" w:cs="Times New Roman"/>
                <w:bCs/>
                <w:color w:val="auto"/>
                <w:sz w:val="24"/>
                <w:szCs w:val="24"/>
                <w:lang w:val="en-US" w:eastAsia="zh-CN"/>
              </w:rPr>
              <w:t>本</w:t>
            </w:r>
            <w:r>
              <w:rPr>
                <w:rFonts w:hint="default" w:ascii="Times New Roman" w:hAnsi="Times New Roman" w:eastAsia="宋体" w:cs="Times New Roman"/>
                <w:bCs/>
                <w:color w:val="auto"/>
                <w:sz w:val="24"/>
                <w:szCs w:val="24"/>
                <w:lang w:val="en-US" w:eastAsia="zh-CN"/>
              </w:rPr>
              <w:t>项目噪声符合</w:t>
            </w:r>
            <w:r>
              <w:rPr>
                <w:rFonts w:hint="eastAsia" w:ascii="Times New Roman" w:hAnsi="Times New Roman" w:eastAsia="宋体" w:cs="Times New Roman"/>
                <w:bCs/>
                <w:color w:val="auto"/>
                <w:sz w:val="24"/>
                <w:szCs w:val="24"/>
                <w:lang w:val="en-US" w:eastAsia="zh-CN"/>
              </w:rPr>
              <w:t>《工业企业厂界环境噪声排放标准》（GB12348-2008）中的3类标准，即：3类昼间：65dB（A），夜间55dB（A）。</w:t>
            </w:r>
          </w:p>
          <w:p>
            <w:pPr>
              <w:widowControl w:val="0"/>
              <w:adjustRightInd/>
              <w:snapToGrid/>
              <w:spacing w:line="360" w:lineRule="auto"/>
              <w:ind w:firstLine="480" w:firstLineChars="200"/>
              <w:jc w:val="both"/>
              <w:outlineLvl w:val="2"/>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（4）固废</w:t>
            </w:r>
          </w:p>
          <w:p>
            <w:pPr>
              <w:pStyle w:val="46"/>
              <w:pageBreakBefore w:val="0"/>
              <w:kinsoku/>
              <w:wordWrap/>
              <w:overflowPunct/>
              <w:topLinePunct w:val="0"/>
              <w:bidi w:val="0"/>
              <w:ind w:firstLine="480"/>
              <w:jc w:val="left"/>
              <w:rPr>
                <w:rFonts w:hint="default" w:ascii="Times New Roman" w:hAnsi="Times New Roman" w:eastAsia="宋体" w:cs="Times New Roman"/>
                <w:b w:val="0"/>
                <w:bCs/>
                <w:color w:val="auto"/>
                <w:kern w:val="0"/>
                <w:sz w:val="24"/>
                <w:szCs w:val="22"/>
                <w:lang w:val="en-US" w:eastAsia="zh-CN" w:bidi="ar-SA"/>
              </w:rPr>
            </w:pPr>
            <w:r>
              <w:rPr>
                <w:rFonts w:hint="default" w:ascii="Times New Roman" w:hAnsi="Times New Roman" w:eastAsia="宋体" w:cs="Times New Roman"/>
                <w:b w:val="0"/>
                <w:bCs/>
                <w:color w:val="auto"/>
                <w:sz w:val="24"/>
                <w:szCs w:val="24"/>
              </w:rPr>
              <w:t>环保竣工验收监测期间，</w:t>
            </w:r>
            <w:r>
              <w:rPr>
                <w:rFonts w:hint="default" w:ascii="Times New Roman" w:hAnsi="Times New Roman" w:eastAsia="宋体" w:cs="Times New Roman"/>
                <w:b w:val="0"/>
                <w:bCs/>
                <w:color w:val="auto"/>
                <w:kern w:val="0"/>
                <w:sz w:val="24"/>
                <w:szCs w:val="22"/>
                <w:lang w:val="en-US" w:eastAsia="zh-CN" w:bidi="ar-SA"/>
              </w:rPr>
              <w:t>本项目</w:t>
            </w:r>
            <w:r>
              <w:rPr>
                <w:rFonts w:hint="eastAsia" w:ascii="Times New Roman" w:hAnsi="Times New Roman" w:eastAsia="宋体" w:cs="Times New Roman"/>
                <w:b w:val="0"/>
                <w:bCs/>
                <w:color w:val="auto"/>
                <w:kern w:val="0"/>
                <w:sz w:val="24"/>
                <w:szCs w:val="22"/>
                <w:lang w:val="en-US" w:eastAsia="zh-CN" w:bidi="ar-SA"/>
              </w:rPr>
              <w:t>产生的固体废物主要为生活垃圾和一般固废</w:t>
            </w:r>
            <w:r>
              <w:rPr>
                <w:rFonts w:hint="default" w:ascii="Times New Roman" w:hAnsi="Times New Roman" w:eastAsia="宋体" w:cs="Times New Roman"/>
                <w:b w:val="0"/>
                <w:bCs/>
                <w:color w:val="auto"/>
                <w:kern w:val="0"/>
                <w:sz w:val="24"/>
                <w:szCs w:val="22"/>
                <w:lang w:val="en-US" w:eastAsia="zh-CN" w:bidi="ar-SA"/>
              </w:rPr>
              <w:t>。</w:t>
            </w:r>
          </w:p>
          <w:p>
            <w:pPr>
              <w:pStyle w:val="46"/>
              <w:pageBreakBefore w:val="0"/>
              <w:kinsoku/>
              <w:wordWrap/>
              <w:overflowPunct/>
              <w:topLinePunct w:val="0"/>
              <w:bidi w:val="0"/>
              <w:ind w:firstLine="480"/>
              <w:jc w:val="left"/>
              <w:rPr>
                <w:rFonts w:hint="eastAsia" w:ascii="Times New Roman" w:hAnsi="Times New Roman" w:eastAsia="宋体" w:cs="Times New Roman"/>
                <w:b w:val="0"/>
                <w:bCs/>
                <w:color w:val="auto"/>
                <w:kern w:val="0"/>
                <w:sz w:val="24"/>
                <w:szCs w:val="22"/>
                <w:lang w:val="en-US" w:eastAsia="zh-CN" w:bidi="ar-SA"/>
              </w:rPr>
            </w:pPr>
            <w:r>
              <w:rPr>
                <w:rFonts w:hint="eastAsia" w:ascii="Times New Roman" w:hAnsi="Times New Roman" w:eastAsia="宋体" w:cs="Times New Roman"/>
                <w:b w:val="0"/>
                <w:bCs/>
                <w:color w:val="auto"/>
                <w:kern w:val="0"/>
                <w:sz w:val="24"/>
                <w:szCs w:val="22"/>
                <w:lang w:val="en-US" w:eastAsia="zh-CN" w:bidi="ar-SA"/>
              </w:rPr>
              <w:t>生活垃圾：</w:t>
            </w:r>
            <w:r>
              <w:rPr>
                <w:rFonts w:hint="default" w:ascii="Times New Roman" w:hAnsi="Times New Roman" w:eastAsia="宋体" w:cs="Times New Roman"/>
                <w:b w:val="0"/>
                <w:bCs/>
                <w:color w:val="auto"/>
                <w:sz w:val="24"/>
                <w:lang w:val="en-GB" w:eastAsia="zh-CN"/>
              </w:rPr>
              <w:t>生活垃圾分类收集后统一交由环卫部门清运处置</w:t>
            </w:r>
            <w:r>
              <w:rPr>
                <w:rFonts w:hint="eastAsia" w:ascii="Times New Roman" w:hAnsi="Times New Roman" w:eastAsia="宋体" w:cs="Times New Roman"/>
                <w:b w:val="0"/>
                <w:bCs/>
                <w:color w:val="auto"/>
                <w:sz w:val="24"/>
                <w:lang w:val="en-US" w:eastAsia="zh-CN"/>
              </w:rPr>
              <w:t>。</w:t>
            </w:r>
          </w:p>
          <w:p>
            <w:pPr>
              <w:pStyle w:val="46"/>
              <w:pageBreakBefore w:val="0"/>
              <w:kinsoku/>
              <w:wordWrap/>
              <w:overflowPunct/>
              <w:topLinePunct w:val="0"/>
              <w:bidi w:val="0"/>
              <w:ind w:firstLine="480"/>
              <w:jc w:val="left"/>
              <w:rPr>
                <w:rFonts w:hint="default" w:ascii="Times New Roman" w:hAnsi="Times New Roman" w:eastAsia="宋体" w:cs="Times New Roman"/>
                <w:b w:val="0"/>
                <w:bCs/>
                <w:color w:val="auto"/>
                <w:kern w:val="0"/>
                <w:sz w:val="24"/>
                <w:szCs w:val="22"/>
                <w:lang w:val="en-US" w:eastAsia="zh-CN" w:bidi="ar-SA"/>
              </w:rPr>
            </w:pPr>
            <w:r>
              <w:rPr>
                <w:rFonts w:hint="eastAsia" w:ascii="Times New Roman" w:hAnsi="Times New Roman" w:eastAsia="宋体" w:cs="Times New Roman"/>
                <w:b w:val="0"/>
                <w:bCs/>
                <w:color w:val="auto"/>
                <w:kern w:val="0"/>
                <w:sz w:val="24"/>
                <w:szCs w:val="22"/>
                <w:lang w:val="en-US" w:eastAsia="zh-CN" w:bidi="ar-SA"/>
              </w:rPr>
              <w:t>一般工业固体废物：</w:t>
            </w:r>
            <w:r>
              <w:rPr>
                <w:rFonts w:hint="eastAsia" w:ascii="Times New Roman" w:hAnsi="Times New Roman" w:eastAsia="宋体" w:cs="Times New Roman"/>
                <w:b w:val="0"/>
                <w:bCs/>
                <w:color w:val="auto"/>
                <w:sz w:val="24"/>
                <w:lang w:val="en-US" w:eastAsia="zh-CN"/>
              </w:rPr>
              <w:t>原料边角料统一收集后</w:t>
            </w:r>
            <w:r>
              <w:rPr>
                <w:rFonts w:hint="default" w:ascii="Times New Roman" w:hAnsi="Times New Roman" w:eastAsia="宋体" w:cs="Times New Roman"/>
                <w:b w:val="0"/>
                <w:bCs/>
                <w:color w:val="auto"/>
                <w:sz w:val="24"/>
                <w:lang w:val="en-GB" w:eastAsia="zh-CN"/>
              </w:rPr>
              <w:t>交由环卫部门清运处置</w:t>
            </w:r>
            <w:r>
              <w:rPr>
                <w:rFonts w:hint="eastAsia" w:ascii="Times New Roman" w:hAnsi="Times New Roman" w:eastAsia="宋体" w:cs="Times New Roman"/>
                <w:b w:val="0"/>
                <w:bCs/>
                <w:color w:val="auto"/>
                <w:sz w:val="24"/>
                <w:lang w:val="en-GB" w:eastAsia="zh-CN"/>
              </w:rPr>
              <w:t>；</w:t>
            </w:r>
            <w:r>
              <w:rPr>
                <w:rFonts w:hint="eastAsia" w:ascii="Times New Roman" w:hAnsi="Times New Roman" w:eastAsia="宋体" w:cs="Times New Roman"/>
                <w:b w:val="0"/>
                <w:bCs/>
                <w:color w:val="auto"/>
                <w:sz w:val="24"/>
                <w:lang w:val="en-US" w:eastAsia="zh-CN"/>
              </w:rPr>
              <w:t>废包装材料委托厂家回收利用，污水处理设施产生的废油脂委托油脂回收单位回收利用。</w:t>
            </w:r>
          </w:p>
          <w:bookmarkEnd w:id="7"/>
          <w:p>
            <w:pPr>
              <w:widowControl w:val="0"/>
              <w:adjustRightInd/>
              <w:snapToGrid/>
              <w:spacing w:line="360" w:lineRule="auto"/>
              <w:ind w:firstLine="480" w:firstLineChars="200"/>
              <w:jc w:val="both"/>
              <w:outlineLvl w:val="1"/>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后续要求：</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（1）严格执行环保“三同时”政策，建立健全环保工作责任制度；</w:t>
            </w:r>
          </w:p>
          <w:p>
            <w:pPr>
              <w:widowControl w:val="0"/>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（2）对高噪设备的降噪措施及厂区布局进行优化。</w:t>
            </w:r>
          </w:p>
          <w:p>
            <w:pPr>
              <w:widowControl w:val="0"/>
              <w:adjustRightInd/>
              <w:snapToGrid/>
              <w:spacing w:line="360" w:lineRule="auto"/>
              <w:ind w:firstLine="480" w:firstLineChars="200"/>
              <w:jc w:val="both"/>
              <w:rPr>
                <w:rFonts w:ascii="Times New Roman" w:hAnsi="Times New Roman" w:eastAsia="宋体" w:cs="Times New Roman"/>
                <w:bCs/>
                <w:color w:val="auto"/>
                <w:sz w:val="24"/>
                <w:szCs w:val="24"/>
              </w:rPr>
            </w:pPr>
            <w:r>
              <w:rPr>
                <w:rFonts w:ascii="Times New Roman" w:hAnsi="Times New Roman" w:eastAsia="宋体" w:cs="Times New Roman"/>
                <w:color w:val="auto"/>
                <w:sz w:val="24"/>
                <w:szCs w:val="24"/>
              </w:rPr>
              <w:t>（3）定期维护各项环保设施，确保设施均能够正常运行，使处理效率达到最大化。</w:t>
            </w:r>
          </w:p>
          <w:p>
            <w:pPr>
              <w:widowControl w:val="0"/>
              <w:adjustRightInd/>
              <w:snapToGrid/>
              <w:spacing w:line="360" w:lineRule="auto"/>
              <w:ind w:firstLine="482" w:firstLineChars="200"/>
              <w:jc w:val="both"/>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验收结论：</w:t>
            </w:r>
          </w:p>
          <w:p>
            <w:pPr>
              <w:pStyle w:val="37"/>
              <w:spacing w:line="360" w:lineRule="auto"/>
              <w:ind w:firstLine="482" w:firstLineChars="200"/>
              <w:jc w:val="both"/>
              <w:rPr>
                <w:rFonts w:ascii="Times New Roman" w:hAnsi="Times New Roman" w:cs="Times New Roman"/>
                <w:color w:val="auto"/>
                <w:sz w:val="21"/>
                <w:szCs w:val="21"/>
              </w:rPr>
            </w:pPr>
            <w:r>
              <w:rPr>
                <w:rFonts w:ascii="Times New Roman" w:hAnsi="Times New Roman" w:cs="Times New Roman"/>
                <w:b/>
                <w:bCs/>
                <w:color w:val="auto"/>
              </w:rPr>
              <w:t>根据验收监测报告及现场</w:t>
            </w:r>
            <w:r>
              <w:rPr>
                <w:rFonts w:hint="eastAsia" w:ascii="Times New Roman" w:hAnsi="Times New Roman" w:cs="Times New Roman"/>
                <w:b/>
                <w:bCs/>
                <w:color w:val="auto"/>
                <w:lang w:val="en-US" w:eastAsia="zh-CN"/>
              </w:rPr>
              <w:t>踏勘</w:t>
            </w:r>
            <w:r>
              <w:rPr>
                <w:rFonts w:ascii="Times New Roman" w:hAnsi="Times New Roman" w:cs="Times New Roman"/>
                <w:b/>
                <w:bCs/>
                <w:color w:val="auto"/>
              </w:rPr>
              <w:t>结果，</w:t>
            </w:r>
            <w:r>
              <w:rPr>
                <w:rFonts w:hint="eastAsia" w:ascii="Times New Roman" w:hAnsi="Times New Roman" w:cs="Times New Roman"/>
                <w:b/>
                <w:bCs/>
                <w:color w:val="auto"/>
                <w:lang w:val="en-US" w:eastAsia="zh-CN"/>
              </w:rPr>
              <w:t>福建省皇牌食品有限公司调味料、塑料制品生产项目</w:t>
            </w:r>
            <w:r>
              <w:rPr>
                <w:rFonts w:ascii="Times New Roman" w:hAnsi="Times New Roman" w:cs="Times New Roman"/>
                <w:b/>
                <w:bCs/>
                <w:color w:val="auto"/>
              </w:rPr>
              <w:t>基本落实环保“三同时”制度以及环评批复中提出的各项污染防治措施，各类污染物达标排放，符合环评批复要求。项目不涉及《建设项目竣工环境保护验收暂行办法》第八条规定的不符合情形，符合竣工环保验收条件</w:t>
            </w:r>
            <w:r>
              <w:rPr>
                <w:rFonts w:hint="eastAsia" w:ascii="Times New Roman" w:hAnsi="Times New Roman" w:cs="Times New Roman"/>
                <w:b/>
                <w:bCs/>
                <w:color w:val="auto"/>
              </w:rPr>
              <w:t>。</w:t>
            </w:r>
          </w:p>
          <w:p>
            <w:pPr>
              <w:pStyle w:val="37"/>
              <w:spacing w:line="360" w:lineRule="auto"/>
              <w:jc w:val="right"/>
              <w:rPr>
                <w:rFonts w:ascii="Times New Roman" w:hAnsi="Times New Roman" w:cs="Times New Roman"/>
                <w:color w:val="0000FF"/>
                <w:sz w:val="21"/>
                <w:szCs w:val="21"/>
              </w:rPr>
            </w:pPr>
          </w:p>
        </w:tc>
      </w:tr>
    </w:tbl>
    <w:p>
      <w:pPr>
        <w:pStyle w:val="37"/>
        <w:rPr>
          <w:rFonts w:ascii="Times New Roman" w:hAnsi="Times New Roman" w:cs="Times New Roman"/>
          <w:color w:val="0000FF"/>
        </w:rPr>
        <w:sectPr>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p>
    <w:tbl>
      <w:tblPr>
        <w:tblStyle w:val="26"/>
        <w:tblpPr w:leftFromText="180" w:rightFromText="180" w:vertAnchor="page" w:horzAnchor="page" w:tblpX="616" w:tblpY="1710"/>
        <w:tblW w:w="16019" w:type="dxa"/>
        <w:jc w:val="center"/>
        <w:shd w:val="solid" w:color="FFFFFF" w:themeColor="background1" w:fill="FFFFFF" w:themeFill="background1"/>
        <w:tblLayout w:type="fixed"/>
        <w:tblCellMar>
          <w:top w:w="0" w:type="dxa"/>
          <w:left w:w="108" w:type="dxa"/>
          <w:bottom w:w="0" w:type="dxa"/>
          <w:right w:w="108" w:type="dxa"/>
        </w:tblCellMar>
      </w:tblPr>
      <w:tblGrid>
        <w:gridCol w:w="392"/>
        <w:gridCol w:w="453"/>
        <w:gridCol w:w="1544"/>
        <w:gridCol w:w="327"/>
        <w:gridCol w:w="467"/>
        <w:gridCol w:w="608"/>
        <w:gridCol w:w="424"/>
        <w:gridCol w:w="653"/>
        <w:gridCol w:w="285"/>
        <w:gridCol w:w="401"/>
        <w:gridCol w:w="181"/>
        <w:gridCol w:w="430"/>
        <w:gridCol w:w="665"/>
        <w:gridCol w:w="525"/>
        <w:gridCol w:w="1087"/>
        <w:gridCol w:w="968"/>
        <w:gridCol w:w="2569"/>
        <w:gridCol w:w="828"/>
        <w:gridCol w:w="758"/>
        <w:gridCol w:w="567"/>
        <w:gridCol w:w="653"/>
        <w:gridCol w:w="307"/>
        <w:gridCol w:w="927"/>
      </w:tblGrid>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16019" w:type="dxa"/>
            <w:gridSpan w:val="23"/>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建设项目工程竣工环境保护“三同时”验收登记表</w:t>
            </w:r>
          </w:p>
          <w:p>
            <w:pPr>
              <w:autoSpaceDN w:val="0"/>
              <w:spacing w:line="260" w:lineRule="exact"/>
              <w:jc w:val="left"/>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填表单位（盖章）：</w:t>
            </w:r>
            <w:r>
              <w:rPr>
                <w:rFonts w:hint="eastAsia" w:ascii="Times New Roman" w:hAnsi="Times New Roman" w:eastAsia="宋体" w:cs="Times New Roman"/>
                <w:color w:val="auto"/>
                <w:sz w:val="18"/>
                <w:szCs w:val="18"/>
                <w:lang w:val="en-US" w:eastAsia="zh-CN"/>
              </w:rPr>
              <w:t>福建省皇牌食品有限公司</w:t>
            </w:r>
            <w:r>
              <w:rPr>
                <w:rFonts w:ascii="Times New Roman" w:hAnsi="Times New Roman" w:eastAsia="宋体" w:cs="Times New Roman"/>
                <w:color w:val="auto"/>
                <w:sz w:val="18"/>
                <w:szCs w:val="18"/>
              </w:rPr>
              <w:t xml:space="preserve">           填表人（签字）：                               项目经办人（签字）：</w:t>
            </w:r>
          </w:p>
        </w:tc>
      </w:tr>
      <w:tr>
        <w:tblPrEx>
          <w:shd w:val="solid" w:color="FFFFFF" w:themeColor="background1" w:fill="FFFFFF" w:themeFill="background1"/>
          <w:tblCellMar>
            <w:top w:w="0" w:type="dxa"/>
            <w:left w:w="108" w:type="dxa"/>
            <w:bottom w:w="0" w:type="dxa"/>
            <w:right w:w="108" w:type="dxa"/>
          </w:tblCellMar>
        </w:tblPrEx>
        <w:trPr>
          <w:trHeight w:val="239" w:hRule="atLeast"/>
          <w:jc w:val="center"/>
        </w:trPr>
        <w:tc>
          <w:tcPr>
            <w:tcW w:w="392" w:type="dxa"/>
            <w:vMerge w:val="restart"/>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 设 项 目</w:t>
            </w: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项目名称</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调味料、塑料制品生产项目</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项目代码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建设地点</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福建省漳州市</w:t>
            </w:r>
            <w:r>
              <w:rPr>
                <w:rFonts w:hint="eastAsia" w:ascii="Times New Roman" w:hAnsi="Times New Roman" w:eastAsia="宋体" w:cs="Times New Roman"/>
                <w:color w:val="auto"/>
                <w:sz w:val="18"/>
                <w:szCs w:val="18"/>
                <w:lang w:val="en-US" w:eastAsia="zh-CN"/>
              </w:rPr>
              <w:t>诏安金都工业集中区</w:t>
            </w:r>
          </w:p>
        </w:tc>
      </w:tr>
      <w:tr>
        <w:tblPrEx>
          <w:shd w:val="solid" w:color="FFFFFF" w:themeColor="background1" w:fill="FFFFFF" w:themeFill="background1"/>
          <w:tblCellMar>
            <w:top w:w="0" w:type="dxa"/>
            <w:left w:w="108" w:type="dxa"/>
            <w:bottom w:w="0" w:type="dxa"/>
            <w:right w:w="108" w:type="dxa"/>
          </w:tblCellMar>
        </w:tblPrEx>
        <w:trPr>
          <w:trHeight w:val="249"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行业类别（分类管理名录）</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建设性质</w:t>
            </w:r>
          </w:p>
        </w:tc>
        <w:tc>
          <w:tcPr>
            <w:tcW w:w="6609" w:type="dxa"/>
            <w:gridSpan w:val="7"/>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 xml:space="preserve">  新建√   改扩建    技术改造    </w:t>
            </w:r>
          </w:p>
        </w:tc>
      </w:tr>
      <w:tr>
        <w:tblPrEx>
          <w:shd w:val="solid" w:color="FFFFFF" w:themeColor="background1" w:fill="FFFFFF" w:themeFill="background1"/>
          <w:tblCellMar>
            <w:top w:w="0" w:type="dxa"/>
            <w:left w:w="108" w:type="dxa"/>
            <w:bottom w:w="0" w:type="dxa"/>
            <w:right w:w="108" w:type="dxa"/>
          </w:tblCellMar>
        </w:tblPrEx>
        <w:trPr>
          <w:trHeight w:val="405"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建设规模</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line="240" w:lineRule="auto"/>
              <w:jc w:val="center"/>
              <w:rPr>
                <w:rFonts w:hint="eastAsia" w:ascii="Times New Roman" w:hAnsi="Times New Roman" w:eastAsia="宋体" w:cs="Times New Roman"/>
                <w:color w:val="auto"/>
                <w:sz w:val="18"/>
                <w:szCs w:val="18"/>
                <w:lang w:val="en-US" w:eastAsia="zh-CN" w:bidi="ar-SA"/>
              </w:rPr>
            </w:pPr>
            <w:r>
              <w:rPr>
                <w:rFonts w:hint="eastAsia" w:ascii="Times New Roman" w:hAnsi="Times New Roman" w:eastAsia="宋体" w:cs="Times New Roman"/>
                <w:color w:val="auto"/>
                <w:sz w:val="18"/>
                <w:szCs w:val="18"/>
              </w:rPr>
              <w:t>年生产沙茶酱5000吨、辣椒酱1000吨、塑料制品50吨，年仓储、装卸塑料制品、食品罐头2万吨</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实际产能</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rPr>
              <w:t>年生产沙茶酱5000吨、辣椒酱1000吨</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环评单位</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泉州市天龙环境工程有限公司</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环评文件审批机关</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line="240" w:lineRule="auto"/>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漳州市</w:t>
            </w:r>
            <w:r>
              <w:rPr>
                <w:rFonts w:hint="eastAsia" w:ascii="Times New Roman" w:hAnsi="Times New Roman" w:eastAsia="宋体" w:cs="Times New Roman"/>
                <w:color w:val="auto"/>
                <w:sz w:val="18"/>
                <w:szCs w:val="18"/>
                <w:lang w:val="en-US" w:eastAsia="zh-CN"/>
              </w:rPr>
              <w:t>诏安</w:t>
            </w:r>
            <w:r>
              <w:rPr>
                <w:rFonts w:hint="default" w:ascii="Times New Roman" w:hAnsi="Times New Roman" w:eastAsia="宋体" w:cs="Times New Roman"/>
                <w:color w:val="auto"/>
                <w:sz w:val="18"/>
                <w:szCs w:val="18"/>
                <w:lang w:val="en-US" w:eastAsia="zh-CN"/>
              </w:rPr>
              <w:t>生态环境局</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审批文号</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诏环报20121218</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环评文件类型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报告表</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开工日期</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line="240" w:lineRule="auto"/>
              <w:jc w:val="center"/>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20</w:t>
            </w:r>
            <w:r>
              <w:rPr>
                <w:rFonts w:hint="eastAsia" w:ascii="Times New Roman" w:hAnsi="Times New Roman" w:eastAsia="宋体" w:cs="Times New Roman"/>
                <w:color w:val="auto"/>
                <w:sz w:val="18"/>
                <w:szCs w:val="18"/>
                <w:lang w:val="en-US" w:eastAsia="zh-CN"/>
              </w:rPr>
              <w:t>13</w:t>
            </w:r>
            <w:r>
              <w:rPr>
                <w:rFonts w:hint="default" w:ascii="Times New Roman" w:hAnsi="Times New Roman" w:eastAsia="宋体" w:cs="Times New Roman"/>
                <w:color w:val="auto"/>
                <w:sz w:val="18"/>
                <w:szCs w:val="18"/>
                <w:lang w:eastAsia="zh-CN"/>
              </w:rPr>
              <w:t>年</w:t>
            </w:r>
            <w:r>
              <w:rPr>
                <w:rFonts w:hint="eastAsia"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lang w:eastAsia="zh-CN"/>
              </w:rPr>
              <w:t>月</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竣工日期</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pacing w:line="240" w:lineRule="auto"/>
              <w:jc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20</w:t>
            </w:r>
            <w:r>
              <w:rPr>
                <w:rFonts w:hint="eastAsia" w:ascii="Times New Roman" w:hAnsi="Times New Roman" w:eastAsia="宋体" w:cs="Times New Roman"/>
                <w:color w:val="auto"/>
                <w:sz w:val="18"/>
                <w:szCs w:val="18"/>
                <w:lang w:val="en-US" w:eastAsia="zh-CN"/>
              </w:rPr>
              <w:t>13</w:t>
            </w:r>
            <w:r>
              <w:rPr>
                <w:rFonts w:hint="default" w:ascii="Times New Roman" w:hAnsi="Times New Roman" w:eastAsia="宋体" w:cs="Times New Roman"/>
                <w:color w:val="auto"/>
                <w:sz w:val="18"/>
                <w:szCs w:val="18"/>
                <w:lang w:val="en-US" w:eastAsia="zh-CN"/>
              </w:rPr>
              <w:t>年</w:t>
            </w:r>
            <w:r>
              <w:rPr>
                <w:rFonts w:hint="eastAsia" w:ascii="Times New Roman" w:hAnsi="Times New Roman" w:eastAsia="宋体" w:cs="Times New Roman"/>
                <w:color w:val="auto"/>
                <w:sz w:val="18"/>
                <w:szCs w:val="18"/>
                <w:lang w:val="en-US" w:eastAsia="zh-CN"/>
              </w:rPr>
              <w:t>8</w:t>
            </w:r>
            <w:r>
              <w:rPr>
                <w:rFonts w:hint="default" w:ascii="Times New Roman" w:hAnsi="Times New Roman" w:eastAsia="宋体" w:cs="Times New Roman"/>
                <w:color w:val="auto"/>
                <w:sz w:val="18"/>
                <w:szCs w:val="18"/>
                <w:lang w:val="en-US" w:eastAsia="zh-CN"/>
              </w:rPr>
              <w:t>月</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排污许可证申领时间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2021.10.09</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环保设施设计单位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自建</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环保设施施工单位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自建</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本工程排污许可证编号</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9135062434514574XQ001U</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验收单位</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福建省皇牌食品有限公司</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环保设施监测单位</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厦门华夏学苑检测有限公司</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验收监测时工况</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≥75%</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投资总概算（万元）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环保投资总概算（万元）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22</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0.2%</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clear" w:color="FFFFFF" w:themeColor="background1" w:fill="auto"/>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实际总投资（万元）</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11000</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实际环保投资（万元）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22</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所占比例（%）</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0.2%</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废水治理（万元）</w:t>
            </w:r>
          </w:p>
        </w:tc>
        <w:tc>
          <w:tcPr>
            <w:tcW w:w="107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tabs>
                <w:tab w:val="left" w:pos="270"/>
                <w:tab w:val="center" w:pos="489"/>
              </w:tabs>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w:t>
            </w:r>
          </w:p>
        </w:tc>
        <w:tc>
          <w:tcPr>
            <w:tcW w:w="1077"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废气治理（万元）</w:t>
            </w:r>
          </w:p>
        </w:tc>
        <w:tc>
          <w:tcPr>
            <w:tcW w:w="867"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12</w:t>
            </w:r>
          </w:p>
        </w:tc>
        <w:tc>
          <w:tcPr>
            <w:tcW w:w="109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噪声治理（万元）</w:t>
            </w:r>
          </w:p>
        </w:tc>
        <w:tc>
          <w:tcPr>
            <w:tcW w:w="525"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2</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固体废物治理（万元）</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绿化及生态（万元）</w:t>
            </w:r>
          </w:p>
        </w:tc>
        <w:tc>
          <w:tcPr>
            <w:tcW w:w="56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2</w:t>
            </w:r>
          </w:p>
        </w:tc>
        <w:tc>
          <w:tcPr>
            <w:tcW w:w="96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其它（万元）</w:t>
            </w:r>
          </w:p>
        </w:tc>
        <w:tc>
          <w:tcPr>
            <w:tcW w:w="92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392" w:type="dxa"/>
            <w:vMerge w:val="continue"/>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rPr>
                <w:rFonts w:ascii="Times New Roman" w:hAnsi="Times New Roman" w:eastAsia="宋体" w:cs="Times New Roman"/>
                <w:color w:val="0000FF"/>
                <w:sz w:val="18"/>
                <w:szCs w:val="18"/>
              </w:rPr>
            </w:pPr>
          </w:p>
        </w:tc>
        <w:tc>
          <w:tcPr>
            <w:tcW w:w="2324"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新增废水处理设施能力</w:t>
            </w:r>
          </w:p>
        </w:tc>
        <w:tc>
          <w:tcPr>
            <w:tcW w:w="4639" w:type="dxa"/>
            <w:gridSpan w:val="10"/>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055"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新增废气处理设施能力</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年平均工作时</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autoSpaceDN w:val="0"/>
              <w:spacing w:line="260" w:lineRule="exact"/>
              <w:jc w:val="center"/>
              <w:textAlignment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2400</w:t>
            </w:r>
          </w:p>
        </w:tc>
      </w:tr>
      <w:tr>
        <w:tblPrEx>
          <w:shd w:val="solid" w:color="FFFFFF" w:themeColor="background1" w:fill="FFFFFF" w:themeFill="background1"/>
          <w:tblCellMar>
            <w:top w:w="0" w:type="dxa"/>
            <w:left w:w="108" w:type="dxa"/>
            <w:bottom w:w="0" w:type="dxa"/>
            <w:right w:w="108" w:type="dxa"/>
          </w:tblCellMar>
        </w:tblPrEx>
        <w:trPr>
          <w:trHeight w:val="249" w:hRule="atLeast"/>
          <w:jc w:val="center"/>
        </w:trPr>
        <w:tc>
          <w:tcPr>
            <w:tcW w:w="2716"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运营单位</w:t>
            </w:r>
          </w:p>
        </w:tc>
        <w:tc>
          <w:tcPr>
            <w:tcW w:w="2838"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eastAsia="zh-CN"/>
              </w:rPr>
            </w:pPr>
            <w:r>
              <w:rPr>
                <w:rFonts w:hint="eastAsia" w:ascii="Times New Roman" w:hAnsi="Times New Roman" w:eastAsia="宋体" w:cs="Times New Roman"/>
                <w:color w:val="auto"/>
                <w:sz w:val="18"/>
                <w:szCs w:val="18"/>
                <w:lang w:val="en-US" w:eastAsia="zh-CN"/>
              </w:rPr>
              <w:t>福建省皇牌食品有限公司</w:t>
            </w:r>
          </w:p>
        </w:tc>
        <w:tc>
          <w:tcPr>
            <w:tcW w:w="3856" w:type="dxa"/>
            <w:gridSpan w:val="6"/>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运营单位社会统一信用代码（或组织机构代码）</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rPr>
              <w:t>9135062434514574XQ</w:t>
            </w:r>
          </w:p>
        </w:tc>
        <w:tc>
          <w:tcPr>
            <w:tcW w:w="1586"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验收时间</w:t>
            </w:r>
          </w:p>
        </w:tc>
        <w:tc>
          <w:tcPr>
            <w:tcW w:w="2454" w:type="dxa"/>
            <w:gridSpan w:val="4"/>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spacing w:line="280" w:lineRule="exact"/>
              <w:jc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2021.11.06</w:t>
            </w:r>
          </w:p>
        </w:tc>
      </w:tr>
      <w:tr>
        <w:tblPrEx>
          <w:shd w:val="solid" w:color="FFFFFF" w:themeColor="background1" w:fill="FFFFFF" w:themeFill="background1"/>
          <w:tblCellMar>
            <w:top w:w="0" w:type="dxa"/>
            <w:left w:w="108" w:type="dxa"/>
            <w:bottom w:w="0" w:type="dxa"/>
            <w:right w:w="108" w:type="dxa"/>
          </w:tblCellMar>
        </w:tblPrEx>
        <w:trPr>
          <w:trHeight w:val="992" w:hRule="atLeast"/>
          <w:jc w:val="center"/>
        </w:trPr>
        <w:tc>
          <w:tcPr>
            <w:tcW w:w="845" w:type="dxa"/>
            <w:gridSpan w:val="2"/>
            <w:vMerge w:val="restart"/>
            <w:tcBorders>
              <w:top w:val="single" w:color="000000" w:sz="4" w:space="0"/>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adjustRightInd/>
              <w:snapToGrid/>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污染</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物排</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放达</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标与</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控制</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（工</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业建</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设项</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目详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填）</w:t>
            </w: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污染物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原有排放量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本期工程实际排放浓度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（2）</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本期工程允许排放浓度</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（3）</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本期工程产生量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（4）</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本期工程自身削减量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（5）</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本期工程实际排放量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（6）</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本期工程核定排放总量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（7）</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本期工程“以新带老”削减量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（8）</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全厂实际排放总量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（9）</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全厂核定排放总量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（10）</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区域平衡替代削减量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（11）</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4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排放增</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减量</w:t>
            </w:r>
            <w:r>
              <w:rPr>
                <w:rFonts w:ascii="Times New Roman" w:hAnsi="Times New Roman" w:eastAsia="宋体" w:cs="Times New Roman"/>
                <w:color w:val="auto"/>
                <w:sz w:val="18"/>
                <w:szCs w:val="18"/>
                <w:shd w:val="solid" w:color="FFFFFF" w:themeColor="background1" w:fill="FFFFFF" w:themeFill="background1"/>
              </w:rPr>
              <w:br w:type="textWrapping"/>
            </w:r>
            <w:r>
              <w:rPr>
                <w:rFonts w:ascii="Times New Roman" w:hAnsi="Times New Roman" w:eastAsia="宋体" w:cs="Times New Roman"/>
                <w:color w:val="auto"/>
                <w:sz w:val="18"/>
                <w:szCs w:val="18"/>
                <w:shd w:val="solid" w:color="FFFFFF" w:themeColor="background1" w:fill="FFFFFF" w:themeFill="background1"/>
              </w:rPr>
              <w:t>（12）</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废水</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shd w:val="solid" w:color="FFFFFF" w:themeColor="background1" w:fill="FFFFFF" w:themeFill="background1"/>
          <w:tblCellMar>
            <w:top w:w="0" w:type="dxa"/>
            <w:left w:w="108" w:type="dxa"/>
            <w:bottom w:w="0" w:type="dxa"/>
            <w:right w:w="108" w:type="dxa"/>
          </w:tblCellMar>
        </w:tblPrEx>
        <w:trPr>
          <w:trHeight w:val="22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 xml:space="preserve">化学需氧量 </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氨氮</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shd w:val="solid" w:color="FFFFFF" w:themeColor="background1" w:fill="FFFFFF" w:themeFill="background1"/>
          <w:tblCellMar>
            <w:top w:w="0" w:type="dxa"/>
            <w:left w:w="108" w:type="dxa"/>
            <w:bottom w:w="0" w:type="dxa"/>
            <w:right w:w="108" w:type="dxa"/>
          </w:tblCellMar>
        </w:tblPrEx>
        <w:trPr>
          <w:trHeight w:val="90"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废气</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shd w:val="solid" w:color="FFFFFF" w:themeColor="background1" w:fill="FFFFFF" w:themeFill="background1"/>
          <w:tblCellMar>
            <w:top w:w="0" w:type="dxa"/>
            <w:left w:w="108" w:type="dxa"/>
            <w:bottom w:w="0" w:type="dxa"/>
            <w:right w:w="108" w:type="dxa"/>
          </w:tblCellMar>
        </w:tblPrEx>
        <w:trPr>
          <w:trHeight w:val="227"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颗粒物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shd w:val="solid" w:color="FFFFFF" w:themeColor="background1" w:fill="FFFFFF" w:themeFill="background1"/>
          <w:tblCellMar>
            <w:top w:w="0" w:type="dxa"/>
            <w:left w:w="108" w:type="dxa"/>
            <w:bottom w:w="0" w:type="dxa"/>
            <w:right w:w="108" w:type="dxa"/>
          </w:tblCellMar>
        </w:tblPrEx>
        <w:trPr>
          <w:trHeight w:val="245"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二氧化硫</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shd w:val="solid" w:color="FFFFFF" w:themeColor="background1" w:fill="FFFFFF" w:themeFill="background1"/>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氮氧化物</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eastAsia"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r>
        <w:tblPrEx>
          <w:tblCellMar>
            <w:top w:w="0" w:type="dxa"/>
            <w:left w:w="108" w:type="dxa"/>
            <w:bottom w:w="0" w:type="dxa"/>
            <w:right w:w="108" w:type="dxa"/>
          </w:tblCellMar>
        </w:tblPrEx>
        <w:trPr>
          <w:trHeight w:val="93" w:hRule="atLeast"/>
          <w:jc w:val="center"/>
        </w:trPr>
        <w:tc>
          <w:tcPr>
            <w:tcW w:w="845" w:type="dxa"/>
            <w:gridSpan w:val="2"/>
            <w:vMerge w:val="continue"/>
            <w:tcBorders>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rPr>
                <w:rFonts w:ascii="Times New Roman" w:hAnsi="Times New Roman" w:eastAsia="宋体" w:cs="Times New Roman"/>
                <w:color w:val="auto"/>
                <w:sz w:val="18"/>
                <w:szCs w:val="18"/>
                <w:shd w:val="solid" w:color="FFFFFF" w:themeColor="background1" w:fill="FFFFFF" w:themeFill="background1"/>
              </w:rPr>
            </w:pPr>
          </w:p>
        </w:tc>
        <w:tc>
          <w:tcPr>
            <w:tcW w:w="1544"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ascii="Times New Roman" w:hAnsi="Times New Roman" w:eastAsia="宋体" w:cs="Times New Roman"/>
                <w:color w:val="auto"/>
                <w:sz w:val="18"/>
                <w:szCs w:val="18"/>
                <w:shd w:val="solid" w:color="FFFFFF" w:themeColor="background1" w:fill="FFFFFF" w:themeFill="background1"/>
              </w:rPr>
              <w:t>非甲烷总烃</w:t>
            </w:r>
          </w:p>
        </w:tc>
        <w:tc>
          <w:tcPr>
            <w:tcW w:w="79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32"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38"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12" w:type="dxa"/>
            <w:gridSpan w:val="3"/>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19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087"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96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hint="default" w:ascii="Times New Roman" w:hAnsi="Times New Roman" w:eastAsia="宋体" w:cs="Times New Roman"/>
                <w:color w:val="auto"/>
                <w:sz w:val="18"/>
                <w:szCs w:val="18"/>
                <w:shd w:val="solid" w:color="FFFFFF" w:themeColor="background1" w:fill="FFFFFF" w:themeFill="background1"/>
                <w:lang w:val="en-US" w:eastAsia="zh-CN"/>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2569"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82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758" w:type="dxa"/>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20"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c>
          <w:tcPr>
            <w:tcW w:w="1234" w:type="dxa"/>
            <w:gridSpan w:val="2"/>
            <w:tcBorders>
              <w:top w:val="single" w:color="000000" w:sz="4" w:space="0"/>
              <w:left w:val="single" w:color="000000" w:sz="4" w:space="0"/>
              <w:bottom w:val="single" w:color="000000" w:sz="4" w:space="0"/>
              <w:right w:val="single" w:color="000000" w:sz="4" w:space="0"/>
            </w:tcBorders>
            <w:shd w:val="solid" w:color="FFFFFF" w:themeColor="background1" w:fill="FFFFFF" w:themeFill="background1"/>
            <w:vAlign w:val="center"/>
          </w:tcPr>
          <w:p>
            <w:pPr>
              <w:shd w:val="solid" w:color="FFFFFF" w:themeColor="background1" w:fill="FFFFFF" w:themeFill="background1"/>
              <w:autoSpaceDN w:val="0"/>
              <w:spacing w:line="260" w:lineRule="exact"/>
              <w:jc w:val="center"/>
              <w:textAlignment w:val="center"/>
              <w:rPr>
                <w:rFonts w:ascii="Times New Roman" w:hAnsi="Times New Roman" w:eastAsia="宋体" w:cs="Times New Roman"/>
                <w:color w:val="auto"/>
                <w:sz w:val="18"/>
                <w:szCs w:val="18"/>
                <w:shd w:val="solid" w:color="FFFFFF" w:themeColor="background1" w:fill="FFFFFF" w:themeFill="background1"/>
              </w:rPr>
            </w:pPr>
            <w:r>
              <w:rPr>
                <w:rFonts w:hint="eastAsia" w:ascii="Times New Roman" w:hAnsi="Times New Roman" w:eastAsia="宋体" w:cs="Times New Roman"/>
                <w:color w:val="auto"/>
                <w:sz w:val="18"/>
                <w:szCs w:val="18"/>
                <w:shd w:val="solid" w:color="FFFFFF" w:themeColor="background1" w:fill="FFFFFF" w:themeFill="background1"/>
                <w:lang w:val="en-US" w:eastAsia="zh-CN"/>
              </w:rPr>
              <w:t>-</w:t>
            </w:r>
          </w:p>
        </w:tc>
      </w:tr>
    </w:tbl>
    <w:p>
      <w:pPr>
        <w:pStyle w:val="37"/>
        <w:rPr>
          <w:rFonts w:ascii="Times New Roman" w:hAnsi="Times New Roman" w:cs="Times New Roman"/>
          <w:color w:val="0000FF"/>
        </w:rPr>
        <w:sectPr>
          <w:pgSz w:w="16838" w:h="11906" w:orient="landscape"/>
          <w:pgMar w:top="1701" w:right="1440" w:bottom="1440" w:left="1440" w:header="709" w:footer="709" w:gutter="0"/>
          <w:pgBorders>
            <w:top w:val="none" w:sz="0" w:space="0"/>
            <w:left w:val="none" w:sz="0" w:space="0"/>
            <w:bottom w:val="none" w:sz="0" w:space="0"/>
            <w:right w:val="none" w:sz="0" w:space="0"/>
          </w:pgBorders>
          <w:cols w:space="0" w:num="1"/>
          <w:docGrid w:linePitch="312" w:charSpace="0"/>
        </w:sectPr>
      </w:pPr>
      <w:r>
        <w:rPr>
          <w:rFonts w:ascii="Times New Roman" w:hAnsi="Times New Roman" w:cs="Times New Roman"/>
          <w:color w:val="auto"/>
          <w:sz w:val="18"/>
        </w:rPr>
        <w:t>注：1、排放增减量：（+）表示增加，（-）表示减少。2、(12)=(6)-(8)-(11)，（9）= (4)-(5)-(8)-(11)+（1）。3、计量单位：废水排放量——万吨/年；废气排放量——万标立方米/年；工业固体废物排放量——万吨/年； 水污染物排放浓度——毫克/升；大气污染物排放浓度——毫克/立方米；水污染排放量——吨/年；大气污染物排放量——吨/年附图</w:t>
      </w:r>
    </w:p>
    <w:p>
      <w:pPr>
        <w:pStyle w:val="25"/>
        <w:ind w:firstLine="0"/>
        <w:jc w:val="left"/>
        <w:outlineLvl w:val="1"/>
        <w:rPr>
          <w:rFonts w:ascii="Times New Roman" w:hAnsi="Times New Roman" w:eastAsia="宋体" w:cs="Times New Roman"/>
          <w:b/>
          <w:bCs/>
          <w:color w:val="auto"/>
          <w:sz w:val="28"/>
          <w:szCs w:val="24"/>
        </w:rPr>
      </w:pPr>
      <w:r>
        <w:rPr>
          <w:rFonts w:ascii="Times New Roman" w:hAnsi="Times New Roman" w:eastAsia="宋体" w:cs="Times New Roman"/>
          <w:b/>
          <w:bCs/>
          <w:color w:val="auto"/>
          <w:sz w:val="28"/>
          <w:szCs w:val="24"/>
        </w:rPr>
        <w:t>附图1：项目地理位置图</w:t>
      </w:r>
    </w:p>
    <w:p>
      <w:pPr>
        <w:pStyle w:val="25"/>
        <w:ind w:firstLine="0"/>
        <w:jc w:val="both"/>
        <w:outlineLvl w:val="1"/>
        <w:rPr>
          <w:rFonts w:ascii="Times New Roman" w:hAnsi="Times New Roman" w:eastAsia="宋体" w:cs="Times New Roman"/>
          <w:color w:val="0000FF"/>
          <w:sz w:val="28"/>
          <w:szCs w:val="24"/>
        </w:rPr>
        <w:sectPr>
          <w:headerReference r:id="rId6" w:type="default"/>
          <w:footerReference r:id="rId7" w:type="default"/>
          <w:pgSz w:w="11906" w:h="16838"/>
          <w:pgMar w:top="1440" w:right="1440" w:bottom="1440" w:left="1701" w:header="709" w:footer="709" w:gutter="0"/>
          <w:pgBorders>
            <w:top w:val="none" w:sz="0" w:space="0"/>
            <w:left w:val="none" w:sz="0" w:space="0"/>
            <w:bottom w:val="none" w:sz="0" w:space="0"/>
            <w:right w:val="none" w:sz="0" w:space="0"/>
          </w:pgBorders>
          <w:cols w:space="0" w:num="1"/>
          <w:docGrid w:linePitch="312" w:charSpace="0"/>
        </w:sectPr>
      </w:pPr>
      <w:r>
        <w:drawing>
          <wp:inline distT="0" distB="0" distL="114300" distR="114300">
            <wp:extent cx="5810885" cy="8181340"/>
            <wp:effectExtent l="0" t="0" r="18415"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5"/>
                    <a:stretch>
                      <a:fillRect/>
                    </a:stretch>
                  </pic:blipFill>
                  <pic:spPr>
                    <a:xfrm>
                      <a:off x="0" y="0"/>
                      <a:ext cx="5810885" cy="8181340"/>
                    </a:xfrm>
                    <a:prstGeom prst="rect">
                      <a:avLst/>
                    </a:prstGeom>
                    <a:noFill/>
                    <a:ln>
                      <a:noFill/>
                    </a:ln>
                  </pic:spPr>
                </pic:pic>
              </a:graphicData>
            </a:graphic>
          </wp:inline>
        </w:drawing>
      </w:r>
    </w:p>
    <w:p>
      <w:pPr>
        <w:pStyle w:val="25"/>
        <w:ind w:firstLine="0"/>
        <w:jc w:val="both"/>
        <w:outlineLvl w:val="1"/>
        <w:rPr>
          <w:rFonts w:hint="eastAsia" w:ascii="Times New Roman" w:hAnsi="Times New Roman" w:eastAsia="宋体" w:cs="Times New Roman"/>
          <w:b/>
          <w:bCs/>
          <w:color w:val="auto"/>
          <w:sz w:val="28"/>
          <w:szCs w:val="24"/>
        </w:rPr>
      </w:pPr>
      <w:r>
        <w:rPr>
          <w:rFonts w:hint="eastAsia" w:ascii="Times New Roman" w:hAnsi="Times New Roman" w:eastAsia="宋体" w:cs="Times New Roman"/>
          <w:b/>
          <w:bCs/>
          <w:color w:val="auto"/>
          <w:sz w:val="28"/>
          <w:szCs w:val="24"/>
        </w:rPr>
        <w:t>附图2 项目周边环境示意图</w:t>
      </w:r>
    </w:p>
    <w:p>
      <w:pPr>
        <w:pStyle w:val="25"/>
        <w:keepNext w:val="0"/>
        <w:keepLines w:val="0"/>
        <w:pageBreakBefore w:val="0"/>
        <w:widowControl/>
        <w:kinsoku/>
        <w:wordWrap/>
        <w:overflowPunct/>
        <w:topLinePunct w:val="0"/>
        <w:autoSpaceDE/>
        <w:autoSpaceDN/>
        <w:bidi w:val="0"/>
        <w:adjustRightInd w:val="0"/>
        <w:snapToGrid w:val="0"/>
        <w:ind w:firstLine="0"/>
        <w:jc w:val="center"/>
        <w:textAlignment w:val="auto"/>
        <w:outlineLvl w:val="9"/>
        <w:rPr>
          <w:color w:val="0000FF"/>
        </w:rPr>
      </w:pPr>
      <w:r>
        <w:drawing>
          <wp:inline distT="0" distB="0" distL="114300" distR="114300">
            <wp:extent cx="6744970" cy="5410200"/>
            <wp:effectExtent l="0" t="0" r="1778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6744970" cy="5410200"/>
                    </a:xfrm>
                    <a:prstGeom prst="rect">
                      <a:avLst/>
                    </a:prstGeom>
                    <a:noFill/>
                    <a:ln>
                      <a:noFill/>
                    </a:ln>
                  </pic:spPr>
                </pic:pic>
              </a:graphicData>
            </a:graphic>
          </wp:inline>
        </w:drawing>
      </w:r>
    </w:p>
    <w:p>
      <w:pPr>
        <w:pStyle w:val="25"/>
        <w:ind w:firstLine="0"/>
        <w:jc w:val="both"/>
        <w:outlineLvl w:val="1"/>
        <w:rPr>
          <w:rFonts w:hint="eastAsia" w:ascii="Times New Roman" w:hAnsi="Times New Roman" w:eastAsia="宋体" w:cs="Times New Roman"/>
          <w:b/>
          <w:bCs/>
          <w:color w:val="auto"/>
          <w:sz w:val="28"/>
          <w:szCs w:val="24"/>
          <w:lang w:val="en-US" w:eastAsia="zh-CN"/>
        </w:rPr>
      </w:pPr>
      <w:r>
        <w:rPr>
          <w:rFonts w:hint="eastAsia" w:ascii="Times New Roman" w:hAnsi="Times New Roman" w:eastAsia="宋体" w:cs="Times New Roman"/>
          <w:b/>
          <w:bCs/>
          <w:color w:val="auto"/>
          <w:sz w:val="28"/>
          <w:szCs w:val="24"/>
        </w:rPr>
        <w:t>附图</w:t>
      </w:r>
      <w:r>
        <w:rPr>
          <w:rFonts w:hint="eastAsia" w:ascii="Times New Roman" w:hAnsi="Times New Roman" w:eastAsia="宋体" w:cs="Times New Roman"/>
          <w:b/>
          <w:bCs/>
          <w:color w:val="auto"/>
          <w:sz w:val="28"/>
          <w:szCs w:val="24"/>
          <w:lang w:val="en-US" w:eastAsia="zh-CN"/>
        </w:rPr>
        <w:t>3</w:t>
      </w:r>
      <w:r>
        <w:rPr>
          <w:rFonts w:hint="eastAsia" w:ascii="Times New Roman" w:hAnsi="Times New Roman" w:eastAsia="宋体" w:cs="Times New Roman"/>
          <w:b/>
          <w:bCs/>
          <w:color w:val="auto"/>
          <w:sz w:val="28"/>
          <w:szCs w:val="24"/>
        </w:rPr>
        <w:t xml:space="preserve"> 项目</w:t>
      </w:r>
      <w:r>
        <w:rPr>
          <w:rFonts w:hint="eastAsia" w:ascii="Times New Roman" w:hAnsi="Times New Roman" w:eastAsia="宋体" w:cs="Times New Roman"/>
          <w:b/>
          <w:bCs/>
          <w:color w:val="auto"/>
          <w:sz w:val="28"/>
          <w:szCs w:val="24"/>
          <w:lang w:val="en-US" w:eastAsia="zh-CN"/>
        </w:rPr>
        <w:t>生产车间平面布置图</w:t>
      </w:r>
    </w:p>
    <w:p>
      <w:pPr>
        <w:pStyle w:val="25"/>
        <w:keepNext w:val="0"/>
        <w:keepLines w:val="0"/>
        <w:pageBreakBefore w:val="0"/>
        <w:widowControl/>
        <w:kinsoku/>
        <w:wordWrap/>
        <w:overflowPunct/>
        <w:topLinePunct w:val="0"/>
        <w:autoSpaceDE/>
        <w:autoSpaceDN/>
        <w:bidi w:val="0"/>
        <w:adjustRightInd w:val="0"/>
        <w:snapToGrid w:val="0"/>
        <w:ind w:firstLine="0"/>
        <w:jc w:val="center"/>
        <w:textAlignment w:val="auto"/>
        <w:outlineLvl w:val="9"/>
        <w:rPr>
          <w:rFonts w:hint="eastAsia" w:ascii="Times New Roman" w:hAnsi="Times New Roman" w:eastAsia="宋体" w:cs="Times New Roman"/>
          <w:color w:val="0000FF"/>
          <w:sz w:val="28"/>
          <w:szCs w:val="24"/>
        </w:rPr>
      </w:pPr>
      <w:r>
        <w:rPr>
          <w:rFonts w:hint="eastAsia" w:ascii="Times New Roman" w:hAnsi="Times New Roman" w:eastAsia="宋体" w:cs="Times New Roman"/>
          <w:color w:val="0000FF"/>
          <w:sz w:val="28"/>
          <w:szCs w:val="24"/>
          <w:lang w:val="en-US" w:eastAsia="zh-CN"/>
        </w:rPr>
        <w:drawing>
          <wp:inline distT="0" distB="0" distL="114300" distR="114300">
            <wp:extent cx="7598410" cy="5370195"/>
            <wp:effectExtent l="0" t="0" r="2540" b="1905"/>
            <wp:docPr id="10" name="图片 10" descr="生产车间总平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生产车间总平图"/>
                    <pic:cNvPicPr>
                      <a:picLocks noChangeAspect="1"/>
                    </pic:cNvPicPr>
                  </pic:nvPicPr>
                  <pic:blipFill>
                    <a:blip r:embed="rId17"/>
                    <a:stretch>
                      <a:fillRect/>
                    </a:stretch>
                  </pic:blipFill>
                  <pic:spPr>
                    <a:xfrm>
                      <a:off x="0" y="0"/>
                      <a:ext cx="7598410" cy="5370195"/>
                    </a:xfrm>
                    <a:prstGeom prst="rect">
                      <a:avLst/>
                    </a:prstGeom>
                  </pic:spPr>
                </pic:pic>
              </a:graphicData>
            </a:graphic>
          </wp:inline>
        </w:drawing>
      </w:r>
    </w:p>
    <w:p>
      <w:pPr>
        <w:pStyle w:val="25"/>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ascii="Times New Roman" w:hAnsi="Times New Roman" w:eastAsia="宋体" w:cs="Times New Roman"/>
          <w:b/>
          <w:bCs/>
          <w:color w:val="0000FF"/>
          <w:sz w:val="28"/>
          <w:szCs w:val="24"/>
        </w:rPr>
        <w:sectPr>
          <w:pgSz w:w="16838" w:h="11906" w:orient="landscape"/>
          <w:pgMar w:top="1417" w:right="1440" w:bottom="1440" w:left="1440" w:header="709" w:footer="709" w:gutter="0"/>
          <w:pgBorders>
            <w:top w:val="none" w:sz="0" w:space="0"/>
            <w:left w:val="none" w:sz="0" w:space="0"/>
            <w:bottom w:val="none" w:sz="0" w:space="0"/>
            <w:right w:val="none" w:sz="0" w:space="0"/>
          </w:pgBorders>
          <w:cols w:space="0" w:num="1"/>
          <w:docGrid w:linePitch="312" w:charSpace="0"/>
        </w:sectPr>
      </w:pPr>
    </w:p>
    <w:p>
      <w:pPr>
        <w:pStyle w:val="25"/>
        <w:ind w:firstLine="0"/>
        <w:jc w:val="both"/>
        <w:outlineLvl w:val="1"/>
        <w:rPr>
          <w:rFonts w:hint="eastAsia" w:ascii="Times New Roman" w:hAnsi="Times New Roman" w:eastAsia="宋体" w:cs="Times New Roman"/>
          <w:b/>
          <w:bCs/>
          <w:color w:val="auto"/>
          <w:sz w:val="28"/>
          <w:szCs w:val="24"/>
          <w:lang w:val="en-US" w:eastAsia="zh-CN"/>
        </w:rPr>
      </w:pPr>
      <w:r>
        <w:rPr>
          <w:rFonts w:ascii="Times New Roman" w:hAnsi="Times New Roman" w:eastAsia="宋体" w:cs="Times New Roman"/>
          <w:b/>
          <w:bCs/>
          <w:color w:val="auto"/>
          <w:sz w:val="28"/>
          <w:szCs w:val="24"/>
        </w:rPr>
        <w:t>附件</w:t>
      </w:r>
      <w:r>
        <w:rPr>
          <w:rFonts w:hint="eastAsia" w:ascii="Times New Roman" w:hAnsi="Times New Roman" w:eastAsia="宋体" w:cs="Times New Roman"/>
          <w:b/>
          <w:bCs/>
          <w:color w:val="auto"/>
          <w:sz w:val="28"/>
          <w:szCs w:val="24"/>
          <w:lang w:val="en-US" w:eastAsia="zh-CN"/>
        </w:rPr>
        <w:t>1</w:t>
      </w:r>
      <w:r>
        <w:rPr>
          <w:rFonts w:ascii="Times New Roman" w:hAnsi="Times New Roman" w:eastAsia="宋体" w:cs="Times New Roman"/>
          <w:b/>
          <w:bCs/>
          <w:color w:val="auto"/>
          <w:sz w:val="28"/>
          <w:szCs w:val="24"/>
        </w:rPr>
        <w:t>：</w:t>
      </w:r>
      <w:r>
        <w:rPr>
          <w:rFonts w:hint="eastAsia" w:ascii="Times New Roman" w:hAnsi="Times New Roman" w:eastAsia="宋体" w:cs="Times New Roman"/>
          <w:b/>
          <w:bCs/>
          <w:color w:val="auto"/>
          <w:sz w:val="28"/>
          <w:szCs w:val="24"/>
          <w:lang w:val="en-US" w:eastAsia="zh-CN"/>
        </w:rPr>
        <w:t>环评批复</w:t>
      </w:r>
    </w:p>
    <w:p>
      <w:pPr>
        <w:pStyle w:val="25"/>
        <w:ind w:firstLine="0"/>
        <w:jc w:val="both"/>
        <w:outlineLvl w:val="1"/>
        <w:rPr>
          <w:rFonts w:hint="eastAsia" w:ascii="Times New Roman" w:hAnsi="Times New Roman" w:eastAsia="宋体" w:cs="Times New Roman"/>
          <w:b/>
          <w:bCs/>
          <w:color w:val="0000FF"/>
          <w:sz w:val="28"/>
          <w:szCs w:val="24"/>
          <w:lang w:val="en-US" w:eastAsia="zh-CN"/>
        </w:rPr>
      </w:pPr>
      <w:r>
        <w:rPr>
          <w:color w:val="0000FF"/>
        </w:rPr>
        <w:drawing>
          <wp:inline distT="0" distB="0" distL="114300" distR="114300">
            <wp:extent cx="5678170" cy="7571105"/>
            <wp:effectExtent l="0" t="0" r="17780" b="10795"/>
            <wp:docPr id="6" name="图片 6" descr="报告表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报告表封面"/>
                    <pic:cNvPicPr>
                      <a:picLocks noChangeAspect="1"/>
                    </pic:cNvPicPr>
                  </pic:nvPicPr>
                  <pic:blipFill>
                    <a:blip r:embed="rId18"/>
                    <a:stretch>
                      <a:fillRect/>
                    </a:stretch>
                  </pic:blipFill>
                  <pic:spPr>
                    <a:xfrm>
                      <a:off x="0" y="0"/>
                      <a:ext cx="5678170" cy="7571105"/>
                    </a:xfrm>
                    <a:prstGeom prst="rect">
                      <a:avLst/>
                    </a:prstGeom>
                  </pic:spPr>
                </pic:pic>
              </a:graphicData>
            </a:graphic>
          </wp:inline>
        </w:drawing>
      </w:r>
    </w:p>
    <w:p>
      <w:pPr>
        <w:pStyle w:val="25"/>
        <w:ind w:firstLine="0"/>
        <w:jc w:val="both"/>
        <w:outlineLvl w:val="1"/>
        <w:rPr>
          <w:rFonts w:hint="eastAsia" w:ascii="Times New Roman" w:hAnsi="Times New Roman" w:eastAsia="楷体_GB2312" w:cs="Times New Roman"/>
          <w:b/>
          <w:bCs/>
          <w:color w:val="0000FF"/>
          <w:sz w:val="28"/>
          <w:szCs w:val="24"/>
          <w:lang w:val="en-US" w:eastAsia="zh-CN"/>
        </w:rPr>
      </w:pPr>
      <w:r>
        <w:rPr>
          <w:rFonts w:hint="eastAsia" w:ascii="Times New Roman" w:hAnsi="Times New Roman" w:eastAsia="楷体_GB2312" w:cs="Times New Roman"/>
          <w:b/>
          <w:bCs/>
          <w:color w:val="0000FF"/>
          <w:sz w:val="28"/>
          <w:szCs w:val="24"/>
          <w:lang w:val="en-US" w:eastAsia="zh-CN"/>
        </w:rPr>
        <w:drawing>
          <wp:inline distT="0" distB="0" distL="114300" distR="114300">
            <wp:extent cx="5678170" cy="7571105"/>
            <wp:effectExtent l="0" t="0" r="17780" b="10795"/>
            <wp:docPr id="7" name="图片 7"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批复"/>
                    <pic:cNvPicPr>
                      <a:picLocks noChangeAspect="1"/>
                    </pic:cNvPicPr>
                  </pic:nvPicPr>
                  <pic:blipFill>
                    <a:blip r:embed="rId19"/>
                    <a:stretch>
                      <a:fillRect/>
                    </a:stretch>
                  </pic:blipFill>
                  <pic:spPr>
                    <a:xfrm>
                      <a:off x="0" y="0"/>
                      <a:ext cx="5678170" cy="7571105"/>
                    </a:xfrm>
                    <a:prstGeom prst="rect">
                      <a:avLst/>
                    </a:prstGeom>
                  </pic:spPr>
                </pic:pic>
              </a:graphicData>
            </a:graphic>
          </wp:inline>
        </w:drawing>
      </w:r>
    </w:p>
    <w:p>
      <w:pPr>
        <w:pStyle w:val="25"/>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color w:val="0000FF"/>
          <w:sz w:val="28"/>
          <w:szCs w:val="24"/>
          <w:lang w:val="en-US" w:eastAsia="zh-CN"/>
        </w:rPr>
      </w:pPr>
    </w:p>
    <w:p>
      <w:pPr>
        <w:pStyle w:val="25"/>
        <w:ind w:firstLine="0"/>
        <w:jc w:val="both"/>
        <w:outlineLvl w:val="1"/>
        <w:rPr>
          <w:rFonts w:ascii="Times New Roman" w:hAnsi="Times New Roman" w:eastAsia="宋体" w:cs="Times New Roman"/>
          <w:b/>
          <w:bCs/>
          <w:color w:val="0000FF"/>
          <w:sz w:val="28"/>
          <w:szCs w:val="24"/>
        </w:rPr>
      </w:pPr>
    </w:p>
    <w:p>
      <w:pPr>
        <w:pStyle w:val="25"/>
        <w:ind w:firstLine="0"/>
        <w:jc w:val="both"/>
        <w:outlineLvl w:val="1"/>
        <w:rPr>
          <w:rFonts w:ascii="Times New Roman" w:hAnsi="Times New Roman" w:eastAsia="宋体" w:cs="Times New Roman"/>
          <w:b/>
          <w:bCs/>
          <w:color w:val="0000FF"/>
          <w:sz w:val="28"/>
          <w:szCs w:val="24"/>
        </w:rPr>
      </w:pPr>
    </w:p>
    <w:p>
      <w:pPr>
        <w:pStyle w:val="25"/>
        <w:ind w:firstLine="0"/>
        <w:jc w:val="both"/>
        <w:outlineLvl w:val="1"/>
        <w:rPr>
          <w:rFonts w:ascii="Times New Roman" w:hAnsi="Times New Roman" w:eastAsia="宋体" w:cs="Times New Roman"/>
          <w:b/>
          <w:bCs/>
          <w:color w:val="0000FF"/>
          <w:sz w:val="28"/>
          <w:szCs w:val="24"/>
        </w:rPr>
      </w:pPr>
    </w:p>
    <w:p>
      <w:pPr>
        <w:pStyle w:val="25"/>
        <w:ind w:firstLine="0"/>
        <w:jc w:val="both"/>
        <w:outlineLvl w:val="1"/>
        <w:rPr>
          <w:rFonts w:hint="eastAsia" w:ascii="Times New Roman" w:hAnsi="Times New Roman" w:eastAsia="宋体" w:cs="Times New Roman"/>
          <w:b/>
          <w:bCs/>
          <w:color w:val="auto"/>
          <w:sz w:val="28"/>
          <w:szCs w:val="24"/>
          <w:lang w:val="en-US" w:eastAsia="zh-CN"/>
        </w:rPr>
      </w:pPr>
      <w:r>
        <w:rPr>
          <w:rFonts w:ascii="Times New Roman" w:hAnsi="Times New Roman" w:eastAsia="宋体" w:cs="Times New Roman"/>
          <w:b/>
          <w:bCs/>
          <w:color w:val="auto"/>
          <w:sz w:val="28"/>
          <w:szCs w:val="24"/>
        </w:rPr>
        <w:t>附件</w:t>
      </w:r>
      <w:r>
        <w:rPr>
          <w:rFonts w:hint="eastAsia" w:ascii="Times New Roman" w:hAnsi="Times New Roman" w:eastAsia="宋体" w:cs="Times New Roman"/>
          <w:b/>
          <w:bCs/>
          <w:color w:val="auto"/>
          <w:sz w:val="28"/>
          <w:szCs w:val="24"/>
          <w:lang w:val="en-US" w:eastAsia="zh-CN"/>
        </w:rPr>
        <w:t>2</w:t>
      </w:r>
      <w:r>
        <w:rPr>
          <w:rFonts w:ascii="Times New Roman" w:hAnsi="Times New Roman" w:eastAsia="宋体" w:cs="Times New Roman"/>
          <w:b/>
          <w:bCs/>
          <w:color w:val="auto"/>
          <w:sz w:val="28"/>
          <w:szCs w:val="24"/>
        </w:rPr>
        <w:t>：</w:t>
      </w:r>
      <w:r>
        <w:rPr>
          <w:rFonts w:hint="eastAsia" w:ascii="Times New Roman" w:hAnsi="Times New Roman" w:eastAsia="宋体" w:cs="Times New Roman"/>
          <w:b/>
          <w:bCs/>
          <w:color w:val="auto"/>
          <w:sz w:val="28"/>
          <w:szCs w:val="24"/>
          <w:lang w:val="en-US" w:eastAsia="zh-CN"/>
        </w:rPr>
        <w:t>环评变更证明</w:t>
      </w:r>
    </w:p>
    <w:p>
      <w:pPr>
        <w:pStyle w:val="25"/>
        <w:keepNext w:val="0"/>
        <w:keepLines w:val="0"/>
        <w:pageBreakBefore w:val="0"/>
        <w:widowControl/>
        <w:kinsoku/>
        <w:wordWrap/>
        <w:overflowPunct/>
        <w:topLinePunct w:val="0"/>
        <w:autoSpaceDE/>
        <w:autoSpaceDN/>
        <w:bidi w:val="0"/>
        <w:adjustRightInd w:val="0"/>
        <w:snapToGrid w:val="0"/>
        <w:ind w:firstLine="0"/>
        <w:jc w:val="both"/>
        <w:textAlignment w:val="auto"/>
        <w:outlineLvl w:val="9"/>
        <w:rPr>
          <w:rFonts w:hint="eastAsia" w:ascii="Times New Roman" w:hAnsi="Times New Roman" w:eastAsia="宋体" w:cs="Times New Roman"/>
          <w:color w:val="0000FF"/>
          <w:sz w:val="28"/>
          <w:szCs w:val="24"/>
          <w:lang w:val="en-US" w:eastAsia="zh-CN"/>
        </w:rPr>
      </w:pPr>
      <w:r>
        <w:rPr>
          <w:rFonts w:hint="eastAsia" w:ascii="Times New Roman" w:hAnsi="Times New Roman" w:eastAsia="宋体" w:cs="Times New Roman"/>
          <w:color w:val="0000FF"/>
          <w:sz w:val="28"/>
          <w:szCs w:val="24"/>
          <w:lang w:val="en-US" w:eastAsia="zh-CN"/>
        </w:rPr>
        <w:drawing>
          <wp:inline distT="0" distB="0" distL="114300" distR="114300">
            <wp:extent cx="4834890" cy="7347585"/>
            <wp:effectExtent l="0" t="0" r="3810" b="5715"/>
            <wp:docPr id="8" name="图片 8" descr="变更环评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变更环评证明"/>
                    <pic:cNvPicPr>
                      <a:picLocks noChangeAspect="1"/>
                    </pic:cNvPicPr>
                  </pic:nvPicPr>
                  <pic:blipFill>
                    <a:blip r:embed="rId20"/>
                    <a:srcRect t="5541" b="8976"/>
                    <a:stretch>
                      <a:fillRect/>
                    </a:stretch>
                  </pic:blipFill>
                  <pic:spPr>
                    <a:xfrm>
                      <a:off x="0" y="0"/>
                      <a:ext cx="4834890" cy="7347585"/>
                    </a:xfrm>
                    <a:prstGeom prst="rect">
                      <a:avLst/>
                    </a:prstGeom>
                  </pic:spPr>
                </pic:pic>
              </a:graphicData>
            </a:graphic>
          </wp:inline>
        </w:drawing>
      </w:r>
    </w:p>
    <w:p>
      <w:pPr>
        <w:pStyle w:val="2"/>
        <w:rPr>
          <w:rFonts w:ascii="Times New Roman" w:hAnsi="Times New Roman" w:eastAsia="宋体" w:cs="Times New Roman"/>
          <w:b/>
          <w:bCs/>
          <w:color w:val="0000FF"/>
          <w:sz w:val="28"/>
          <w:szCs w:val="24"/>
          <w:lang w:val="en-US" w:eastAsia="zh-CN" w:bidi="ar-SA"/>
        </w:rPr>
      </w:pPr>
    </w:p>
    <w:p>
      <w:pPr>
        <w:pStyle w:val="2"/>
        <w:rPr>
          <w:rFonts w:hint="default" w:ascii="Times New Roman" w:hAnsi="Times New Roman" w:eastAsia="宋体" w:cs="Times New Roman"/>
          <w:color w:val="0000FF"/>
          <w:lang w:eastAsia="zh-CN"/>
        </w:rPr>
      </w:pPr>
    </w:p>
    <w:p>
      <w:pPr>
        <w:pStyle w:val="2"/>
        <w:rPr>
          <w:rFonts w:hint="default" w:ascii="Times New Roman" w:hAnsi="Times New Roman" w:eastAsia="宋体" w:cs="Times New Roman"/>
          <w:color w:val="0000FF"/>
          <w:lang w:eastAsia="zh-CN"/>
        </w:rPr>
      </w:pPr>
    </w:p>
    <w:p>
      <w:pPr>
        <w:pStyle w:val="3"/>
        <w:rPr>
          <w:rFonts w:hint="default" w:ascii="Times New Roman" w:hAnsi="Times New Roman" w:cs="Times New Roman"/>
          <w:color w:val="0000FF"/>
          <w:lang w:val="en-US" w:eastAsia="zh-CN"/>
        </w:rPr>
      </w:pPr>
    </w:p>
    <w:p>
      <w:pPr>
        <w:rPr>
          <w:rFonts w:ascii="Times New Roman" w:hAnsi="Times New Roman" w:eastAsia="宋体" w:cs="Times New Roman"/>
          <w:b/>
          <w:bCs/>
          <w:color w:val="0000FF"/>
          <w:sz w:val="28"/>
          <w:szCs w:val="24"/>
          <w:lang w:val="en-US" w:eastAsia="zh-CN" w:bidi="ar-SA"/>
        </w:rPr>
      </w:pPr>
    </w:p>
    <w:p>
      <w:pPr>
        <w:rPr>
          <w:rFonts w:hint="eastAsia"/>
          <w:color w:val="auto"/>
          <w:lang w:val="en-US" w:eastAsia="zh-CN"/>
        </w:rPr>
      </w:pPr>
      <w:r>
        <w:rPr>
          <w:rFonts w:ascii="Times New Roman" w:hAnsi="Times New Roman" w:eastAsia="宋体" w:cs="Times New Roman"/>
          <w:b/>
          <w:bCs/>
          <w:color w:val="auto"/>
          <w:sz w:val="28"/>
          <w:szCs w:val="24"/>
          <w:lang w:val="en-US" w:eastAsia="zh-CN" w:bidi="ar-SA"/>
        </w:rPr>
        <w:t>附件</w:t>
      </w:r>
      <w:r>
        <w:rPr>
          <w:rFonts w:hint="eastAsia" w:ascii="Times New Roman" w:hAnsi="Times New Roman" w:eastAsia="宋体" w:cs="Times New Roman"/>
          <w:b/>
          <w:bCs/>
          <w:color w:val="auto"/>
          <w:sz w:val="28"/>
          <w:szCs w:val="24"/>
          <w:lang w:val="en-US" w:eastAsia="zh-CN" w:bidi="ar-SA"/>
        </w:rPr>
        <w:t>3</w:t>
      </w:r>
      <w:r>
        <w:rPr>
          <w:rFonts w:ascii="Times New Roman" w:hAnsi="Times New Roman" w:eastAsia="宋体" w:cs="Times New Roman"/>
          <w:b/>
          <w:bCs/>
          <w:color w:val="auto"/>
          <w:sz w:val="28"/>
          <w:szCs w:val="24"/>
          <w:lang w:val="en-US" w:eastAsia="zh-CN" w:bidi="ar-SA"/>
        </w:rPr>
        <w:t>：</w:t>
      </w:r>
      <w:r>
        <w:rPr>
          <w:rFonts w:hint="eastAsia" w:ascii="Times New Roman" w:hAnsi="Times New Roman" w:eastAsia="宋体" w:cs="Times New Roman"/>
          <w:b/>
          <w:bCs/>
          <w:color w:val="auto"/>
          <w:sz w:val="28"/>
          <w:szCs w:val="24"/>
          <w:lang w:val="en-US" w:eastAsia="zh-CN" w:bidi="ar-SA"/>
        </w:rPr>
        <w:t xml:space="preserve">排污许可证 </w:t>
      </w:r>
    </w:p>
    <w:p>
      <w:pPr>
        <w:rPr>
          <w:rFonts w:ascii="Times New Roman" w:hAnsi="Times New Roman" w:eastAsia="宋体" w:cs="Times New Roman"/>
          <w:b/>
          <w:bCs/>
          <w:color w:val="auto"/>
          <w:sz w:val="28"/>
          <w:szCs w:val="24"/>
          <w:lang w:val="en-US" w:eastAsia="zh-CN" w:bidi="ar-SA"/>
        </w:rPr>
      </w:pPr>
      <w:r>
        <w:rPr>
          <w:rFonts w:ascii="Times New Roman" w:hAnsi="Times New Roman" w:eastAsia="宋体" w:cs="Times New Roman"/>
          <w:b/>
          <w:bCs/>
          <w:color w:val="auto"/>
          <w:sz w:val="28"/>
          <w:szCs w:val="24"/>
          <w:lang w:val="en-US" w:eastAsia="zh-CN" w:bidi="ar-SA"/>
        </w:rPr>
        <w:drawing>
          <wp:inline distT="0" distB="0" distL="114300" distR="114300">
            <wp:extent cx="8182610" cy="5594350"/>
            <wp:effectExtent l="0" t="0" r="6350" b="8890"/>
            <wp:docPr id="1" name="图片 1" descr="7d5c38144a4727e0d414fa1c2319f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d5c38144a4727e0d414fa1c2319f88"/>
                    <pic:cNvPicPr>
                      <a:picLocks noChangeAspect="1"/>
                    </pic:cNvPicPr>
                  </pic:nvPicPr>
                  <pic:blipFill>
                    <a:blip r:embed="rId21"/>
                    <a:stretch>
                      <a:fillRect/>
                    </a:stretch>
                  </pic:blipFill>
                  <pic:spPr>
                    <a:xfrm rot="16200000">
                      <a:off x="0" y="0"/>
                      <a:ext cx="8182610" cy="5594350"/>
                    </a:xfrm>
                    <a:prstGeom prst="rect">
                      <a:avLst/>
                    </a:prstGeom>
                  </pic:spPr>
                </pic:pic>
              </a:graphicData>
            </a:graphic>
          </wp:inline>
        </w:drawing>
      </w:r>
    </w:p>
    <w:p>
      <w:pPr>
        <w:rPr>
          <w:rFonts w:hint="eastAsia"/>
          <w:lang w:val="en-US" w:eastAsia="zh-CN"/>
        </w:rPr>
      </w:pPr>
      <w:r>
        <w:rPr>
          <w:rFonts w:ascii="Times New Roman" w:hAnsi="Times New Roman" w:eastAsia="宋体" w:cs="Times New Roman"/>
          <w:b/>
          <w:bCs/>
          <w:color w:val="auto"/>
          <w:sz w:val="28"/>
          <w:szCs w:val="24"/>
          <w:lang w:val="en-US" w:eastAsia="zh-CN" w:bidi="ar-SA"/>
        </w:rPr>
        <w:t>附件</w:t>
      </w:r>
      <w:r>
        <w:rPr>
          <w:rFonts w:hint="eastAsia" w:ascii="Times New Roman" w:hAnsi="Times New Roman" w:eastAsia="宋体" w:cs="Times New Roman"/>
          <w:b/>
          <w:bCs/>
          <w:color w:val="auto"/>
          <w:sz w:val="28"/>
          <w:szCs w:val="24"/>
          <w:lang w:val="en-US" w:eastAsia="zh-CN" w:bidi="ar-SA"/>
        </w:rPr>
        <w:t>4</w:t>
      </w:r>
      <w:r>
        <w:rPr>
          <w:rFonts w:ascii="Times New Roman" w:hAnsi="Times New Roman" w:eastAsia="宋体" w:cs="Times New Roman"/>
          <w:b/>
          <w:bCs/>
          <w:color w:val="auto"/>
          <w:sz w:val="28"/>
          <w:szCs w:val="24"/>
          <w:lang w:val="en-US" w:eastAsia="zh-CN" w:bidi="ar-SA"/>
        </w:rPr>
        <w:t>：</w:t>
      </w:r>
      <w:r>
        <w:rPr>
          <w:rFonts w:hint="eastAsia" w:ascii="Times New Roman" w:hAnsi="Times New Roman" w:eastAsia="宋体" w:cs="Times New Roman"/>
          <w:b/>
          <w:bCs/>
          <w:color w:val="auto"/>
          <w:sz w:val="28"/>
          <w:szCs w:val="24"/>
          <w:lang w:val="en-US" w:eastAsia="zh-CN" w:bidi="ar-SA"/>
        </w:rPr>
        <w:t xml:space="preserve">检测报告 </w:t>
      </w:r>
      <w:r>
        <w:rPr>
          <w:rFonts w:hint="eastAsia"/>
          <w:lang w:val="en-US" w:eastAsia="zh-CN"/>
        </w:rPr>
        <w:drawing>
          <wp:inline distT="0" distB="0" distL="114300" distR="114300">
            <wp:extent cx="5681980" cy="8031480"/>
            <wp:effectExtent l="0" t="0" r="13970" b="7620"/>
            <wp:docPr id="27" name="图片 27" descr="扫描件HX2021090201福建省皇牌食品有限公司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扫描件HX2021090201福建省皇牌食品有限公司0000"/>
                    <pic:cNvPicPr>
                      <a:picLocks noChangeAspect="1"/>
                    </pic:cNvPicPr>
                  </pic:nvPicPr>
                  <pic:blipFill>
                    <a:blip r:embed="rId22"/>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6" name="图片 26" descr="扫描件HX2021090201福建省皇牌食品有限公司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扫描件HX2021090201福建省皇牌食品有限公司0001"/>
                    <pic:cNvPicPr>
                      <a:picLocks noChangeAspect="1"/>
                    </pic:cNvPicPr>
                  </pic:nvPicPr>
                  <pic:blipFill>
                    <a:blip r:embed="rId23"/>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5" name="图片 25" descr="扫描件HX2021090201福建省皇牌食品有限公司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扫描件HX2021090201福建省皇牌食品有限公司0002"/>
                    <pic:cNvPicPr>
                      <a:picLocks noChangeAspect="1"/>
                    </pic:cNvPicPr>
                  </pic:nvPicPr>
                  <pic:blipFill>
                    <a:blip r:embed="rId24"/>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4" name="图片 24" descr="扫描件HX2021090201福建省皇牌食品有限公司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扫描件HX2021090201福建省皇牌食品有限公司0003"/>
                    <pic:cNvPicPr>
                      <a:picLocks noChangeAspect="1"/>
                    </pic:cNvPicPr>
                  </pic:nvPicPr>
                  <pic:blipFill>
                    <a:blip r:embed="rId25"/>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3" name="图片 23" descr="扫描件HX2021090201福建省皇牌食品有限公司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扫描件HX2021090201福建省皇牌食品有限公司0004"/>
                    <pic:cNvPicPr>
                      <a:picLocks noChangeAspect="1"/>
                    </pic:cNvPicPr>
                  </pic:nvPicPr>
                  <pic:blipFill>
                    <a:blip r:embed="rId26"/>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2" name="图片 22" descr="扫描件HX2021090201福建省皇牌食品有限公司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扫描件HX2021090201福建省皇牌食品有限公司0005"/>
                    <pic:cNvPicPr>
                      <a:picLocks noChangeAspect="1"/>
                    </pic:cNvPicPr>
                  </pic:nvPicPr>
                  <pic:blipFill>
                    <a:blip r:embed="rId27"/>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1" name="图片 21" descr="扫描件HX2021090201福建省皇牌食品有限公司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扫描件HX2021090201福建省皇牌食品有限公司0006"/>
                    <pic:cNvPicPr>
                      <a:picLocks noChangeAspect="1"/>
                    </pic:cNvPicPr>
                  </pic:nvPicPr>
                  <pic:blipFill>
                    <a:blip r:embed="rId28"/>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20" name="图片 20" descr="扫描件HX2021090201福建省皇牌食品有限公司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件HX2021090201福建省皇牌食品有限公司0007"/>
                    <pic:cNvPicPr>
                      <a:picLocks noChangeAspect="1"/>
                    </pic:cNvPicPr>
                  </pic:nvPicPr>
                  <pic:blipFill>
                    <a:blip r:embed="rId29"/>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19" name="图片 19" descr="扫描件HX2021090201福建省皇牌食品有限公司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扫描件HX2021090201福建省皇牌食品有限公司0008"/>
                    <pic:cNvPicPr>
                      <a:picLocks noChangeAspect="1"/>
                    </pic:cNvPicPr>
                  </pic:nvPicPr>
                  <pic:blipFill>
                    <a:blip r:embed="rId30"/>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18" name="图片 18" descr="扫描件HX2021090201福建省皇牌食品有限公司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扫描件HX2021090201福建省皇牌食品有限公司0009"/>
                    <pic:cNvPicPr>
                      <a:picLocks noChangeAspect="1"/>
                    </pic:cNvPicPr>
                  </pic:nvPicPr>
                  <pic:blipFill>
                    <a:blip r:embed="rId31"/>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17" name="图片 17" descr="扫描件HX2021090201福建省皇牌食品有限公司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扫描件HX2021090201福建省皇牌食品有限公司0010"/>
                    <pic:cNvPicPr>
                      <a:picLocks noChangeAspect="1"/>
                    </pic:cNvPicPr>
                  </pic:nvPicPr>
                  <pic:blipFill>
                    <a:blip r:embed="rId32"/>
                    <a:stretch>
                      <a:fillRect/>
                    </a:stretch>
                  </pic:blipFill>
                  <pic:spPr>
                    <a:xfrm>
                      <a:off x="0" y="0"/>
                      <a:ext cx="5681980" cy="8031480"/>
                    </a:xfrm>
                    <a:prstGeom prst="rect">
                      <a:avLst/>
                    </a:prstGeom>
                  </pic:spPr>
                </pic:pic>
              </a:graphicData>
            </a:graphic>
          </wp:inline>
        </w:drawing>
      </w:r>
      <w:r>
        <w:rPr>
          <w:rFonts w:hint="eastAsia"/>
          <w:lang w:val="en-US" w:eastAsia="zh-CN"/>
        </w:rPr>
        <w:drawing>
          <wp:inline distT="0" distB="0" distL="114300" distR="114300">
            <wp:extent cx="5681980" cy="8031480"/>
            <wp:effectExtent l="0" t="0" r="13970" b="7620"/>
            <wp:docPr id="16" name="图片 16" descr="扫描件HX2021090201福建省皇牌食品有限公司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扫描件HX2021090201福建省皇牌食品有限公司0011"/>
                    <pic:cNvPicPr>
                      <a:picLocks noChangeAspect="1"/>
                    </pic:cNvPicPr>
                  </pic:nvPicPr>
                  <pic:blipFill>
                    <a:blip r:embed="rId33"/>
                    <a:stretch>
                      <a:fillRect/>
                    </a:stretch>
                  </pic:blipFill>
                  <pic:spPr>
                    <a:xfrm>
                      <a:off x="0" y="0"/>
                      <a:ext cx="5681980" cy="8031480"/>
                    </a:xfrm>
                    <a:prstGeom prst="rect">
                      <a:avLst/>
                    </a:prstGeom>
                  </pic:spPr>
                </pic:pic>
              </a:graphicData>
            </a:graphic>
          </wp:inline>
        </w:drawing>
      </w:r>
    </w:p>
    <w:sectPr>
      <w:headerReference r:id="rId8" w:type="default"/>
      <w:footerReference r:id="rId9" w:type="default"/>
      <w:pgSz w:w="11906" w:h="16838"/>
      <w:pgMar w:top="1587" w:right="1474" w:bottom="1712" w:left="1474" w:header="851" w:footer="992"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He3i9w5AgAAcAQAAA4AAAAAAAAAAQAgAAAAHwEAAGRycy9lMm9Eb2Mu&#10;eG1sUEsFBgAAAAAGAAYAWQEAAMo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iElI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HohJSOgIAAHEEAAAOAAAAAAAAAAEAIAAAAB8BAABkcnMvZTJvRG9j&#10;LnhtbFBLBQYAAAAABgAGAFkBAADL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342837"/>
      <w:docPartObj>
        <w:docPartGallery w:val="autotext"/>
      </w:docPartObj>
    </w:sdtPr>
    <w:sdtContent>
      <w:p>
        <w:pPr>
          <w:pStyle w:val="18"/>
          <w:jc w:val="center"/>
        </w:pPr>
        <w:r>
          <w:fldChar w:fldCharType="begin"/>
        </w:r>
        <w:r>
          <w:instrText xml:space="preserve"> PAGE   \* MERGEFORMAT </w:instrText>
        </w:r>
        <w:r>
          <w:fldChar w:fldCharType="separate"/>
        </w:r>
        <w:r>
          <w:rPr>
            <w:lang w:val="zh-CN"/>
          </w:rPr>
          <w:t>33</w:t>
        </w:r>
        <w:r>
          <w:rPr>
            <w:lang w:val="zh-CN"/>
          </w:rPr>
          <w:fldChar w:fldCharType="end"/>
        </w:r>
      </w:p>
    </w:sdtContent>
  </w:sdt>
  <w:p>
    <w:pPr>
      <w:pStyle w:val="1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after="0" w:afterLines="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jc w:val="left"/>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19"/>
                      <w:rPr>
                        <w:rFonts w:hint="eastAsia" w:eastAsia="宋体"/>
                        <w:lang w:eastAsia="zh-CN"/>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845EA4"/>
    <w:multiLevelType w:val="singleLevel"/>
    <w:tmpl w:val="A2845EA4"/>
    <w:lvl w:ilvl="0" w:tentative="0">
      <w:start w:val="1"/>
      <w:numFmt w:val="decimal"/>
      <w:suff w:val="nothing"/>
      <w:lvlText w:val="%1、"/>
      <w:lvlJc w:val="left"/>
    </w:lvl>
  </w:abstractNum>
  <w:abstractNum w:abstractNumId="1">
    <w:nsid w:val="B9669A6D"/>
    <w:multiLevelType w:val="singleLevel"/>
    <w:tmpl w:val="B9669A6D"/>
    <w:lvl w:ilvl="0" w:tentative="0">
      <w:start w:val="1"/>
      <w:numFmt w:val="decimal"/>
      <w:suff w:val="nothing"/>
      <w:lvlText w:val="（%1）"/>
      <w:lvlJc w:val="left"/>
    </w:lvl>
  </w:abstractNum>
  <w:abstractNum w:abstractNumId="2">
    <w:nsid w:val="116C1DD2"/>
    <w:multiLevelType w:val="multilevel"/>
    <w:tmpl w:val="116C1DD2"/>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3AFA98C7"/>
    <w:multiLevelType w:val="singleLevel"/>
    <w:tmpl w:val="3AFA98C7"/>
    <w:lvl w:ilvl="0" w:tentative="0">
      <w:start w:val="7"/>
      <w:numFmt w:val="decimal"/>
      <w:suff w:val="nothing"/>
      <w:lvlText w:val="%1、"/>
      <w:lvlJc w:val="left"/>
    </w:lvl>
  </w:abstractNum>
  <w:abstractNum w:abstractNumId="4">
    <w:nsid w:val="68804528"/>
    <w:multiLevelType w:val="singleLevel"/>
    <w:tmpl w:val="68804528"/>
    <w:lvl w:ilvl="0" w:tentative="0">
      <w:start w:val="1"/>
      <w:numFmt w:val="decimal"/>
      <w:suff w:val="nothing"/>
      <w:lvlText w:val="%1、"/>
      <w:lvlJc w:val="left"/>
    </w:lvl>
  </w:abstractNum>
  <w:num w:numId="1">
    <w:abstractNumId w:val="4"/>
  </w:num>
  <w:num w:numId="2">
    <w:abstractNumId w:val="3"/>
  </w:num>
  <w:num w:numId="3">
    <w:abstractNumId w:val="0"/>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1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B850C29"/>
    <w:rsid w:val="0000664E"/>
    <w:rsid w:val="00007B6D"/>
    <w:rsid w:val="000170F7"/>
    <w:rsid w:val="0002074F"/>
    <w:rsid w:val="00073298"/>
    <w:rsid w:val="000772E1"/>
    <w:rsid w:val="00084AF3"/>
    <w:rsid w:val="00122075"/>
    <w:rsid w:val="00122D18"/>
    <w:rsid w:val="001255F1"/>
    <w:rsid w:val="0013602C"/>
    <w:rsid w:val="00137A69"/>
    <w:rsid w:val="00143F5B"/>
    <w:rsid w:val="00182248"/>
    <w:rsid w:val="001846F3"/>
    <w:rsid w:val="001A39E2"/>
    <w:rsid w:val="001A4108"/>
    <w:rsid w:val="0021183F"/>
    <w:rsid w:val="002405CE"/>
    <w:rsid w:val="0024323C"/>
    <w:rsid w:val="00244857"/>
    <w:rsid w:val="00275400"/>
    <w:rsid w:val="002B46EF"/>
    <w:rsid w:val="002C1CB2"/>
    <w:rsid w:val="002E6A92"/>
    <w:rsid w:val="002F72ED"/>
    <w:rsid w:val="003046FF"/>
    <w:rsid w:val="00333893"/>
    <w:rsid w:val="00335560"/>
    <w:rsid w:val="00365893"/>
    <w:rsid w:val="003A6233"/>
    <w:rsid w:val="003C05F8"/>
    <w:rsid w:val="003C0E58"/>
    <w:rsid w:val="003C27A7"/>
    <w:rsid w:val="003C613D"/>
    <w:rsid w:val="003D63F6"/>
    <w:rsid w:val="00400ED9"/>
    <w:rsid w:val="004056D1"/>
    <w:rsid w:val="004120DE"/>
    <w:rsid w:val="00414DD7"/>
    <w:rsid w:val="00423B34"/>
    <w:rsid w:val="00456AD7"/>
    <w:rsid w:val="004B7A4E"/>
    <w:rsid w:val="004C40EC"/>
    <w:rsid w:val="004D6F31"/>
    <w:rsid w:val="004F76C0"/>
    <w:rsid w:val="00502735"/>
    <w:rsid w:val="00507E2D"/>
    <w:rsid w:val="00511197"/>
    <w:rsid w:val="0052103A"/>
    <w:rsid w:val="00533FDA"/>
    <w:rsid w:val="005839D7"/>
    <w:rsid w:val="0059023A"/>
    <w:rsid w:val="00596B9E"/>
    <w:rsid w:val="005C734B"/>
    <w:rsid w:val="005D120E"/>
    <w:rsid w:val="005F53BF"/>
    <w:rsid w:val="00606883"/>
    <w:rsid w:val="006176E5"/>
    <w:rsid w:val="006230C1"/>
    <w:rsid w:val="006247C8"/>
    <w:rsid w:val="00625732"/>
    <w:rsid w:val="00634D69"/>
    <w:rsid w:val="00655A0D"/>
    <w:rsid w:val="0068079D"/>
    <w:rsid w:val="00693390"/>
    <w:rsid w:val="006A6EFD"/>
    <w:rsid w:val="006B0CFE"/>
    <w:rsid w:val="006D6F3B"/>
    <w:rsid w:val="00703BD4"/>
    <w:rsid w:val="00705AFD"/>
    <w:rsid w:val="00726981"/>
    <w:rsid w:val="007276CA"/>
    <w:rsid w:val="00731732"/>
    <w:rsid w:val="00776D02"/>
    <w:rsid w:val="00795431"/>
    <w:rsid w:val="007B4F1B"/>
    <w:rsid w:val="007B4FE2"/>
    <w:rsid w:val="007F1D7D"/>
    <w:rsid w:val="007F742E"/>
    <w:rsid w:val="0080473F"/>
    <w:rsid w:val="008103A3"/>
    <w:rsid w:val="00812235"/>
    <w:rsid w:val="00820918"/>
    <w:rsid w:val="00822E69"/>
    <w:rsid w:val="008271EE"/>
    <w:rsid w:val="00827AEA"/>
    <w:rsid w:val="0084371B"/>
    <w:rsid w:val="00867BDE"/>
    <w:rsid w:val="00870741"/>
    <w:rsid w:val="008717A8"/>
    <w:rsid w:val="00880CB8"/>
    <w:rsid w:val="008A04D2"/>
    <w:rsid w:val="008D27CB"/>
    <w:rsid w:val="008D3252"/>
    <w:rsid w:val="008E0FFA"/>
    <w:rsid w:val="008E3AD1"/>
    <w:rsid w:val="008F7495"/>
    <w:rsid w:val="00902C93"/>
    <w:rsid w:val="00913646"/>
    <w:rsid w:val="009317D1"/>
    <w:rsid w:val="00946E55"/>
    <w:rsid w:val="0096714E"/>
    <w:rsid w:val="0097365A"/>
    <w:rsid w:val="00981994"/>
    <w:rsid w:val="009B732C"/>
    <w:rsid w:val="009D19F6"/>
    <w:rsid w:val="009D2A8B"/>
    <w:rsid w:val="009F0F48"/>
    <w:rsid w:val="00A04D14"/>
    <w:rsid w:val="00A20350"/>
    <w:rsid w:val="00A21CB6"/>
    <w:rsid w:val="00A43A32"/>
    <w:rsid w:val="00A47D75"/>
    <w:rsid w:val="00A64FB7"/>
    <w:rsid w:val="00A6593F"/>
    <w:rsid w:val="00A7219D"/>
    <w:rsid w:val="00A815CC"/>
    <w:rsid w:val="00AA1F43"/>
    <w:rsid w:val="00AA7A19"/>
    <w:rsid w:val="00AE3743"/>
    <w:rsid w:val="00AF589D"/>
    <w:rsid w:val="00B02CF4"/>
    <w:rsid w:val="00B50557"/>
    <w:rsid w:val="00B569AE"/>
    <w:rsid w:val="00B6043D"/>
    <w:rsid w:val="00B81143"/>
    <w:rsid w:val="00B87950"/>
    <w:rsid w:val="00BA29EA"/>
    <w:rsid w:val="00BD50A9"/>
    <w:rsid w:val="00BE3AC6"/>
    <w:rsid w:val="00C313C9"/>
    <w:rsid w:val="00C72774"/>
    <w:rsid w:val="00CA778C"/>
    <w:rsid w:val="00CB0D76"/>
    <w:rsid w:val="00CB431F"/>
    <w:rsid w:val="00CF240E"/>
    <w:rsid w:val="00D25CA4"/>
    <w:rsid w:val="00D3491B"/>
    <w:rsid w:val="00D60A9D"/>
    <w:rsid w:val="00DB4C43"/>
    <w:rsid w:val="00DB4EE0"/>
    <w:rsid w:val="00DC74A7"/>
    <w:rsid w:val="00DD5DB0"/>
    <w:rsid w:val="00DF2BCA"/>
    <w:rsid w:val="00DF7BCA"/>
    <w:rsid w:val="00E31175"/>
    <w:rsid w:val="00E34923"/>
    <w:rsid w:val="00E53EB7"/>
    <w:rsid w:val="00E7715D"/>
    <w:rsid w:val="00E82F34"/>
    <w:rsid w:val="00E86B61"/>
    <w:rsid w:val="00E91068"/>
    <w:rsid w:val="00EA122A"/>
    <w:rsid w:val="00EB1CB6"/>
    <w:rsid w:val="00EB33D5"/>
    <w:rsid w:val="00EC10CB"/>
    <w:rsid w:val="00EC22D1"/>
    <w:rsid w:val="00ED6A64"/>
    <w:rsid w:val="00F4033E"/>
    <w:rsid w:val="00F41B56"/>
    <w:rsid w:val="00F46D54"/>
    <w:rsid w:val="00FB4461"/>
    <w:rsid w:val="00FD4162"/>
    <w:rsid w:val="00FD44A1"/>
    <w:rsid w:val="00FF73D9"/>
    <w:rsid w:val="01074046"/>
    <w:rsid w:val="01087146"/>
    <w:rsid w:val="01320A89"/>
    <w:rsid w:val="013D14D4"/>
    <w:rsid w:val="013F4762"/>
    <w:rsid w:val="014F62A2"/>
    <w:rsid w:val="01555D36"/>
    <w:rsid w:val="01564A0B"/>
    <w:rsid w:val="01571B3E"/>
    <w:rsid w:val="015B57CD"/>
    <w:rsid w:val="015C039B"/>
    <w:rsid w:val="015D0B69"/>
    <w:rsid w:val="0161232D"/>
    <w:rsid w:val="0162669E"/>
    <w:rsid w:val="01731009"/>
    <w:rsid w:val="01755B07"/>
    <w:rsid w:val="01785925"/>
    <w:rsid w:val="017C1861"/>
    <w:rsid w:val="01814DD7"/>
    <w:rsid w:val="01855D40"/>
    <w:rsid w:val="01874589"/>
    <w:rsid w:val="018F15B1"/>
    <w:rsid w:val="019330E1"/>
    <w:rsid w:val="019A26F4"/>
    <w:rsid w:val="01A76B9F"/>
    <w:rsid w:val="01AA6E84"/>
    <w:rsid w:val="01B3283C"/>
    <w:rsid w:val="01B55669"/>
    <w:rsid w:val="01BB651F"/>
    <w:rsid w:val="01C77ACE"/>
    <w:rsid w:val="01CB14EB"/>
    <w:rsid w:val="01CE06EA"/>
    <w:rsid w:val="01D504F3"/>
    <w:rsid w:val="01E02CC3"/>
    <w:rsid w:val="01EE2233"/>
    <w:rsid w:val="020A6725"/>
    <w:rsid w:val="020B5247"/>
    <w:rsid w:val="02117A13"/>
    <w:rsid w:val="02175600"/>
    <w:rsid w:val="02201996"/>
    <w:rsid w:val="02215178"/>
    <w:rsid w:val="022B1076"/>
    <w:rsid w:val="02336432"/>
    <w:rsid w:val="023A0ACB"/>
    <w:rsid w:val="023F7854"/>
    <w:rsid w:val="02444CD5"/>
    <w:rsid w:val="024D3B57"/>
    <w:rsid w:val="02543B8E"/>
    <w:rsid w:val="02571FB0"/>
    <w:rsid w:val="0276779B"/>
    <w:rsid w:val="02774426"/>
    <w:rsid w:val="027D39E1"/>
    <w:rsid w:val="02847DB9"/>
    <w:rsid w:val="028B1BD6"/>
    <w:rsid w:val="029C681D"/>
    <w:rsid w:val="02B36B56"/>
    <w:rsid w:val="02BB49CE"/>
    <w:rsid w:val="02C9587A"/>
    <w:rsid w:val="02DB343C"/>
    <w:rsid w:val="02DD20FE"/>
    <w:rsid w:val="02E318C8"/>
    <w:rsid w:val="02E75AF7"/>
    <w:rsid w:val="02E9438C"/>
    <w:rsid w:val="02E94D2D"/>
    <w:rsid w:val="02F726C6"/>
    <w:rsid w:val="030339CF"/>
    <w:rsid w:val="03063938"/>
    <w:rsid w:val="030D661A"/>
    <w:rsid w:val="03107520"/>
    <w:rsid w:val="031D6D1E"/>
    <w:rsid w:val="031E29D7"/>
    <w:rsid w:val="032343D2"/>
    <w:rsid w:val="03236089"/>
    <w:rsid w:val="032D73EC"/>
    <w:rsid w:val="033D1FC5"/>
    <w:rsid w:val="03441AEB"/>
    <w:rsid w:val="03483054"/>
    <w:rsid w:val="03531B2E"/>
    <w:rsid w:val="03665FE4"/>
    <w:rsid w:val="036D76E4"/>
    <w:rsid w:val="037263D9"/>
    <w:rsid w:val="03742523"/>
    <w:rsid w:val="0376595C"/>
    <w:rsid w:val="03815C3A"/>
    <w:rsid w:val="038559E0"/>
    <w:rsid w:val="03A21089"/>
    <w:rsid w:val="03AE7610"/>
    <w:rsid w:val="03B10EB7"/>
    <w:rsid w:val="03B22722"/>
    <w:rsid w:val="03CF5C14"/>
    <w:rsid w:val="03D07326"/>
    <w:rsid w:val="03DC235A"/>
    <w:rsid w:val="03DF073B"/>
    <w:rsid w:val="03E0331E"/>
    <w:rsid w:val="03E26B34"/>
    <w:rsid w:val="03E463D3"/>
    <w:rsid w:val="03EA4A92"/>
    <w:rsid w:val="03EF1C97"/>
    <w:rsid w:val="0409154E"/>
    <w:rsid w:val="040D15EA"/>
    <w:rsid w:val="041202D3"/>
    <w:rsid w:val="041B7AA1"/>
    <w:rsid w:val="042C6938"/>
    <w:rsid w:val="04313574"/>
    <w:rsid w:val="043F724A"/>
    <w:rsid w:val="04434073"/>
    <w:rsid w:val="045D5E10"/>
    <w:rsid w:val="04747836"/>
    <w:rsid w:val="0478104E"/>
    <w:rsid w:val="04883E48"/>
    <w:rsid w:val="04884804"/>
    <w:rsid w:val="0491352B"/>
    <w:rsid w:val="0496529C"/>
    <w:rsid w:val="049C7734"/>
    <w:rsid w:val="049F249A"/>
    <w:rsid w:val="04A86BEE"/>
    <w:rsid w:val="04B35BE8"/>
    <w:rsid w:val="04BE0FEF"/>
    <w:rsid w:val="04C84A7D"/>
    <w:rsid w:val="04CE76E4"/>
    <w:rsid w:val="04D3141D"/>
    <w:rsid w:val="04E9332F"/>
    <w:rsid w:val="04F26F4E"/>
    <w:rsid w:val="05002400"/>
    <w:rsid w:val="05091489"/>
    <w:rsid w:val="050A32C4"/>
    <w:rsid w:val="051A341F"/>
    <w:rsid w:val="052147EF"/>
    <w:rsid w:val="05362AF7"/>
    <w:rsid w:val="05432981"/>
    <w:rsid w:val="05513968"/>
    <w:rsid w:val="0560382E"/>
    <w:rsid w:val="056636DB"/>
    <w:rsid w:val="05681A75"/>
    <w:rsid w:val="056D0811"/>
    <w:rsid w:val="05752390"/>
    <w:rsid w:val="05871DC9"/>
    <w:rsid w:val="058C6389"/>
    <w:rsid w:val="05925DF6"/>
    <w:rsid w:val="05A35D37"/>
    <w:rsid w:val="05A40B04"/>
    <w:rsid w:val="05AB6CBE"/>
    <w:rsid w:val="05B35541"/>
    <w:rsid w:val="05B97FF5"/>
    <w:rsid w:val="05BD097D"/>
    <w:rsid w:val="05C10E79"/>
    <w:rsid w:val="05C33333"/>
    <w:rsid w:val="05CB7C34"/>
    <w:rsid w:val="05D05B48"/>
    <w:rsid w:val="05D07F44"/>
    <w:rsid w:val="05D45FEB"/>
    <w:rsid w:val="05DD7822"/>
    <w:rsid w:val="05E5128D"/>
    <w:rsid w:val="05F05F3C"/>
    <w:rsid w:val="05F33DE3"/>
    <w:rsid w:val="05F5438C"/>
    <w:rsid w:val="05FB0B46"/>
    <w:rsid w:val="05FD2716"/>
    <w:rsid w:val="06023097"/>
    <w:rsid w:val="0604537E"/>
    <w:rsid w:val="06101C8C"/>
    <w:rsid w:val="062B60C2"/>
    <w:rsid w:val="06326A2D"/>
    <w:rsid w:val="06396A33"/>
    <w:rsid w:val="06413FA8"/>
    <w:rsid w:val="064B7704"/>
    <w:rsid w:val="06507805"/>
    <w:rsid w:val="06575936"/>
    <w:rsid w:val="06602BB4"/>
    <w:rsid w:val="06637207"/>
    <w:rsid w:val="066C1959"/>
    <w:rsid w:val="067B719C"/>
    <w:rsid w:val="06807BE4"/>
    <w:rsid w:val="06820453"/>
    <w:rsid w:val="068948CD"/>
    <w:rsid w:val="06932FF7"/>
    <w:rsid w:val="06A341A7"/>
    <w:rsid w:val="06A82F5B"/>
    <w:rsid w:val="06B75333"/>
    <w:rsid w:val="06C1338D"/>
    <w:rsid w:val="06C34A90"/>
    <w:rsid w:val="06D44F60"/>
    <w:rsid w:val="06E86867"/>
    <w:rsid w:val="06EF4912"/>
    <w:rsid w:val="06F92C5D"/>
    <w:rsid w:val="06FD211F"/>
    <w:rsid w:val="070047B4"/>
    <w:rsid w:val="070159FE"/>
    <w:rsid w:val="07052346"/>
    <w:rsid w:val="070839E5"/>
    <w:rsid w:val="070D4194"/>
    <w:rsid w:val="07106B48"/>
    <w:rsid w:val="071A4A25"/>
    <w:rsid w:val="071F425E"/>
    <w:rsid w:val="07335F45"/>
    <w:rsid w:val="07386A5E"/>
    <w:rsid w:val="073B41FD"/>
    <w:rsid w:val="074D22D5"/>
    <w:rsid w:val="07545637"/>
    <w:rsid w:val="075D175E"/>
    <w:rsid w:val="0760459B"/>
    <w:rsid w:val="07650044"/>
    <w:rsid w:val="07787161"/>
    <w:rsid w:val="077A7B8A"/>
    <w:rsid w:val="07A028AF"/>
    <w:rsid w:val="07A1446C"/>
    <w:rsid w:val="07A40B28"/>
    <w:rsid w:val="07A502F4"/>
    <w:rsid w:val="07AA4CD9"/>
    <w:rsid w:val="07B60698"/>
    <w:rsid w:val="07BC43A4"/>
    <w:rsid w:val="07BC729D"/>
    <w:rsid w:val="07C90E80"/>
    <w:rsid w:val="07D22F1A"/>
    <w:rsid w:val="07D608D5"/>
    <w:rsid w:val="07D87287"/>
    <w:rsid w:val="07DC5FAA"/>
    <w:rsid w:val="07E37B1C"/>
    <w:rsid w:val="07E509E1"/>
    <w:rsid w:val="07EE390E"/>
    <w:rsid w:val="07F0031C"/>
    <w:rsid w:val="08101BD2"/>
    <w:rsid w:val="082D6213"/>
    <w:rsid w:val="082E414A"/>
    <w:rsid w:val="08342D07"/>
    <w:rsid w:val="0834513C"/>
    <w:rsid w:val="08483D46"/>
    <w:rsid w:val="08491145"/>
    <w:rsid w:val="08596130"/>
    <w:rsid w:val="086134C4"/>
    <w:rsid w:val="08686183"/>
    <w:rsid w:val="086C4F68"/>
    <w:rsid w:val="08831B75"/>
    <w:rsid w:val="088D0831"/>
    <w:rsid w:val="08A211FF"/>
    <w:rsid w:val="08A510FD"/>
    <w:rsid w:val="08A623AF"/>
    <w:rsid w:val="08AC7940"/>
    <w:rsid w:val="08AD335A"/>
    <w:rsid w:val="08B6623B"/>
    <w:rsid w:val="08B662E7"/>
    <w:rsid w:val="08C30554"/>
    <w:rsid w:val="08D36930"/>
    <w:rsid w:val="08E33990"/>
    <w:rsid w:val="08E94ECE"/>
    <w:rsid w:val="08EA1524"/>
    <w:rsid w:val="08FB3880"/>
    <w:rsid w:val="0901439C"/>
    <w:rsid w:val="09065566"/>
    <w:rsid w:val="090B2DF9"/>
    <w:rsid w:val="090C053C"/>
    <w:rsid w:val="090E7C9B"/>
    <w:rsid w:val="091468DD"/>
    <w:rsid w:val="093375BB"/>
    <w:rsid w:val="09385D4D"/>
    <w:rsid w:val="094F58AB"/>
    <w:rsid w:val="094F5C49"/>
    <w:rsid w:val="095A0746"/>
    <w:rsid w:val="096E2CA3"/>
    <w:rsid w:val="097C41BE"/>
    <w:rsid w:val="098477C5"/>
    <w:rsid w:val="09882276"/>
    <w:rsid w:val="09886F8A"/>
    <w:rsid w:val="098B7D00"/>
    <w:rsid w:val="09927ABB"/>
    <w:rsid w:val="09962F02"/>
    <w:rsid w:val="09987EDA"/>
    <w:rsid w:val="09B25955"/>
    <w:rsid w:val="09B62172"/>
    <w:rsid w:val="09B66121"/>
    <w:rsid w:val="09BF31F9"/>
    <w:rsid w:val="09C7288A"/>
    <w:rsid w:val="09CC00F6"/>
    <w:rsid w:val="09D32AA4"/>
    <w:rsid w:val="09D427C0"/>
    <w:rsid w:val="09DC4DF0"/>
    <w:rsid w:val="09E22E5A"/>
    <w:rsid w:val="09EA3420"/>
    <w:rsid w:val="09EA7403"/>
    <w:rsid w:val="09F01221"/>
    <w:rsid w:val="09F064E7"/>
    <w:rsid w:val="09F64B8F"/>
    <w:rsid w:val="0A183BDE"/>
    <w:rsid w:val="0A207B1F"/>
    <w:rsid w:val="0A2723E4"/>
    <w:rsid w:val="0A2A36C4"/>
    <w:rsid w:val="0A2E5D2E"/>
    <w:rsid w:val="0A555046"/>
    <w:rsid w:val="0A590531"/>
    <w:rsid w:val="0A5C6E0F"/>
    <w:rsid w:val="0A796CC5"/>
    <w:rsid w:val="0A7D181C"/>
    <w:rsid w:val="0A827AF5"/>
    <w:rsid w:val="0A841A62"/>
    <w:rsid w:val="0A844B06"/>
    <w:rsid w:val="0A857D39"/>
    <w:rsid w:val="0A885898"/>
    <w:rsid w:val="0A8D64ED"/>
    <w:rsid w:val="0A8D7DFD"/>
    <w:rsid w:val="0A903042"/>
    <w:rsid w:val="0A917864"/>
    <w:rsid w:val="0AA01447"/>
    <w:rsid w:val="0AA71C88"/>
    <w:rsid w:val="0AA95240"/>
    <w:rsid w:val="0AAE031A"/>
    <w:rsid w:val="0ABA440B"/>
    <w:rsid w:val="0ABF7418"/>
    <w:rsid w:val="0ACB0662"/>
    <w:rsid w:val="0AD140C6"/>
    <w:rsid w:val="0AD36DC9"/>
    <w:rsid w:val="0AE1709D"/>
    <w:rsid w:val="0AEF1CA4"/>
    <w:rsid w:val="0AF62D76"/>
    <w:rsid w:val="0AFC4F93"/>
    <w:rsid w:val="0AFC7A29"/>
    <w:rsid w:val="0B000355"/>
    <w:rsid w:val="0B032D8A"/>
    <w:rsid w:val="0B0A635E"/>
    <w:rsid w:val="0B103B47"/>
    <w:rsid w:val="0B2064B2"/>
    <w:rsid w:val="0B2D4768"/>
    <w:rsid w:val="0B3558A5"/>
    <w:rsid w:val="0B385C98"/>
    <w:rsid w:val="0B3B3643"/>
    <w:rsid w:val="0B426D02"/>
    <w:rsid w:val="0B483DAF"/>
    <w:rsid w:val="0B4A77EA"/>
    <w:rsid w:val="0B4B547D"/>
    <w:rsid w:val="0B4F1AAF"/>
    <w:rsid w:val="0B505CD8"/>
    <w:rsid w:val="0B5B7DD1"/>
    <w:rsid w:val="0B5D4EE0"/>
    <w:rsid w:val="0B63435B"/>
    <w:rsid w:val="0B8A7168"/>
    <w:rsid w:val="0B8B10C0"/>
    <w:rsid w:val="0B99666A"/>
    <w:rsid w:val="0B997CAF"/>
    <w:rsid w:val="0B9E62C4"/>
    <w:rsid w:val="0BA13491"/>
    <w:rsid w:val="0BA51239"/>
    <w:rsid w:val="0BA645D0"/>
    <w:rsid w:val="0BBD1B43"/>
    <w:rsid w:val="0BC466F4"/>
    <w:rsid w:val="0BC631B1"/>
    <w:rsid w:val="0BC726AE"/>
    <w:rsid w:val="0BCC24DE"/>
    <w:rsid w:val="0BD27054"/>
    <w:rsid w:val="0BD45DB0"/>
    <w:rsid w:val="0BE175FA"/>
    <w:rsid w:val="0C2B34D5"/>
    <w:rsid w:val="0C346CC5"/>
    <w:rsid w:val="0C3D07BF"/>
    <w:rsid w:val="0C4613F7"/>
    <w:rsid w:val="0C5251EE"/>
    <w:rsid w:val="0C5974B7"/>
    <w:rsid w:val="0C5E192C"/>
    <w:rsid w:val="0C7505D5"/>
    <w:rsid w:val="0C7722F9"/>
    <w:rsid w:val="0C810D74"/>
    <w:rsid w:val="0C8223AA"/>
    <w:rsid w:val="0C825A90"/>
    <w:rsid w:val="0C87620F"/>
    <w:rsid w:val="0C8B1CB3"/>
    <w:rsid w:val="0C8C7FCB"/>
    <w:rsid w:val="0C8F7B18"/>
    <w:rsid w:val="0C9F555A"/>
    <w:rsid w:val="0CA347A7"/>
    <w:rsid w:val="0CB030D0"/>
    <w:rsid w:val="0CBD2E10"/>
    <w:rsid w:val="0CBD7D37"/>
    <w:rsid w:val="0CBE6AA1"/>
    <w:rsid w:val="0CCA4B07"/>
    <w:rsid w:val="0CCF5AA7"/>
    <w:rsid w:val="0CD20F22"/>
    <w:rsid w:val="0CD42BF0"/>
    <w:rsid w:val="0CD574E2"/>
    <w:rsid w:val="0CD635DC"/>
    <w:rsid w:val="0CE1113C"/>
    <w:rsid w:val="0D042796"/>
    <w:rsid w:val="0D1666C2"/>
    <w:rsid w:val="0D2F145E"/>
    <w:rsid w:val="0D3201BB"/>
    <w:rsid w:val="0D3471C2"/>
    <w:rsid w:val="0D446F88"/>
    <w:rsid w:val="0D6C0F92"/>
    <w:rsid w:val="0D862E26"/>
    <w:rsid w:val="0D871BC2"/>
    <w:rsid w:val="0D8F2357"/>
    <w:rsid w:val="0D9A621B"/>
    <w:rsid w:val="0DA16BA8"/>
    <w:rsid w:val="0DA65670"/>
    <w:rsid w:val="0DA77083"/>
    <w:rsid w:val="0DB11C19"/>
    <w:rsid w:val="0DC652DC"/>
    <w:rsid w:val="0DCA2163"/>
    <w:rsid w:val="0DCC33D9"/>
    <w:rsid w:val="0DD07926"/>
    <w:rsid w:val="0DDB0847"/>
    <w:rsid w:val="0DDC7116"/>
    <w:rsid w:val="0DF3401C"/>
    <w:rsid w:val="0DF5249E"/>
    <w:rsid w:val="0DFF1CA5"/>
    <w:rsid w:val="0E1A6B31"/>
    <w:rsid w:val="0E2461F6"/>
    <w:rsid w:val="0E2A3D70"/>
    <w:rsid w:val="0E3A01FA"/>
    <w:rsid w:val="0E3C19C8"/>
    <w:rsid w:val="0E4404B2"/>
    <w:rsid w:val="0E4410A5"/>
    <w:rsid w:val="0E4970D4"/>
    <w:rsid w:val="0E4B613E"/>
    <w:rsid w:val="0E4C3E08"/>
    <w:rsid w:val="0E543543"/>
    <w:rsid w:val="0E553BAF"/>
    <w:rsid w:val="0E6377E1"/>
    <w:rsid w:val="0E761B6C"/>
    <w:rsid w:val="0E773ABB"/>
    <w:rsid w:val="0E7F3F63"/>
    <w:rsid w:val="0E8807BD"/>
    <w:rsid w:val="0E9B4995"/>
    <w:rsid w:val="0E9D4EFB"/>
    <w:rsid w:val="0EAD5805"/>
    <w:rsid w:val="0EBF4221"/>
    <w:rsid w:val="0EC1568B"/>
    <w:rsid w:val="0EC20938"/>
    <w:rsid w:val="0ED9617E"/>
    <w:rsid w:val="0EE11F36"/>
    <w:rsid w:val="0EE42959"/>
    <w:rsid w:val="0EEA1BC7"/>
    <w:rsid w:val="0EFD2849"/>
    <w:rsid w:val="0F0668CA"/>
    <w:rsid w:val="0F0D7B3F"/>
    <w:rsid w:val="0F2E7F18"/>
    <w:rsid w:val="0F31112A"/>
    <w:rsid w:val="0F3B4855"/>
    <w:rsid w:val="0F4126ED"/>
    <w:rsid w:val="0F4328C8"/>
    <w:rsid w:val="0F500AB0"/>
    <w:rsid w:val="0F524416"/>
    <w:rsid w:val="0F5C78A9"/>
    <w:rsid w:val="0F5D3222"/>
    <w:rsid w:val="0F5D59BD"/>
    <w:rsid w:val="0F6147A0"/>
    <w:rsid w:val="0F6436AB"/>
    <w:rsid w:val="0F76004A"/>
    <w:rsid w:val="0F761DF7"/>
    <w:rsid w:val="0F7F46C4"/>
    <w:rsid w:val="0F815185"/>
    <w:rsid w:val="0F8D109F"/>
    <w:rsid w:val="0F8F2578"/>
    <w:rsid w:val="0F945149"/>
    <w:rsid w:val="0FA56FC7"/>
    <w:rsid w:val="0FA96E6B"/>
    <w:rsid w:val="0FAD3053"/>
    <w:rsid w:val="0FAF00BC"/>
    <w:rsid w:val="0FB6376E"/>
    <w:rsid w:val="0FBA4E83"/>
    <w:rsid w:val="0FBC73ED"/>
    <w:rsid w:val="0FBF07D3"/>
    <w:rsid w:val="0FC54EE6"/>
    <w:rsid w:val="0FD609C1"/>
    <w:rsid w:val="0FE2665E"/>
    <w:rsid w:val="0FF6328B"/>
    <w:rsid w:val="10052627"/>
    <w:rsid w:val="100C3E07"/>
    <w:rsid w:val="1017171F"/>
    <w:rsid w:val="101B4FC5"/>
    <w:rsid w:val="10206FB0"/>
    <w:rsid w:val="10230B93"/>
    <w:rsid w:val="10333EDE"/>
    <w:rsid w:val="103831C6"/>
    <w:rsid w:val="103E4562"/>
    <w:rsid w:val="10404158"/>
    <w:rsid w:val="10524AF7"/>
    <w:rsid w:val="10667BFA"/>
    <w:rsid w:val="106F19C5"/>
    <w:rsid w:val="10820F19"/>
    <w:rsid w:val="108A4404"/>
    <w:rsid w:val="108A7C66"/>
    <w:rsid w:val="109A0CC1"/>
    <w:rsid w:val="10A136B9"/>
    <w:rsid w:val="10A42E2D"/>
    <w:rsid w:val="10A44B24"/>
    <w:rsid w:val="10A565D2"/>
    <w:rsid w:val="10AF51E5"/>
    <w:rsid w:val="10B142B8"/>
    <w:rsid w:val="10B42F83"/>
    <w:rsid w:val="10BA6E1A"/>
    <w:rsid w:val="10C2430D"/>
    <w:rsid w:val="10C462FA"/>
    <w:rsid w:val="10C6414F"/>
    <w:rsid w:val="10C90ACF"/>
    <w:rsid w:val="10CA3BDC"/>
    <w:rsid w:val="10CC3260"/>
    <w:rsid w:val="10CF3E89"/>
    <w:rsid w:val="10D51C8E"/>
    <w:rsid w:val="10D805D5"/>
    <w:rsid w:val="10E84C83"/>
    <w:rsid w:val="10F918EB"/>
    <w:rsid w:val="111B28C2"/>
    <w:rsid w:val="112003A1"/>
    <w:rsid w:val="11293937"/>
    <w:rsid w:val="113822C9"/>
    <w:rsid w:val="11413EB7"/>
    <w:rsid w:val="1146686D"/>
    <w:rsid w:val="114F1313"/>
    <w:rsid w:val="11565CBD"/>
    <w:rsid w:val="11637FF6"/>
    <w:rsid w:val="11706D7A"/>
    <w:rsid w:val="11706ED2"/>
    <w:rsid w:val="117307F9"/>
    <w:rsid w:val="11796DD7"/>
    <w:rsid w:val="117B2EF3"/>
    <w:rsid w:val="118A79F7"/>
    <w:rsid w:val="1192561D"/>
    <w:rsid w:val="11941056"/>
    <w:rsid w:val="119909C8"/>
    <w:rsid w:val="119B2E2E"/>
    <w:rsid w:val="119D4013"/>
    <w:rsid w:val="11A23BF6"/>
    <w:rsid w:val="11A6066D"/>
    <w:rsid w:val="11A87179"/>
    <w:rsid w:val="11AB4549"/>
    <w:rsid w:val="11AE7D52"/>
    <w:rsid w:val="11B52839"/>
    <w:rsid w:val="11CA4CC1"/>
    <w:rsid w:val="11D67F5D"/>
    <w:rsid w:val="11D75F2A"/>
    <w:rsid w:val="11DD0499"/>
    <w:rsid w:val="11DD31D1"/>
    <w:rsid w:val="11E42EA6"/>
    <w:rsid w:val="11F41772"/>
    <w:rsid w:val="12046B3C"/>
    <w:rsid w:val="1208336E"/>
    <w:rsid w:val="1220793A"/>
    <w:rsid w:val="12211262"/>
    <w:rsid w:val="122C3702"/>
    <w:rsid w:val="122E55DD"/>
    <w:rsid w:val="12334A21"/>
    <w:rsid w:val="123D3805"/>
    <w:rsid w:val="12412EA7"/>
    <w:rsid w:val="126D039E"/>
    <w:rsid w:val="127508B0"/>
    <w:rsid w:val="1285444F"/>
    <w:rsid w:val="12854E8E"/>
    <w:rsid w:val="12AF2AF5"/>
    <w:rsid w:val="12C32643"/>
    <w:rsid w:val="12C60065"/>
    <w:rsid w:val="12C752F2"/>
    <w:rsid w:val="12DA0E63"/>
    <w:rsid w:val="12DD0117"/>
    <w:rsid w:val="12DD4D68"/>
    <w:rsid w:val="12DE4FDF"/>
    <w:rsid w:val="12F04D11"/>
    <w:rsid w:val="12F176F2"/>
    <w:rsid w:val="12F56A98"/>
    <w:rsid w:val="12F862BA"/>
    <w:rsid w:val="130200A8"/>
    <w:rsid w:val="130A7E0F"/>
    <w:rsid w:val="130F4894"/>
    <w:rsid w:val="13141E2E"/>
    <w:rsid w:val="13171052"/>
    <w:rsid w:val="131B17A3"/>
    <w:rsid w:val="131E6CBD"/>
    <w:rsid w:val="132179C8"/>
    <w:rsid w:val="13220DA4"/>
    <w:rsid w:val="132E25B7"/>
    <w:rsid w:val="133875FC"/>
    <w:rsid w:val="133935F6"/>
    <w:rsid w:val="13394607"/>
    <w:rsid w:val="133C1B34"/>
    <w:rsid w:val="133F7E3E"/>
    <w:rsid w:val="134A6FA1"/>
    <w:rsid w:val="135855BA"/>
    <w:rsid w:val="13636863"/>
    <w:rsid w:val="137148E6"/>
    <w:rsid w:val="13926C8F"/>
    <w:rsid w:val="139460E2"/>
    <w:rsid w:val="139C0911"/>
    <w:rsid w:val="13A34909"/>
    <w:rsid w:val="13B26B58"/>
    <w:rsid w:val="13BF68B0"/>
    <w:rsid w:val="13C2059E"/>
    <w:rsid w:val="13C82342"/>
    <w:rsid w:val="13CB2A15"/>
    <w:rsid w:val="13D171C9"/>
    <w:rsid w:val="13D34164"/>
    <w:rsid w:val="13E928B9"/>
    <w:rsid w:val="13EA53CB"/>
    <w:rsid w:val="13F8578D"/>
    <w:rsid w:val="14023E93"/>
    <w:rsid w:val="140305DD"/>
    <w:rsid w:val="140D4CC3"/>
    <w:rsid w:val="141334FE"/>
    <w:rsid w:val="141603FF"/>
    <w:rsid w:val="14196037"/>
    <w:rsid w:val="141A1890"/>
    <w:rsid w:val="141E7A5A"/>
    <w:rsid w:val="1428784E"/>
    <w:rsid w:val="142F4A58"/>
    <w:rsid w:val="14311C32"/>
    <w:rsid w:val="143343BC"/>
    <w:rsid w:val="143B3F94"/>
    <w:rsid w:val="143E155D"/>
    <w:rsid w:val="14434081"/>
    <w:rsid w:val="14524FEA"/>
    <w:rsid w:val="14537D60"/>
    <w:rsid w:val="145F55A0"/>
    <w:rsid w:val="146A2630"/>
    <w:rsid w:val="146D09C8"/>
    <w:rsid w:val="14753CCA"/>
    <w:rsid w:val="14785993"/>
    <w:rsid w:val="147E7D46"/>
    <w:rsid w:val="1485728F"/>
    <w:rsid w:val="14874CB2"/>
    <w:rsid w:val="14B27947"/>
    <w:rsid w:val="14BE4E9D"/>
    <w:rsid w:val="14C11702"/>
    <w:rsid w:val="14C967EE"/>
    <w:rsid w:val="14DD0CB2"/>
    <w:rsid w:val="14E32182"/>
    <w:rsid w:val="14E46859"/>
    <w:rsid w:val="14E5108F"/>
    <w:rsid w:val="14E56D7F"/>
    <w:rsid w:val="14FC6299"/>
    <w:rsid w:val="15092CE2"/>
    <w:rsid w:val="15146B8D"/>
    <w:rsid w:val="151A266A"/>
    <w:rsid w:val="151E3928"/>
    <w:rsid w:val="15270A82"/>
    <w:rsid w:val="153348AC"/>
    <w:rsid w:val="153649F6"/>
    <w:rsid w:val="154926B6"/>
    <w:rsid w:val="155D7538"/>
    <w:rsid w:val="15602622"/>
    <w:rsid w:val="15882251"/>
    <w:rsid w:val="158C79C7"/>
    <w:rsid w:val="159F0ADB"/>
    <w:rsid w:val="15A27F8D"/>
    <w:rsid w:val="15A7329A"/>
    <w:rsid w:val="15B02087"/>
    <w:rsid w:val="15BC1A66"/>
    <w:rsid w:val="15C20B7F"/>
    <w:rsid w:val="15C63674"/>
    <w:rsid w:val="15C7162A"/>
    <w:rsid w:val="15C71BAE"/>
    <w:rsid w:val="15D62F35"/>
    <w:rsid w:val="15E31513"/>
    <w:rsid w:val="15E33711"/>
    <w:rsid w:val="15E74810"/>
    <w:rsid w:val="16026D80"/>
    <w:rsid w:val="16094054"/>
    <w:rsid w:val="160B72AB"/>
    <w:rsid w:val="160F4D63"/>
    <w:rsid w:val="1611364A"/>
    <w:rsid w:val="16214B8C"/>
    <w:rsid w:val="162504D3"/>
    <w:rsid w:val="163A210E"/>
    <w:rsid w:val="163A71FB"/>
    <w:rsid w:val="163F3A39"/>
    <w:rsid w:val="164C3FF0"/>
    <w:rsid w:val="165E3EAB"/>
    <w:rsid w:val="165E551D"/>
    <w:rsid w:val="16720795"/>
    <w:rsid w:val="16757DC4"/>
    <w:rsid w:val="167B13A6"/>
    <w:rsid w:val="167F56C3"/>
    <w:rsid w:val="16A72652"/>
    <w:rsid w:val="16A77DCA"/>
    <w:rsid w:val="16AF43BD"/>
    <w:rsid w:val="16B24BC7"/>
    <w:rsid w:val="16B34234"/>
    <w:rsid w:val="16D34240"/>
    <w:rsid w:val="16E16A86"/>
    <w:rsid w:val="16E91EEF"/>
    <w:rsid w:val="16F76675"/>
    <w:rsid w:val="1702673E"/>
    <w:rsid w:val="170764AD"/>
    <w:rsid w:val="1712743B"/>
    <w:rsid w:val="17146B43"/>
    <w:rsid w:val="17317359"/>
    <w:rsid w:val="17334AF3"/>
    <w:rsid w:val="1734260A"/>
    <w:rsid w:val="17373E74"/>
    <w:rsid w:val="17407BE4"/>
    <w:rsid w:val="17471E3D"/>
    <w:rsid w:val="1749489B"/>
    <w:rsid w:val="17566A11"/>
    <w:rsid w:val="17671511"/>
    <w:rsid w:val="176A1936"/>
    <w:rsid w:val="176D08D2"/>
    <w:rsid w:val="176D1612"/>
    <w:rsid w:val="176E29FA"/>
    <w:rsid w:val="177D7B9E"/>
    <w:rsid w:val="178A3401"/>
    <w:rsid w:val="17914411"/>
    <w:rsid w:val="17A35554"/>
    <w:rsid w:val="17A4371E"/>
    <w:rsid w:val="17A804B8"/>
    <w:rsid w:val="17B71F43"/>
    <w:rsid w:val="17BB1EE3"/>
    <w:rsid w:val="17BB244C"/>
    <w:rsid w:val="17C17CA8"/>
    <w:rsid w:val="17C95459"/>
    <w:rsid w:val="17DA0856"/>
    <w:rsid w:val="17E7529B"/>
    <w:rsid w:val="17F21008"/>
    <w:rsid w:val="17F61C55"/>
    <w:rsid w:val="17F70B81"/>
    <w:rsid w:val="17F75769"/>
    <w:rsid w:val="17F91DD3"/>
    <w:rsid w:val="17FE294B"/>
    <w:rsid w:val="17FF78E9"/>
    <w:rsid w:val="18082A99"/>
    <w:rsid w:val="180947FD"/>
    <w:rsid w:val="18115A0E"/>
    <w:rsid w:val="181236E7"/>
    <w:rsid w:val="182A6AA0"/>
    <w:rsid w:val="182C22CC"/>
    <w:rsid w:val="182E1F2D"/>
    <w:rsid w:val="182F2F78"/>
    <w:rsid w:val="183C3E93"/>
    <w:rsid w:val="183C63FF"/>
    <w:rsid w:val="183E1116"/>
    <w:rsid w:val="18413D8A"/>
    <w:rsid w:val="186E6F89"/>
    <w:rsid w:val="187A0FAC"/>
    <w:rsid w:val="18923E81"/>
    <w:rsid w:val="189268DB"/>
    <w:rsid w:val="189370B5"/>
    <w:rsid w:val="18965EA0"/>
    <w:rsid w:val="189E21A5"/>
    <w:rsid w:val="18A075EC"/>
    <w:rsid w:val="18A36151"/>
    <w:rsid w:val="18BD5D2C"/>
    <w:rsid w:val="18C21A9E"/>
    <w:rsid w:val="18CC3E05"/>
    <w:rsid w:val="18CE0FAF"/>
    <w:rsid w:val="18ED2160"/>
    <w:rsid w:val="18EE3749"/>
    <w:rsid w:val="18F676BF"/>
    <w:rsid w:val="19150E17"/>
    <w:rsid w:val="19161247"/>
    <w:rsid w:val="19241126"/>
    <w:rsid w:val="19267E02"/>
    <w:rsid w:val="19332501"/>
    <w:rsid w:val="19444F26"/>
    <w:rsid w:val="19514EAD"/>
    <w:rsid w:val="19584FD4"/>
    <w:rsid w:val="195B1ABE"/>
    <w:rsid w:val="195C1080"/>
    <w:rsid w:val="195D28C8"/>
    <w:rsid w:val="19664670"/>
    <w:rsid w:val="19716B5F"/>
    <w:rsid w:val="197431A8"/>
    <w:rsid w:val="19747000"/>
    <w:rsid w:val="19761130"/>
    <w:rsid w:val="198C6BA3"/>
    <w:rsid w:val="19904CDA"/>
    <w:rsid w:val="19944212"/>
    <w:rsid w:val="19A848CE"/>
    <w:rsid w:val="19AA00F1"/>
    <w:rsid w:val="19B625BD"/>
    <w:rsid w:val="19BF38D3"/>
    <w:rsid w:val="19BF43BA"/>
    <w:rsid w:val="19C84559"/>
    <w:rsid w:val="19DA3D6E"/>
    <w:rsid w:val="19DE543D"/>
    <w:rsid w:val="19E26A19"/>
    <w:rsid w:val="19ED508F"/>
    <w:rsid w:val="19F51DAE"/>
    <w:rsid w:val="19F809AC"/>
    <w:rsid w:val="1A05381A"/>
    <w:rsid w:val="1A061BAE"/>
    <w:rsid w:val="1A1A1755"/>
    <w:rsid w:val="1A3B7251"/>
    <w:rsid w:val="1A3D459F"/>
    <w:rsid w:val="1A3F0085"/>
    <w:rsid w:val="1A481648"/>
    <w:rsid w:val="1A493DA2"/>
    <w:rsid w:val="1A566B3C"/>
    <w:rsid w:val="1A691311"/>
    <w:rsid w:val="1A7515F6"/>
    <w:rsid w:val="1A7E6681"/>
    <w:rsid w:val="1A934F6D"/>
    <w:rsid w:val="1A9A2DD4"/>
    <w:rsid w:val="1AA5105E"/>
    <w:rsid w:val="1AB43B0E"/>
    <w:rsid w:val="1ABC52F8"/>
    <w:rsid w:val="1AD450BF"/>
    <w:rsid w:val="1AD67472"/>
    <w:rsid w:val="1AEE3DBC"/>
    <w:rsid w:val="1AF172F9"/>
    <w:rsid w:val="1AF77E4C"/>
    <w:rsid w:val="1AFA5DD3"/>
    <w:rsid w:val="1B31066B"/>
    <w:rsid w:val="1B35192F"/>
    <w:rsid w:val="1B425636"/>
    <w:rsid w:val="1B516820"/>
    <w:rsid w:val="1B5C685A"/>
    <w:rsid w:val="1B5F55F8"/>
    <w:rsid w:val="1B6400DD"/>
    <w:rsid w:val="1B6C3AA8"/>
    <w:rsid w:val="1B6C451D"/>
    <w:rsid w:val="1B6C67DE"/>
    <w:rsid w:val="1B8026BE"/>
    <w:rsid w:val="1B812BD5"/>
    <w:rsid w:val="1B8C246C"/>
    <w:rsid w:val="1B957A34"/>
    <w:rsid w:val="1BA416A0"/>
    <w:rsid w:val="1BA94243"/>
    <w:rsid w:val="1BAA7B74"/>
    <w:rsid w:val="1BB22F8B"/>
    <w:rsid w:val="1BB40836"/>
    <w:rsid w:val="1BCA3F84"/>
    <w:rsid w:val="1BCB7A49"/>
    <w:rsid w:val="1BD86F30"/>
    <w:rsid w:val="1BE423FA"/>
    <w:rsid w:val="1BE524A7"/>
    <w:rsid w:val="1BE6349F"/>
    <w:rsid w:val="1BEF5590"/>
    <w:rsid w:val="1BF04858"/>
    <w:rsid w:val="1BF751E6"/>
    <w:rsid w:val="1BF91DDE"/>
    <w:rsid w:val="1BFC07A9"/>
    <w:rsid w:val="1C072B57"/>
    <w:rsid w:val="1C0C4E7B"/>
    <w:rsid w:val="1C0E6A48"/>
    <w:rsid w:val="1C131BC5"/>
    <w:rsid w:val="1C170433"/>
    <w:rsid w:val="1C1B065B"/>
    <w:rsid w:val="1C2B6512"/>
    <w:rsid w:val="1C35225B"/>
    <w:rsid w:val="1C384E1C"/>
    <w:rsid w:val="1C3A55A5"/>
    <w:rsid w:val="1C4A573D"/>
    <w:rsid w:val="1C5B5AF6"/>
    <w:rsid w:val="1C5B7611"/>
    <w:rsid w:val="1C672E0C"/>
    <w:rsid w:val="1C6B579A"/>
    <w:rsid w:val="1C6F7FE7"/>
    <w:rsid w:val="1C7B2153"/>
    <w:rsid w:val="1C8F0E9E"/>
    <w:rsid w:val="1CA01843"/>
    <w:rsid w:val="1CA6649C"/>
    <w:rsid w:val="1CA8750A"/>
    <w:rsid w:val="1CBA5C7F"/>
    <w:rsid w:val="1CBC4B9A"/>
    <w:rsid w:val="1CC51C68"/>
    <w:rsid w:val="1CC5417F"/>
    <w:rsid w:val="1CCF0419"/>
    <w:rsid w:val="1CD470CA"/>
    <w:rsid w:val="1CDB2B0F"/>
    <w:rsid w:val="1CE03283"/>
    <w:rsid w:val="1CE62EE1"/>
    <w:rsid w:val="1CEF1669"/>
    <w:rsid w:val="1CF01882"/>
    <w:rsid w:val="1CF85411"/>
    <w:rsid w:val="1D106F66"/>
    <w:rsid w:val="1D28123C"/>
    <w:rsid w:val="1D286A1B"/>
    <w:rsid w:val="1D3421D3"/>
    <w:rsid w:val="1D37040F"/>
    <w:rsid w:val="1D456E22"/>
    <w:rsid w:val="1D484C1A"/>
    <w:rsid w:val="1D575B87"/>
    <w:rsid w:val="1D601579"/>
    <w:rsid w:val="1D6C7639"/>
    <w:rsid w:val="1D6D45BF"/>
    <w:rsid w:val="1D7A122C"/>
    <w:rsid w:val="1D800EB0"/>
    <w:rsid w:val="1D855AF8"/>
    <w:rsid w:val="1D890A47"/>
    <w:rsid w:val="1D8E61A0"/>
    <w:rsid w:val="1D964B50"/>
    <w:rsid w:val="1D992B27"/>
    <w:rsid w:val="1DA85724"/>
    <w:rsid w:val="1DAC1531"/>
    <w:rsid w:val="1DAF6062"/>
    <w:rsid w:val="1DBF590D"/>
    <w:rsid w:val="1DC5555E"/>
    <w:rsid w:val="1DEB5C55"/>
    <w:rsid w:val="1DEE2BE4"/>
    <w:rsid w:val="1DF233E7"/>
    <w:rsid w:val="1E054F02"/>
    <w:rsid w:val="1E0844BA"/>
    <w:rsid w:val="1E0A2CBC"/>
    <w:rsid w:val="1E2101AF"/>
    <w:rsid w:val="1E243669"/>
    <w:rsid w:val="1E292E97"/>
    <w:rsid w:val="1E2B5F08"/>
    <w:rsid w:val="1E392AA0"/>
    <w:rsid w:val="1E41460A"/>
    <w:rsid w:val="1E455165"/>
    <w:rsid w:val="1E664AE8"/>
    <w:rsid w:val="1E66787F"/>
    <w:rsid w:val="1E7C434A"/>
    <w:rsid w:val="1E840130"/>
    <w:rsid w:val="1E852CF4"/>
    <w:rsid w:val="1E933284"/>
    <w:rsid w:val="1E992AE1"/>
    <w:rsid w:val="1EAB5F88"/>
    <w:rsid w:val="1EBD70F2"/>
    <w:rsid w:val="1EBF527E"/>
    <w:rsid w:val="1ED30E1E"/>
    <w:rsid w:val="1EE0406D"/>
    <w:rsid w:val="1EF172A5"/>
    <w:rsid w:val="1EFE4E7D"/>
    <w:rsid w:val="1F087131"/>
    <w:rsid w:val="1F0F65FB"/>
    <w:rsid w:val="1F114A63"/>
    <w:rsid w:val="1F115D33"/>
    <w:rsid w:val="1F1D7927"/>
    <w:rsid w:val="1F2F5F8E"/>
    <w:rsid w:val="1F42409C"/>
    <w:rsid w:val="1F4522CC"/>
    <w:rsid w:val="1F464351"/>
    <w:rsid w:val="1F4D177B"/>
    <w:rsid w:val="1F4F0F9A"/>
    <w:rsid w:val="1F611FED"/>
    <w:rsid w:val="1F6B2BC8"/>
    <w:rsid w:val="1F714B49"/>
    <w:rsid w:val="1F7F2C8C"/>
    <w:rsid w:val="1F8A7DE4"/>
    <w:rsid w:val="1F8B275A"/>
    <w:rsid w:val="1F924453"/>
    <w:rsid w:val="1FA24B81"/>
    <w:rsid w:val="1FAF1436"/>
    <w:rsid w:val="1FB43BC6"/>
    <w:rsid w:val="1FB95844"/>
    <w:rsid w:val="1FB97998"/>
    <w:rsid w:val="1FD7167B"/>
    <w:rsid w:val="1FDA610A"/>
    <w:rsid w:val="1FE168A9"/>
    <w:rsid w:val="1FFA2257"/>
    <w:rsid w:val="200978D3"/>
    <w:rsid w:val="200C27B6"/>
    <w:rsid w:val="20171B8C"/>
    <w:rsid w:val="201A0721"/>
    <w:rsid w:val="201A75A0"/>
    <w:rsid w:val="202277DA"/>
    <w:rsid w:val="203150CB"/>
    <w:rsid w:val="203254EB"/>
    <w:rsid w:val="20356E03"/>
    <w:rsid w:val="203A04E7"/>
    <w:rsid w:val="20454846"/>
    <w:rsid w:val="20455F75"/>
    <w:rsid w:val="20546F73"/>
    <w:rsid w:val="205B6B40"/>
    <w:rsid w:val="20600A10"/>
    <w:rsid w:val="20601C02"/>
    <w:rsid w:val="2064698A"/>
    <w:rsid w:val="20695EC3"/>
    <w:rsid w:val="206A4625"/>
    <w:rsid w:val="206D2012"/>
    <w:rsid w:val="206E1F4D"/>
    <w:rsid w:val="207B6EE7"/>
    <w:rsid w:val="20862C79"/>
    <w:rsid w:val="208716B2"/>
    <w:rsid w:val="20B32243"/>
    <w:rsid w:val="20B34127"/>
    <w:rsid w:val="20B627FE"/>
    <w:rsid w:val="20B74057"/>
    <w:rsid w:val="20CB24ED"/>
    <w:rsid w:val="20CE1C4D"/>
    <w:rsid w:val="20D24E25"/>
    <w:rsid w:val="20DD3DB8"/>
    <w:rsid w:val="20E36E34"/>
    <w:rsid w:val="20F0628E"/>
    <w:rsid w:val="21053910"/>
    <w:rsid w:val="21150C66"/>
    <w:rsid w:val="211E31CB"/>
    <w:rsid w:val="21247C7E"/>
    <w:rsid w:val="212A20DE"/>
    <w:rsid w:val="213415BD"/>
    <w:rsid w:val="21342040"/>
    <w:rsid w:val="213C54CA"/>
    <w:rsid w:val="214D5B7C"/>
    <w:rsid w:val="214E4537"/>
    <w:rsid w:val="215D336C"/>
    <w:rsid w:val="21641421"/>
    <w:rsid w:val="218C54DC"/>
    <w:rsid w:val="218D3B2C"/>
    <w:rsid w:val="2190457D"/>
    <w:rsid w:val="2194300F"/>
    <w:rsid w:val="21A40A5F"/>
    <w:rsid w:val="21A870E7"/>
    <w:rsid w:val="21BB1E53"/>
    <w:rsid w:val="21C11051"/>
    <w:rsid w:val="21C9474B"/>
    <w:rsid w:val="21CA181C"/>
    <w:rsid w:val="21D01696"/>
    <w:rsid w:val="21E20C1C"/>
    <w:rsid w:val="21EB600E"/>
    <w:rsid w:val="220C246C"/>
    <w:rsid w:val="22242822"/>
    <w:rsid w:val="222F24C6"/>
    <w:rsid w:val="22311A43"/>
    <w:rsid w:val="22323084"/>
    <w:rsid w:val="22334AF4"/>
    <w:rsid w:val="2237604C"/>
    <w:rsid w:val="223F0988"/>
    <w:rsid w:val="22431EAF"/>
    <w:rsid w:val="224B6A17"/>
    <w:rsid w:val="2257273D"/>
    <w:rsid w:val="225D3D01"/>
    <w:rsid w:val="226213D1"/>
    <w:rsid w:val="226F53DC"/>
    <w:rsid w:val="2272644B"/>
    <w:rsid w:val="22730643"/>
    <w:rsid w:val="2276739F"/>
    <w:rsid w:val="228D1798"/>
    <w:rsid w:val="22934012"/>
    <w:rsid w:val="22945884"/>
    <w:rsid w:val="22AD0C2A"/>
    <w:rsid w:val="22B5350F"/>
    <w:rsid w:val="22BB322B"/>
    <w:rsid w:val="22BD7151"/>
    <w:rsid w:val="22C604E0"/>
    <w:rsid w:val="22C9213E"/>
    <w:rsid w:val="22E94AB1"/>
    <w:rsid w:val="22EE1F90"/>
    <w:rsid w:val="22F2208A"/>
    <w:rsid w:val="22F772F1"/>
    <w:rsid w:val="22FE2784"/>
    <w:rsid w:val="23002037"/>
    <w:rsid w:val="230E24AC"/>
    <w:rsid w:val="23322038"/>
    <w:rsid w:val="233F5379"/>
    <w:rsid w:val="2347109D"/>
    <w:rsid w:val="23512E0C"/>
    <w:rsid w:val="235204E6"/>
    <w:rsid w:val="23542ADE"/>
    <w:rsid w:val="2364575A"/>
    <w:rsid w:val="23656985"/>
    <w:rsid w:val="2368536F"/>
    <w:rsid w:val="2373040B"/>
    <w:rsid w:val="2381456E"/>
    <w:rsid w:val="23886124"/>
    <w:rsid w:val="239F3402"/>
    <w:rsid w:val="23A51E18"/>
    <w:rsid w:val="23AA0394"/>
    <w:rsid w:val="23BC64A6"/>
    <w:rsid w:val="23C17E7C"/>
    <w:rsid w:val="23C50F1D"/>
    <w:rsid w:val="23DC7558"/>
    <w:rsid w:val="23F024D5"/>
    <w:rsid w:val="23F35F5F"/>
    <w:rsid w:val="23FA4566"/>
    <w:rsid w:val="240418FD"/>
    <w:rsid w:val="240572D9"/>
    <w:rsid w:val="241909B7"/>
    <w:rsid w:val="241C69F8"/>
    <w:rsid w:val="24267C58"/>
    <w:rsid w:val="242F09CF"/>
    <w:rsid w:val="2436643F"/>
    <w:rsid w:val="24413E93"/>
    <w:rsid w:val="24424A6E"/>
    <w:rsid w:val="24471153"/>
    <w:rsid w:val="244E03E6"/>
    <w:rsid w:val="24535587"/>
    <w:rsid w:val="24565B3A"/>
    <w:rsid w:val="24754533"/>
    <w:rsid w:val="247B3488"/>
    <w:rsid w:val="24893C84"/>
    <w:rsid w:val="249B0B85"/>
    <w:rsid w:val="249E6456"/>
    <w:rsid w:val="24A90873"/>
    <w:rsid w:val="24AB2B08"/>
    <w:rsid w:val="24B81B41"/>
    <w:rsid w:val="24C45A46"/>
    <w:rsid w:val="24CA28B6"/>
    <w:rsid w:val="24D274C0"/>
    <w:rsid w:val="24D275D2"/>
    <w:rsid w:val="24D45A2D"/>
    <w:rsid w:val="24DC3896"/>
    <w:rsid w:val="24E32B45"/>
    <w:rsid w:val="24E444CC"/>
    <w:rsid w:val="24EA054D"/>
    <w:rsid w:val="24EE4DE2"/>
    <w:rsid w:val="24F072DB"/>
    <w:rsid w:val="25033CD2"/>
    <w:rsid w:val="251076B1"/>
    <w:rsid w:val="25213874"/>
    <w:rsid w:val="2527244E"/>
    <w:rsid w:val="2534254E"/>
    <w:rsid w:val="25383D75"/>
    <w:rsid w:val="25396E06"/>
    <w:rsid w:val="25420B0A"/>
    <w:rsid w:val="25433F14"/>
    <w:rsid w:val="254479BB"/>
    <w:rsid w:val="254F3C66"/>
    <w:rsid w:val="2554089B"/>
    <w:rsid w:val="25543369"/>
    <w:rsid w:val="25570085"/>
    <w:rsid w:val="25590D47"/>
    <w:rsid w:val="255A6A33"/>
    <w:rsid w:val="25633F3D"/>
    <w:rsid w:val="256C056F"/>
    <w:rsid w:val="257324A8"/>
    <w:rsid w:val="258624C1"/>
    <w:rsid w:val="25923550"/>
    <w:rsid w:val="25956E98"/>
    <w:rsid w:val="25993A71"/>
    <w:rsid w:val="259D3FBA"/>
    <w:rsid w:val="25A96929"/>
    <w:rsid w:val="25AB1F27"/>
    <w:rsid w:val="25B90704"/>
    <w:rsid w:val="25BA1E1C"/>
    <w:rsid w:val="25C1100C"/>
    <w:rsid w:val="25DC4D1F"/>
    <w:rsid w:val="25E312AC"/>
    <w:rsid w:val="25E558C7"/>
    <w:rsid w:val="25EB65E2"/>
    <w:rsid w:val="25EC1E66"/>
    <w:rsid w:val="25ED33D2"/>
    <w:rsid w:val="25EE1190"/>
    <w:rsid w:val="25F862B3"/>
    <w:rsid w:val="26013435"/>
    <w:rsid w:val="26294138"/>
    <w:rsid w:val="262D5689"/>
    <w:rsid w:val="263F7428"/>
    <w:rsid w:val="266346E2"/>
    <w:rsid w:val="26662074"/>
    <w:rsid w:val="266F245B"/>
    <w:rsid w:val="266F5831"/>
    <w:rsid w:val="267758CC"/>
    <w:rsid w:val="267C7CB4"/>
    <w:rsid w:val="268A2E91"/>
    <w:rsid w:val="268C7C25"/>
    <w:rsid w:val="268E6E1C"/>
    <w:rsid w:val="269173C1"/>
    <w:rsid w:val="26967D4F"/>
    <w:rsid w:val="269A7114"/>
    <w:rsid w:val="26B3580F"/>
    <w:rsid w:val="26B4679E"/>
    <w:rsid w:val="26BC3415"/>
    <w:rsid w:val="26C24FB6"/>
    <w:rsid w:val="26C3077E"/>
    <w:rsid w:val="26C95489"/>
    <w:rsid w:val="26D24077"/>
    <w:rsid w:val="26D26C6A"/>
    <w:rsid w:val="26D94133"/>
    <w:rsid w:val="26E00AF2"/>
    <w:rsid w:val="26E312AF"/>
    <w:rsid w:val="26E35247"/>
    <w:rsid w:val="26EF1180"/>
    <w:rsid w:val="26FF3ACF"/>
    <w:rsid w:val="2713062B"/>
    <w:rsid w:val="271367EC"/>
    <w:rsid w:val="27256622"/>
    <w:rsid w:val="27262AE2"/>
    <w:rsid w:val="272B516E"/>
    <w:rsid w:val="27410EC2"/>
    <w:rsid w:val="27484CC0"/>
    <w:rsid w:val="274A69E0"/>
    <w:rsid w:val="276175F4"/>
    <w:rsid w:val="276D0529"/>
    <w:rsid w:val="2779749B"/>
    <w:rsid w:val="277F08A2"/>
    <w:rsid w:val="278109DC"/>
    <w:rsid w:val="27894C03"/>
    <w:rsid w:val="27933927"/>
    <w:rsid w:val="27992A4C"/>
    <w:rsid w:val="27A33E35"/>
    <w:rsid w:val="27A83A9A"/>
    <w:rsid w:val="27A94296"/>
    <w:rsid w:val="27B60BEB"/>
    <w:rsid w:val="27BD0064"/>
    <w:rsid w:val="27C34DE1"/>
    <w:rsid w:val="27C67E36"/>
    <w:rsid w:val="27D46DC6"/>
    <w:rsid w:val="27D73488"/>
    <w:rsid w:val="27D8374E"/>
    <w:rsid w:val="27DA0F13"/>
    <w:rsid w:val="27EB437A"/>
    <w:rsid w:val="27EF125D"/>
    <w:rsid w:val="27F528CB"/>
    <w:rsid w:val="27F56315"/>
    <w:rsid w:val="28110A08"/>
    <w:rsid w:val="2828350A"/>
    <w:rsid w:val="282F72FA"/>
    <w:rsid w:val="283907CE"/>
    <w:rsid w:val="28571957"/>
    <w:rsid w:val="28623C15"/>
    <w:rsid w:val="28697350"/>
    <w:rsid w:val="286E334A"/>
    <w:rsid w:val="287050B3"/>
    <w:rsid w:val="28755CC9"/>
    <w:rsid w:val="287F4399"/>
    <w:rsid w:val="2889440F"/>
    <w:rsid w:val="288F5571"/>
    <w:rsid w:val="28965033"/>
    <w:rsid w:val="28A052D3"/>
    <w:rsid w:val="28A06F4C"/>
    <w:rsid w:val="28AC6B03"/>
    <w:rsid w:val="28B02224"/>
    <w:rsid w:val="28B1615B"/>
    <w:rsid w:val="28B22BA5"/>
    <w:rsid w:val="28B278C0"/>
    <w:rsid w:val="28C146C3"/>
    <w:rsid w:val="28CA51CD"/>
    <w:rsid w:val="28CB1172"/>
    <w:rsid w:val="28CE738E"/>
    <w:rsid w:val="28D67316"/>
    <w:rsid w:val="290254C7"/>
    <w:rsid w:val="29087A30"/>
    <w:rsid w:val="291B5205"/>
    <w:rsid w:val="29236F16"/>
    <w:rsid w:val="292F6200"/>
    <w:rsid w:val="29331E5F"/>
    <w:rsid w:val="29334BDF"/>
    <w:rsid w:val="29436595"/>
    <w:rsid w:val="294C6C0B"/>
    <w:rsid w:val="29515B93"/>
    <w:rsid w:val="295676E3"/>
    <w:rsid w:val="295F57D7"/>
    <w:rsid w:val="29733705"/>
    <w:rsid w:val="297A56E5"/>
    <w:rsid w:val="29814635"/>
    <w:rsid w:val="29A36393"/>
    <w:rsid w:val="29A76063"/>
    <w:rsid w:val="29AB72C4"/>
    <w:rsid w:val="29B85251"/>
    <w:rsid w:val="29BA74BA"/>
    <w:rsid w:val="29C749A4"/>
    <w:rsid w:val="29CF2CA1"/>
    <w:rsid w:val="29CF5EA1"/>
    <w:rsid w:val="29F1767A"/>
    <w:rsid w:val="2A0019E0"/>
    <w:rsid w:val="2A045FE7"/>
    <w:rsid w:val="2A072146"/>
    <w:rsid w:val="2A0F729D"/>
    <w:rsid w:val="2A172745"/>
    <w:rsid w:val="2A1D74F2"/>
    <w:rsid w:val="2A2D7895"/>
    <w:rsid w:val="2A3F0385"/>
    <w:rsid w:val="2A430216"/>
    <w:rsid w:val="2A444CBB"/>
    <w:rsid w:val="2A454605"/>
    <w:rsid w:val="2A4B7186"/>
    <w:rsid w:val="2A5670C9"/>
    <w:rsid w:val="2A5E0C02"/>
    <w:rsid w:val="2A642161"/>
    <w:rsid w:val="2A685432"/>
    <w:rsid w:val="2A726A27"/>
    <w:rsid w:val="2A7351C7"/>
    <w:rsid w:val="2A7C32F6"/>
    <w:rsid w:val="2A822840"/>
    <w:rsid w:val="2A9233FE"/>
    <w:rsid w:val="2A9602BA"/>
    <w:rsid w:val="2A985E6C"/>
    <w:rsid w:val="2AB56028"/>
    <w:rsid w:val="2ACC3887"/>
    <w:rsid w:val="2ACE37B6"/>
    <w:rsid w:val="2AEA2A60"/>
    <w:rsid w:val="2AEA2A93"/>
    <w:rsid w:val="2AED15BA"/>
    <w:rsid w:val="2AEF5470"/>
    <w:rsid w:val="2AF509B4"/>
    <w:rsid w:val="2AF86D11"/>
    <w:rsid w:val="2AFC44BE"/>
    <w:rsid w:val="2B0D4DF8"/>
    <w:rsid w:val="2B1546A8"/>
    <w:rsid w:val="2B231B94"/>
    <w:rsid w:val="2B293D78"/>
    <w:rsid w:val="2B394314"/>
    <w:rsid w:val="2B3B1E2D"/>
    <w:rsid w:val="2B3E5205"/>
    <w:rsid w:val="2B571ED6"/>
    <w:rsid w:val="2B603F9B"/>
    <w:rsid w:val="2B6C40D4"/>
    <w:rsid w:val="2B6E0D08"/>
    <w:rsid w:val="2B6E1D33"/>
    <w:rsid w:val="2B7447F6"/>
    <w:rsid w:val="2B8511D3"/>
    <w:rsid w:val="2B8F3B05"/>
    <w:rsid w:val="2B997A76"/>
    <w:rsid w:val="2B9E755E"/>
    <w:rsid w:val="2BB16E20"/>
    <w:rsid w:val="2BD31423"/>
    <w:rsid w:val="2BD862CC"/>
    <w:rsid w:val="2BE06716"/>
    <w:rsid w:val="2BE96133"/>
    <w:rsid w:val="2BFB567E"/>
    <w:rsid w:val="2BFE300B"/>
    <w:rsid w:val="2C085772"/>
    <w:rsid w:val="2C0B3A0F"/>
    <w:rsid w:val="2C0E0E81"/>
    <w:rsid w:val="2C120BF2"/>
    <w:rsid w:val="2C233268"/>
    <w:rsid w:val="2C34202D"/>
    <w:rsid w:val="2C3D4A6C"/>
    <w:rsid w:val="2C474C25"/>
    <w:rsid w:val="2C541121"/>
    <w:rsid w:val="2C703BB0"/>
    <w:rsid w:val="2C7F2782"/>
    <w:rsid w:val="2C827724"/>
    <w:rsid w:val="2C935F3D"/>
    <w:rsid w:val="2C9E1903"/>
    <w:rsid w:val="2CA32DB0"/>
    <w:rsid w:val="2CA43C41"/>
    <w:rsid w:val="2CAF7EB1"/>
    <w:rsid w:val="2CB8065D"/>
    <w:rsid w:val="2CBC5486"/>
    <w:rsid w:val="2CBE1783"/>
    <w:rsid w:val="2CC124B9"/>
    <w:rsid w:val="2CC97325"/>
    <w:rsid w:val="2CCE168E"/>
    <w:rsid w:val="2CD93B86"/>
    <w:rsid w:val="2CE16B68"/>
    <w:rsid w:val="2CE3074D"/>
    <w:rsid w:val="2CE73DBF"/>
    <w:rsid w:val="2CEA56B6"/>
    <w:rsid w:val="2CEF4854"/>
    <w:rsid w:val="2CF5740A"/>
    <w:rsid w:val="2CFE0737"/>
    <w:rsid w:val="2CFE4B72"/>
    <w:rsid w:val="2D023C70"/>
    <w:rsid w:val="2D0B00FE"/>
    <w:rsid w:val="2D0F4A83"/>
    <w:rsid w:val="2D1D6D45"/>
    <w:rsid w:val="2D31698D"/>
    <w:rsid w:val="2D3367EB"/>
    <w:rsid w:val="2D36335F"/>
    <w:rsid w:val="2D3B2CC7"/>
    <w:rsid w:val="2D423636"/>
    <w:rsid w:val="2D4E072A"/>
    <w:rsid w:val="2D5E5EA2"/>
    <w:rsid w:val="2D725AAF"/>
    <w:rsid w:val="2D730FC1"/>
    <w:rsid w:val="2D8674BF"/>
    <w:rsid w:val="2D8874B6"/>
    <w:rsid w:val="2D8C76AE"/>
    <w:rsid w:val="2D956579"/>
    <w:rsid w:val="2D9771B8"/>
    <w:rsid w:val="2D983348"/>
    <w:rsid w:val="2DA34493"/>
    <w:rsid w:val="2DAC2659"/>
    <w:rsid w:val="2DC168A1"/>
    <w:rsid w:val="2DC81E94"/>
    <w:rsid w:val="2DD37126"/>
    <w:rsid w:val="2DE32195"/>
    <w:rsid w:val="2DE96A14"/>
    <w:rsid w:val="2DF27D78"/>
    <w:rsid w:val="2DF74FF8"/>
    <w:rsid w:val="2DFD129D"/>
    <w:rsid w:val="2DFF60D5"/>
    <w:rsid w:val="2E241E0A"/>
    <w:rsid w:val="2E283FBB"/>
    <w:rsid w:val="2E292267"/>
    <w:rsid w:val="2E347B0A"/>
    <w:rsid w:val="2E3C2E20"/>
    <w:rsid w:val="2E3D0A0C"/>
    <w:rsid w:val="2E3F3833"/>
    <w:rsid w:val="2E402E5B"/>
    <w:rsid w:val="2E4162D4"/>
    <w:rsid w:val="2E4776AD"/>
    <w:rsid w:val="2E5D563B"/>
    <w:rsid w:val="2E633B8A"/>
    <w:rsid w:val="2E6F56B9"/>
    <w:rsid w:val="2E794AF3"/>
    <w:rsid w:val="2E7C70A1"/>
    <w:rsid w:val="2E7F029C"/>
    <w:rsid w:val="2E8A51A3"/>
    <w:rsid w:val="2E9457B5"/>
    <w:rsid w:val="2E9A4F05"/>
    <w:rsid w:val="2E9B28AA"/>
    <w:rsid w:val="2EA77DF5"/>
    <w:rsid w:val="2EAB55BB"/>
    <w:rsid w:val="2EB32E8D"/>
    <w:rsid w:val="2EC4145B"/>
    <w:rsid w:val="2ECA0EEF"/>
    <w:rsid w:val="2ECF238B"/>
    <w:rsid w:val="2ED02202"/>
    <w:rsid w:val="2ED346F4"/>
    <w:rsid w:val="2EEC5878"/>
    <w:rsid w:val="2EF51EE3"/>
    <w:rsid w:val="2EF77968"/>
    <w:rsid w:val="2EF83766"/>
    <w:rsid w:val="2EF85571"/>
    <w:rsid w:val="2F03447D"/>
    <w:rsid w:val="2F0C1716"/>
    <w:rsid w:val="2F1264FD"/>
    <w:rsid w:val="2F131BDA"/>
    <w:rsid w:val="2F1E2431"/>
    <w:rsid w:val="2F2626A7"/>
    <w:rsid w:val="2F277782"/>
    <w:rsid w:val="2F2F78FF"/>
    <w:rsid w:val="2F33425A"/>
    <w:rsid w:val="2F40795E"/>
    <w:rsid w:val="2F436A32"/>
    <w:rsid w:val="2F585349"/>
    <w:rsid w:val="2F600A4D"/>
    <w:rsid w:val="2F6C578F"/>
    <w:rsid w:val="2F7B24D1"/>
    <w:rsid w:val="2F83447A"/>
    <w:rsid w:val="2F8B0E09"/>
    <w:rsid w:val="2F9711E1"/>
    <w:rsid w:val="2FA94010"/>
    <w:rsid w:val="2FAA2A46"/>
    <w:rsid w:val="2FBB48F5"/>
    <w:rsid w:val="2FC82F9D"/>
    <w:rsid w:val="2FCC58AE"/>
    <w:rsid w:val="2FD32DD7"/>
    <w:rsid w:val="2FD57D60"/>
    <w:rsid w:val="2FD8752E"/>
    <w:rsid w:val="2FDE00E6"/>
    <w:rsid w:val="2FEC3BB6"/>
    <w:rsid w:val="2FEF045A"/>
    <w:rsid w:val="2FFA067A"/>
    <w:rsid w:val="2FFD0EE1"/>
    <w:rsid w:val="2FFF4CDE"/>
    <w:rsid w:val="30020B17"/>
    <w:rsid w:val="3016517A"/>
    <w:rsid w:val="302A05CA"/>
    <w:rsid w:val="302A358E"/>
    <w:rsid w:val="30341738"/>
    <w:rsid w:val="30354F2F"/>
    <w:rsid w:val="303F05C3"/>
    <w:rsid w:val="30403AEC"/>
    <w:rsid w:val="3049392A"/>
    <w:rsid w:val="305F182D"/>
    <w:rsid w:val="306A75D7"/>
    <w:rsid w:val="307B141B"/>
    <w:rsid w:val="30812E4D"/>
    <w:rsid w:val="3082744B"/>
    <w:rsid w:val="308D6AFB"/>
    <w:rsid w:val="308F6075"/>
    <w:rsid w:val="30944600"/>
    <w:rsid w:val="30B9486B"/>
    <w:rsid w:val="30D66A99"/>
    <w:rsid w:val="30D9386E"/>
    <w:rsid w:val="30DF79C5"/>
    <w:rsid w:val="30E74543"/>
    <w:rsid w:val="30F11543"/>
    <w:rsid w:val="30F2736A"/>
    <w:rsid w:val="30F40C14"/>
    <w:rsid w:val="30F42C52"/>
    <w:rsid w:val="30F513E7"/>
    <w:rsid w:val="30F620F0"/>
    <w:rsid w:val="31206CAF"/>
    <w:rsid w:val="312F3E90"/>
    <w:rsid w:val="31301752"/>
    <w:rsid w:val="31350214"/>
    <w:rsid w:val="31360F60"/>
    <w:rsid w:val="31485711"/>
    <w:rsid w:val="314B0750"/>
    <w:rsid w:val="315B7E50"/>
    <w:rsid w:val="316C0946"/>
    <w:rsid w:val="316F5291"/>
    <w:rsid w:val="318077DA"/>
    <w:rsid w:val="31952860"/>
    <w:rsid w:val="31B91BCA"/>
    <w:rsid w:val="31BD7603"/>
    <w:rsid w:val="31C156AF"/>
    <w:rsid w:val="31C765B0"/>
    <w:rsid w:val="31D04EA3"/>
    <w:rsid w:val="31D33632"/>
    <w:rsid w:val="31D856DB"/>
    <w:rsid w:val="31E248BF"/>
    <w:rsid w:val="31E50463"/>
    <w:rsid w:val="31ED419C"/>
    <w:rsid w:val="32147265"/>
    <w:rsid w:val="3226177E"/>
    <w:rsid w:val="3230537A"/>
    <w:rsid w:val="32473D90"/>
    <w:rsid w:val="32474245"/>
    <w:rsid w:val="324E2E71"/>
    <w:rsid w:val="3253096B"/>
    <w:rsid w:val="32552601"/>
    <w:rsid w:val="32575271"/>
    <w:rsid w:val="3272345D"/>
    <w:rsid w:val="32765E32"/>
    <w:rsid w:val="3284604D"/>
    <w:rsid w:val="32914DC9"/>
    <w:rsid w:val="32957364"/>
    <w:rsid w:val="329E7F73"/>
    <w:rsid w:val="32B02EB7"/>
    <w:rsid w:val="32B86B24"/>
    <w:rsid w:val="32CB6F7E"/>
    <w:rsid w:val="32D91C6F"/>
    <w:rsid w:val="32D97036"/>
    <w:rsid w:val="32DF21C2"/>
    <w:rsid w:val="32E11FA2"/>
    <w:rsid w:val="32E213F3"/>
    <w:rsid w:val="32ED2891"/>
    <w:rsid w:val="32EE0F67"/>
    <w:rsid w:val="32EE25C6"/>
    <w:rsid w:val="330208DF"/>
    <w:rsid w:val="33032076"/>
    <w:rsid w:val="33035CB7"/>
    <w:rsid w:val="330E0160"/>
    <w:rsid w:val="3312251F"/>
    <w:rsid w:val="33237F61"/>
    <w:rsid w:val="332467E5"/>
    <w:rsid w:val="33262E95"/>
    <w:rsid w:val="33337F0A"/>
    <w:rsid w:val="333E2CA0"/>
    <w:rsid w:val="33432875"/>
    <w:rsid w:val="335759EC"/>
    <w:rsid w:val="335C0183"/>
    <w:rsid w:val="335E3242"/>
    <w:rsid w:val="338E40D2"/>
    <w:rsid w:val="339D3C39"/>
    <w:rsid w:val="33A540C1"/>
    <w:rsid w:val="33A871A4"/>
    <w:rsid w:val="33A9665D"/>
    <w:rsid w:val="33B43691"/>
    <w:rsid w:val="33BA2267"/>
    <w:rsid w:val="33BD0809"/>
    <w:rsid w:val="33D47EAB"/>
    <w:rsid w:val="33DD30F0"/>
    <w:rsid w:val="33DE7074"/>
    <w:rsid w:val="340749FE"/>
    <w:rsid w:val="34082A81"/>
    <w:rsid w:val="34093853"/>
    <w:rsid w:val="34144457"/>
    <w:rsid w:val="341A1C5C"/>
    <w:rsid w:val="342147A0"/>
    <w:rsid w:val="34236EE7"/>
    <w:rsid w:val="34254D93"/>
    <w:rsid w:val="34290276"/>
    <w:rsid w:val="343612DE"/>
    <w:rsid w:val="344B1B35"/>
    <w:rsid w:val="344D4F8E"/>
    <w:rsid w:val="34557EB5"/>
    <w:rsid w:val="345C0111"/>
    <w:rsid w:val="34833930"/>
    <w:rsid w:val="3494067B"/>
    <w:rsid w:val="34A1174B"/>
    <w:rsid w:val="34A81304"/>
    <w:rsid w:val="34AF26D6"/>
    <w:rsid w:val="34B50F41"/>
    <w:rsid w:val="34BC2A3C"/>
    <w:rsid w:val="34BC7739"/>
    <w:rsid w:val="34BD2138"/>
    <w:rsid w:val="34C84854"/>
    <w:rsid w:val="34DD0BBB"/>
    <w:rsid w:val="34DE3166"/>
    <w:rsid w:val="34DE523E"/>
    <w:rsid w:val="34E061B4"/>
    <w:rsid w:val="34E071D2"/>
    <w:rsid w:val="34EA1DE0"/>
    <w:rsid w:val="3507314D"/>
    <w:rsid w:val="350C5CE7"/>
    <w:rsid w:val="351B1E6E"/>
    <w:rsid w:val="352263E4"/>
    <w:rsid w:val="352B7666"/>
    <w:rsid w:val="352E62D6"/>
    <w:rsid w:val="35363338"/>
    <w:rsid w:val="353F0589"/>
    <w:rsid w:val="35423E95"/>
    <w:rsid w:val="354E0428"/>
    <w:rsid w:val="355475E3"/>
    <w:rsid w:val="355A4DC7"/>
    <w:rsid w:val="355D6B2E"/>
    <w:rsid w:val="355E286B"/>
    <w:rsid w:val="356C5C5F"/>
    <w:rsid w:val="35757D45"/>
    <w:rsid w:val="357A31FD"/>
    <w:rsid w:val="357D54E6"/>
    <w:rsid w:val="359D22F6"/>
    <w:rsid w:val="35A67C6D"/>
    <w:rsid w:val="35A97360"/>
    <w:rsid w:val="35AA6445"/>
    <w:rsid w:val="35AC5A16"/>
    <w:rsid w:val="35AE6707"/>
    <w:rsid w:val="35B1695D"/>
    <w:rsid w:val="35BB5A78"/>
    <w:rsid w:val="35C027FD"/>
    <w:rsid w:val="35C15C9F"/>
    <w:rsid w:val="35CB5AA1"/>
    <w:rsid w:val="35E244E1"/>
    <w:rsid w:val="35EC680E"/>
    <w:rsid w:val="35F82C92"/>
    <w:rsid w:val="360B0560"/>
    <w:rsid w:val="360E3D92"/>
    <w:rsid w:val="360F1C77"/>
    <w:rsid w:val="36213401"/>
    <w:rsid w:val="36252BCC"/>
    <w:rsid w:val="36287BFA"/>
    <w:rsid w:val="36375033"/>
    <w:rsid w:val="364A2085"/>
    <w:rsid w:val="365432CA"/>
    <w:rsid w:val="365774B4"/>
    <w:rsid w:val="365956B3"/>
    <w:rsid w:val="365A06D0"/>
    <w:rsid w:val="36627FCC"/>
    <w:rsid w:val="36636EEA"/>
    <w:rsid w:val="366D4287"/>
    <w:rsid w:val="366F7E88"/>
    <w:rsid w:val="36707B69"/>
    <w:rsid w:val="36733E42"/>
    <w:rsid w:val="36826689"/>
    <w:rsid w:val="36884F23"/>
    <w:rsid w:val="36924E56"/>
    <w:rsid w:val="36B074E7"/>
    <w:rsid w:val="36B201F6"/>
    <w:rsid w:val="36B318D7"/>
    <w:rsid w:val="36B4718B"/>
    <w:rsid w:val="36C26230"/>
    <w:rsid w:val="36CA5CCD"/>
    <w:rsid w:val="36CB22A7"/>
    <w:rsid w:val="36DE1E96"/>
    <w:rsid w:val="36F375F8"/>
    <w:rsid w:val="36F66E70"/>
    <w:rsid w:val="36F87640"/>
    <w:rsid w:val="36F931B8"/>
    <w:rsid w:val="37122C37"/>
    <w:rsid w:val="3713351B"/>
    <w:rsid w:val="37177C76"/>
    <w:rsid w:val="371F6BEB"/>
    <w:rsid w:val="37201325"/>
    <w:rsid w:val="37346A5E"/>
    <w:rsid w:val="37482AF0"/>
    <w:rsid w:val="374C5898"/>
    <w:rsid w:val="375A7D15"/>
    <w:rsid w:val="375D5B79"/>
    <w:rsid w:val="37712B91"/>
    <w:rsid w:val="37743765"/>
    <w:rsid w:val="37745B08"/>
    <w:rsid w:val="37793122"/>
    <w:rsid w:val="377F3E72"/>
    <w:rsid w:val="378055B2"/>
    <w:rsid w:val="378528A8"/>
    <w:rsid w:val="378F140B"/>
    <w:rsid w:val="37A442EA"/>
    <w:rsid w:val="37B24F59"/>
    <w:rsid w:val="37B37D61"/>
    <w:rsid w:val="37C23051"/>
    <w:rsid w:val="37CF5979"/>
    <w:rsid w:val="37D631A5"/>
    <w:rsid w:val="37DF53E0"/>
    <w:rsid w:val="37E118EB"/>
    <w:rsid w:val="380611BF"/>
    <w:rsid w:val="382039C9"/>
    <w:rsid w:val="382429AE"/>
    <w:rsid w:val="382F4C63"/>
    <w:rsid w:val="3838196A"/>
    <w:rsid w:val="383C2B89"/>
    <w:rsid w:val="383F60A4"/>
    <w:rsid w:val="38601FC4"/>
    <w:rsid w:val="386661FF"/>
    <w:rsid w:val="386E6695"/>
    <w:rsid w:val="387E162E"/>
    <w:rsid w:val="388C6CF2"/>
    <w:rsid w:val="388D35F0"/>
    <w:rsid w:val="38914F5D"/>
    <w:rsid w:val="389A1BDF"/>
    <w:rsid w:val="38A54C47"/>
    <w:rsid w:val="38B13472"/>
    <w:rsid w:val="38B93642"/>
    <w:rsid w:val="38DD1588"/>
    <w:rsid w:val="38E12884"/>
    <w:rsid w:val="38EE7C94"/>
    <w:rsid w:val="38FD5F09"/>
    <w:rsid w:val="390C2B73"/>
    <w:rsid w:val="390C2E2D"/>
    <w:rsid w:val="391A645A"/>
    <w:rsid w:val="391B55AF"/>
    <w:rsid w:val="392F783B"/>
    <w:rsid w:val="39405E21"/>
    <w:rsid w:val="394F6727"/>
    <w:rsid w:val="39521E9F"/>
    <w:rsid w:val="3954537C"/>
    <w:rsid w:val="39553AED"/>
    <w:rsid w:val="396D6AE8"/>
    <w:rsid w:val="39725A4A"/>
    <w:rsid w:val="3980064E"/>
    <w:rsid w:val="399601BD"/>
    <w:rsid w:val="399A58EA"/>
    <w:rsid w:val="399B2127"/>
    <w:rsid w:val="399F08F3"/>
    <w:rsid w:val="399F1332"/>
    <w:rsid w:val="399F5FDA"/>
    <w:rsid w:val="39A15E7F"/>
    <w:rsid w:val="39A502C0"/>
    <w:rsid w:val="39BF238F"/>
    <w:rsid w:val="39C46EC5"/>
    <w:rsid w:val="39C73DB3"/>
    <w:rsid w:val="39DA346B"/>
    <w:rsid w:val="39E46FAD"/>
    <w:rsid w:val="39E91662"/>
    <w:rsid w:val="39F5297E"/>
    <w:rsid w:val="3A0258FE"/>
    <w:rsid w:val="3A39581E"/>
    <w:rsid w:val="3A3C6CFA"/>
    <w:rsid w:val="3A3C78D6"/>
    <w:rsid w:val="3A3E3E9F"/>
    <w:rsid w:val="3A40244E"/>
    <w:rsid w:val="3A480A6E"/>
    <w:rsid w:val="3A4F2943"/>
    <w:rsid w:val="3A6463E4"/>
    <w:rsid w:val="3A6B176D"/>
    <w:rsid w:val="3A6B710D"/>
    <w:rsid w:val="3A700D10"/>
    <w:rsid w:val="3A714443"/>
    <w:rsid w:val="3A7D0D21"/>
    <w:rsid w:val="3A84298B"/>
    <w:rsid w:val="3A997D1F"/>
    <w:rsid w:val="3AA26A5D"/>
    <w:rsid w:val="3AA844FF"/>
    <w:rsid w:val="3AAA4B7B"/>
    <w:rsid w:val="3AB1112B"/>
    <w:rsid w:val="3AC52C0A"/>
    <w:rsid w:val="3AC7743B"/>
    <w:rsid w:val="3ACE70B0"/>
    <w:rsid w:val="3AD164BB"/>
    <w:rsid w:val="3AD7738D"/>
    <w:rsid w:val="3ADC39B3"/>
    <w:rsid w:val="3AF634E6"/>
    <w:rsid w:val="3AF963F9"/>
    <w:rsid w:val="3AFC0789"/>
    <w:rsid w:val="3B0475E9"/>
    <w:rsid w:val="3B0A6176"/>
    <w:rsid w:val="3B10004F"/>
    <w:rsid w:val="3B100557"/>
    <w:rsid w:val="3B1D0F96"/>
    <w:rsid w:val="3B1F0A32"/>
    <w:rsid w:val="3B21328C"/>
    <w:rsid w:val="3B235BCB"/>
    <w:rsid w:val="3B24526C"/>
    <w:rsid w:val="3B3F3F46"/>
    <w:rsid w:val="3B4874EB"/>
    <w:rsid w:val="3B4E0843"/>
    <w:rsid w:val="3B5211E7"/>
    <w:rsid w:val="3B596DA6"/>
    <w:rsid w:val="3B6B6801"/>
    <w:rsid w:val="3B84771D"/>
    <w:rsid w:val="3B8819BE"/>
    <w:rsid w:val="3B897E24"/>
    <w:rsid w:val="3BB513C6"/>
    <w:rsid w:val="3BBB470B"/>
    <w:rsid w:val="3BC92571"/>
    <w:rsid w:val="3BCF04EA"/>
    <w:rsid w:val="3BE10919"/>
    <w:rsid w:val="3BE66D84"/>
    <w:rsid w:val="3BF8627E"/>
    <w:rsid w:val="3C0274FD"/>
    <w:rsid w:val="3C0F4376"/>
    <w:rsid w:val="3C0F6F56"/>
    <w:rsid w:val="3C14548B"/>
    <w:rsid w:val="3C1D1172"/>
    <w:rsid w:val="3C2F70BE"/>
    <w:rsid w:val="3C3073EF"/>
    <w:rsid w:val="3C320FE1"/>
    <w:rsid w:val="3C325493"/>
    <w:rsid w:val="3C3616AF"/>
    <w:rsid w:val="3C385BD6"/>
    <w:rsid w:val="3C3B6C18"/>
    <w:rsid w:val="3C3C69F3"/>
    <w:rsid w:val="3C4E0450"/>
    <w:rsid w:val="3C545870"/>
    <w:rsid w:val="3C7B3B44"/>
    <w:rsid w:val="3CA45331"/>
    <w:rsid w:val="3CA57CFE"/>
    <w:rsid w:val="3CAA23D0"/>
    <w:rsid w:val="3CAE4CF8"/>
    <w:rsid w:val="3CAE7AEC"/>
    <w:rsid w:val="3CCC781D"/>
    <w:rsid w:val="3CCE7C2A"/>
    <w:rsid w:val="3CD20411"/>
    <w:rsid w:val="3CDF2588"/>
    <w:rsid w:val="3CE77340"/>
    <w:rsid w:val="3CE90379"/>
    <w:rsid w:val="3CFF37D8"/>
    <w:rsid w:val="3D195B95"/>
    <w:rsid w:val="3D21160E"/>
    <w:rsid w:val="3D2329FD"/>
    <w:rsid w:val="3D29684E"/>
    <w:rsid w:val="3D2B3F35"/>
    <w:rsid w:val="3D2D2003"/>
    <w:rsid w:val="3D39578E"/>
    <w:rsid w:val="3D4C09F9"/>
    <w:rsid w:val="3D4D27F5"/>
    <w:rsid w:val="3D52619D"/>
    <w:rsid w:val="3D534EBF"/>
    <w:rsid w:val="3D5D4D44"/>
    <w:rsid w:val="3D614D99"/>
    <w:rsid w:val="3D6E5D8B"/>
    <w:rsid w:val="3D76742B"/>
    <w:rsid w:val="3D8E3230"/>
    <w:rsid w:val="3D9C4C5C"/>
    <w:rsid w:val="3DA701B4"/>
    <w:rsid w:val="3DA83998"/>
    <w:rsid w:val="3DB16D2A"/>
    <w:rsid w:val="3DB80722"/>
    <w:rsid w:val="3DBD65F0"/>
    <w:rsid w:val="3DC7203E"/>
    <w:rsid w:val="3DD43D14"/>
    <w:rsid w:val="3DDA4533"/>
    <w:rsid w:val="3DE1146E"/>
    <w:rsid w:val="3DE12F32"/>
    <w:rsid w:val="3DEA3F0C"/>
    <w:rsid w:val="3DEB35D1"/>
    <w:rsid w:val="3DF65F0E"/>
    <w:rsid w:val="3DFB25C5"/>
    <w:rsid w:val="3DFF226A"/>
    <w:rsid w:val="3E025CF4"/>
    <w:rsid w:val="3E144F0D"/>
    <w:rsid w:val="3E174D97"/>
    <w:rsid w:val="3E1A10E9"/>
    <w:rsid w:val="3E1A2100"/>
    <w:rsid w:val="3E1B7092"/>
    <w:rsid w:val="3E1F2909"/>
    <w:rsid w:val="3E1F40C4"/>
    <w:rsid w:val="3E20348B"/>
    <w:rsid w:val="3E217503"/>
    <w:rsid w:val="3E392CD6"/>
    <w:rsid w:val="3E3D5661"/>
    <w:rsid w:val="3E43042F"/>
    <w:rsid w:val="3E5A71D5"/>
    <w:rsid w:val="3E7304ED"/>
    <w:rsid w:val="3E73624E"/>
    <w:rsid w:val="3E8F1850"/>
    <w:rsid w:val="3E960E27"/>
    <w:rsid w:val="3E971BFA"/>
    <w:rsid w:val="3E985F61"/>
    <w:rsid w:val="3EAD3EF7"/>
    <w:rsid w:val="3EAD5631"/>
    <w:rsid w:val="3ED20B16"/>
    <w:rsid w:val="3ED5122D"/>
    <w:rsid w:val="3EDA153E"/>
    <w:rsid w:val="3F002AB5"/>
    <w:rsid w:val="3F007F87"/>
    <w:rsid w:val="3F1339B8"/>
    <w:rsid w:val="3F196A9F"/>
    <w:rsid w:val="3F1C125E"/>
    <w:rsid w:val="3F1C1904"/>
    <w:rsid w:val="3F224B09"/>
    <w:rsid w:val="3F240B0A"/>
    <w:rsid w:val="3F24608D"/>
    <w:rsid w:val="3F263CBB"/>
    <w:rsid w:val="3F2653A3"/>
    <w:rsid w:val="3F284847"/>
    <w:rsid w:val="3F2E191C"/>
    <w:rsid w:val="3F3E4D72"/>
    <w:rsid w:val="3F4460BD"/>
    <w:rsid w:val="3F487A21"/>
    <w:rsid w:val="3F4D2FAB"/>
    <w:rsid w:val="3F625DFB"/>
    <w:rsid w:val="3F6741A7"/>
    <w:rsid w:val="3F67457E"/>
    <w:rsid w:val="3F96539B"/>
    <w:rsid w:val="3F9A38BF"/>
    <w:rsid w:val="3F9C5D3D"/>
    <w:rsid w:val="3FA615BB"/>
    <w:rsid w:val="3FAE6978"/>
    <w:rsid w:val="3FB65F72"/>
    <w:rsid w:val="3FB9297E"/>
    <w:rsid w:val="3FC43B3E"/>
    <w:rsid w:val="3FC921C5"/>
    <w:rsid w:val="3FCF0135"/>
    <w:rsid w:val="3FD86EB0"/>
    <w:rsid w:val="3FE56688"/>
    <w:rsid w:val="3FEE25A6"/>
    <w:rsid w:val="3FEF0646"/>
    <w:rsid w:val="3FEF543D"/>
    <w:rsid w:val="3FFC2040"/>
    <w:rsid w:val="3FFF7674"/>
    <w:rsid w:val="401B034E"/>
    <w:rsid w:val="40213B31"/>
    <w:rsid w:val="402F643A"/>
    <w:rsid w:val="40323DF2"/>
    <w:rsid w:val="4043244B"/>
    <w:rsid w:val="404400A2"/>
    <w:rsid w:val="404B0AFD"/>
    <w:rsid w:val="405A761E"/>
    <w:rsid w:val="405B3E44"/>
    <w:rsid w:val="405C4FD6"/>
    <w:rsid w:val="40633724"/>
    <w:rsid w:val="4073511D"/>
    <w:rsid w:val="407511A9"/>
    <w:rsid w:val="40751584"/>
    <w:rsid w:val="408740B2"/>
    <w:rsid w:val="408B409E"/>
    <w:rsid w:val="40B77ACC"/>
    <w:rsid w:val="40B803DC"/>
    <w:rsid w:val="40BD2482"/>
    <w:rsid w:val="40CE01B2"/>
    <w:rsid w:val="40D44447"/>
    <w:rsid w:val="40DB2823"/>
    <w:rsid w:val="40E3448C"/>
    <w:rsid w:val="40EE4695"/>
    <w:rsid w:val="40EE583F"/>
    <w:rsid w:val="40EF2E8F"/>
    <w:rsid w:val="40F27C5E"/>
    <w:rsid w:val="40F42748"/>
    <w:rsid w:val="40FA76BD"/>
    <w:rsid w:val="40FD344B"/>
    <w:rsid w:val="40FE26D2"/>
    <w:rsid w:val="410228FE"/>
    <w:rsid w:val="41044BF4"/>
    <w:rsid w:val="410B01A8"/>
    <w:rsid w:val="41252762"/>
    <w:rsid w:val="412E0DDF"/>
    <w:rsid w:val="41353F90"/>
    <w:rsid w:val="41490CF5"/>
    <w:rsid w:val="414B5671"/>
    <w:rsid w:val="41503639"/>
    <w:rsid w:val="41514F68"/>
    <w:rsid w:val="415D50BB"/>
    <w:rsid w:val="41670752"/>
    <w:rsid w:val="416A0599"/>
    <w:rsid w:val="41712625"/>
    <w:rsid w:val="41741AA2"/>
    <w:rsid w:val="417525E1"/>
    <w:rsid w:val="417C32DA"/>
    <w:rsid w:val="418C16CB"/>
    <w:rsid w:val="41A5473E"/>
    <w:rsid w:val="41A6399F"/>
    <w:rsid w:val="41B938EB"/>
    <w:rsid w:val="41BD4A1A"/>
    <w:rsid w:val="41C76C5D"/>
    <w:rsid w:val="41CC7FB7"/>
    <w:rsid w:val="41CD41ED"/>
    <w:rsid w:val="41DB6B04"/>
    <w:rsid w:val="41DB7ACA"/>
    <w:rsid w:val="41E63E46"/>
    <w:rsid w:val="41E64231"/>
    <w:rsid w:val="41ED4A55"/>
    <w:rsid w:val="41FF4DD1"/>
    <w:rsid w:val="42027EA1"/>
    <w:rsid w:val="420B1F27"/>
    <w:rsid w:val="42182D34"/>
    <w:rsid w:val="42291598"/>
    <w:rsid w:val="42375A27"/>
    <w:rsid w:val="424259D6"/>
    <w:rsid w:val="4243274E"/>
    <w:rsid w:val="424610F7"/>
    <w:rsid w:val="424802AA"/>
    <w:rsid w:val="425D5BCF"/>
    <w:rsid w:val="42784CF1"/>
    <w:rsid w:val="42793113"/>
    <w:rsid w:val="42896F92"/>
    <w:rsid w:val="428A4FE0"/>
    <w:rsid w:val="428E2E24"/>
    <w:rsid w:val="429017FC"/>
    <w:rsid w:val="42914EC6"/>
    <w:rsid w:val="4297701F"/>
    <w:rsid w:val="42977427"/>
    <w:rsid w:val="429C554F"/>
    <w:rsid w:val="42A26D50"/>
    <w:rsid w:val="42A73EBF"/>
    <w:rsid w:val="42B00F6D"/>
    <w:rsid w:val="42B10DBC"/>
    <w:rsid w:val="42B66625"/>
    <w:rsid w:val="42BA1E7D"/>
    <w:rsid w:val="42BC6219"/>
    <w:rsid w:val="42C512CA"/>
    <w:rsid w:val="42C7289D"/>
    <w:rsid w:val="42C85A7F"/>
    <w:rsid w:val="42CE47E6"/>
    <w:rsid w:val="42D54D2A"/>
    <w:rsid w:val="42D86242"/>
    <w:rsid w:val="42E80214"/>
    <w:rsid w:val="42EF5BE0"/>
    <w:rsid w:val="42F851DA"/>
    <w:rsid w:val="42FE4918"/>
    <w:rsid w:val="430345BA"/>
    <w:rsid w:val="430355D1"/>
    <w:rsid w:val="430565C8"/>
    <w:rsid w:val="430931EF"/>
    <w:rsid w:val="43094FC5"/>
    <w:rsid w:val="430C285C"/>
    <w:rsid w:val="4313669C"/>
    <w:rsid w:val="431A01C5"/>
    <w:rsid w:val="43253BC4"/>
    <w:rsid w:val="432927A6"/>
    <w:rsid w:val="432A5BD6"/>
    <w:rsid w:val="432B7DEC"/>
    <w:rsid w:val="43342642"/>
    <w:rsid w:val="433821C6"/>
    <w:rsid w:val="433B122E"/>
    <w:rsid w:val="433F416A"/>
    <w:rsid w:val="435E5073"/>
    <w:rsid w:val="43645BF7"/>
    <w:rsid w:val="436C0027"/>
    <w:rsid w:val="43771E90"/>
    <w:rsid w:val="43821D42"/>
    <w:rsid w:val="43963653"/>
    <w:rsid w:val="43987604"/>
    <w:rsid w:val="43B7549F"/>
    <w:rsid w:val="43B9286F"/>
    <w:rsid w:val="43BB4049"/>
    <w:rsid w:val="43BB4C9D"/>
    <w:rsid w:val="43C93EA9"/>
    <w:rsid w:val="43D65537"/>
    <w:rsid w:val="43DD2294"/>
    <w:rsid w:val="43E12102"/>
    <w:rsid w:val="43E92280"/>
    <w:rsid w:val="43F421E8"/>
    <w:rsid w:val="43F707D8"/>
    <w:rsid w:val="43FF0FBF"/>
    <w:rsid w:val="4401313F"/>
    <w:rsid w:val="4402298A"/>
    <w:rsid w:val="440A7998"/>
    <w:rsid w:val="440C2EEA"/>
    <w:rsid w:val="441D2BDD"/>
    <w:rsid w:val="441D3234"/>
    <w:rsid w:val="441F6C55"/>
    <w:rsid w:val="4420224D"/>
    <w:rsid w:val="442074C6"/>
    <w:rsid w:val="44243A14"/>
    <w:rsid w:val="44244565"/>
    <w:rsid w:val="44291B11"/>
    <w:rsid w:val="44311C57"/>
    <w:rsid w:val="44370325"/>
    <w:rsid w:val="44482FF1"/>
    <w:rsid w:val="44514687"/>
    <w:rsid w:val="445459C2"/>
    <w:rsid w:val="44617D0A"/>
    <w:rsid w:val="44682D18"/>
    <w:rsid w:val="446944E9"/>
    <w:rsid w:val="446F13F6"/>
    <w:rsid w:val="44723BA6"/>
    <w:rsid w:val="4473705C"/>
    <w:rsid w:val="44783538"/>
    <w:rsid w:val="447A346E"/>
    <w:rsid w:val="447C5BAA"/>
    <w:rsid w:val="4480015B"/>
    <w:rsid w:val="448174D9"/>
    <w:rsid w:val="44885E87"/>
    <w:rsid w:val="4490304D"/>
    <w:rsid w:val="44973FBF"/>
    <w:rsid w:val="449A759B"/>
    <w:rsid w:val="44A9401A"/>
    <w:rsid w:val="44AC3086"/>
    <w:rsid w:val="44BD076D"/>
    <w:rsid w:val="44C30184"/>
    <w:rsid w:val="44C8435A"/>
    <w:rsid w:val="44C93ABA"/>
    <w:rsid w:val="44CB6A19"/>
    <w:rsid w:val="44CC451B"/>
    <w:rsid w:val="44DB36D1"/>
    <w:rsid w:val="44EB3F4C"/>
    <w:rsid w:val="44F75C85"/>
    <w:rsid w:val="44FB6168"/>
    <w:rsid w:val="44FC3194"/>
    <w:rsid w:val="44FD00BD"/>
    <w:rsid w:val="45031836"/>
    <w:rsid w:val="4504637B"/>
    <w:rsid w:val="4505700C"/>
    <w:rsid w:val="452306AA"/>
    <w:rsid w:val="45266F78"/>
    <w:rsid w:val="453C4611"/>
    <w:rsid w:val="4542601F"/>
    <w:rsid w:val="45471252"/>
    <w:rsid w:val="455B0F07"/>
    <w:rsid w:val="455B70CF"/>
    <w:rsid w:val="455F21AD"/>
    <w:rsid w:val="456125FB"/>
    <w:rsid w:val="45646D5D"/>
    <w:rsid w:val="456B16C4"/>
    <w:rsid w:val="456E27EF"/>
    <w:rsid w:val="45723D75"/>
    <w:rsid w:val="459E70EB"/>
    <w:rsid w:val="45B304D2"/>
    <w:rsid w:val="45C2259A"/>
    <w:rsid w:val="45C972E7"/>
    <w:rsid w:val="45D66454"/>
    <w:rsid w:val="45F146F2"/>
    <w:rsid w:val="45F710E6"/>
    <w:rsid w:val="45FB5F89"/>
    <w:rsid w:val="45FF1EFE"/>
    <w:rsid w:val="460C4432"/>
    <w:rsid w:val="461058D9"/>
    <w:rsid w:val="46165015"/>
    <w:rsid w:val="46280A29"/>
    <w:rsid w:val="462A1664"/>
    <w:rsid w:val="463B4251"/>
    <w:rsid w:val="465027ED"/>
    <w:rsid w:val="46582079"/>
    <w:rsid w:val="465F4343"/>
    <w:rsid w:val="46663080"/>
    <w:rsid w:val="468539A4"/>
    <w:rsid w:val="46BB3737"/>
    <w:rsid w:val="46C66179"/>
    <w:rsid w:val="46CB17EB"/>
    <w:rsid w:val="46DE668F"/>
    <w:rsid w:val="46E551CD"/>
    <w:rsid w:val="46EE4683"/>
    <w:rsid w:val="47014483"/>
    <w:rsid w:val="4703333D"/>
    <w:rsid w:val="471A4405"/>
    <w:rsid w:val="471E4B3E"/>
    <w:rsid w:val="471E6417"/>
    <w:rsid w:val="472F4367"/>
    <w:rsid w:val="473A5E83"/>
    <w:rsid w:val="473B2404"/>
    <w:rsid w:val="473F3688"/>
    <w:rsid w:val="47522D9A"/>
    <w:rsid w:val="47546291"/>
    <w:rsid w:val="475915CF"/>
    <w:rsid w:val="475B68AF"/>
    <w:rsid w:val="47763C9E"/>
    <w:rsid w:val="4778738B"/>
    <w:rsid w:val="477A3E46"/>
    <w:rsid w:val="47865720"/>
    <w:rsid w:val="478A29F0"/>
    <w:rsid w:val="478A3249"/>
    <w:rsid w:val="478C0ADF"/>
    <w:rsid w:val="478D5D75"/>
    <w:rsid w:val="4790736A"/>
    <w:rsid w:val="47943558"/>
    <w:rsid w:val="479A12BB"/>
    <w:rsid w:val="479E7121"/>
    <w:rsid w:val="47A80B00"/>
    <w:rsid w:val="47AD45F5"/>
    <w:rsid w:val="47BA4FF1"/>
    <w:rsid w:val="47CB6507"/>
    <w:rsid w:val="47D60BBC"/>
    <w:rsid w:val="47D70735"/>
    <w:rsid w:val="47D7163B"/>
    <w:rsid w:val="47E064C7"/>
    <w:rsid w:val="47E156BB"/>
    <w:rsid w:val="47E77EB6"/>
    <w:rsid w:val="47F20C0E"/>
    <w:rsid w:val="48002C62"/>
    <w:rsid w:val="480515E9"/>
    <w:rsid w:val="48065890"/>
    <w:rsid w:val="48127D91"/>
    <w:rsid w:val="48162E9B"/>
    <w:rsid w:val="481E0218"/>
    <w:rsid w:val="48273063"/>
    <w:rsid w:val="482759BB"/>
    <w:rsid w:val="482A5811"/>
    <w:rsid w:val="48343468"/>
    <w:rsid w:val="484031A0"/>
    <w:rsid w:val="48460E01"/>
    <w:rsid w:val="48474441"/>
    <w:rsid w:val="484A3A4D"/>
    <w:rsid w:val="485A4946"/>
    <w:rsid w:val="486C5A57"/>
    <w:rsid w:val="487F196B"/>
    <w:rsid w:val="48843707"/>
    <w:rsid w:val="48865559"/>
    <w:rsid w:val="488B7278"/>
    <w:rsid w:val="488F7885"/>
    <w:rsid w:val="48921589"/>
    <w:rsid w:val="48943290"/>
    <w:rsid w:val="48B1483E"/>
    <w:rsid w:val="48C3184C"/>
    <w:rsid w:val="48E8561D"/>
    <w:rsid w:val="48EC6679"/>
    <w:rsid w:val="48F0103C"/>
    <w:rsid w:val="48F0714D"/>
    <w:rsid w:val="48F3402C"/>
    <w:rsid w:val="48F62D03"/>
    <w:rsid w:val="48F77F22"/>
    <w:rsid w:val="49006A4D"/>
    <w:rsid w:val="49272634"/>
    <w:rsid w:val="492A6E95"/>
    <w:rsid w:val="4939144E"/>
    <w:rsid w:val="493A24D0"/>
    <w:rsid w:val="493C6687"/>
    <w:rsid w:val="493D20BB"/>
    <w:rsid w:val="493E58F3"/>
    <w:rsid w:val="4959124E"/>
    <w:rsid w:val="495D071E"/>
    <w:rsid w:val="496164D0"/>
    <w:rsid w:val="49664EA6"/>
    <w:rsid w:val="496B669D"/>
    <w:rsid w:val="496E712A"/>
    <w:rsid w:val="49722A47"/>
    <w:rsid w:val="4973140F"/>
    <w:rsid w:val="497C4BE1"/>
    <w:rsid w:val="4980732D"/>
    <w:rsid w:val="49A31824"/>
    <w:rsid w:val="49AD7C3B"/>
    <w:rsid w:val="49B15E32"/>
    <w:rsid w:val="49B35477"/>
    <w:rsid w:val="49B66EC5"/>
    <w:rsid w:val="49B73BA5"/>
    <w:rsid w:val="49B7682F"/>
    <w:rsid w:val="49BE306A"/>
    <w:rsid w:val="49C071A1"/>
    <w:rsid w:val="49C161D8"/>
    <w:rsid w:val="49C24A88"/>
    <w:rsid w:val="49CC3F16"/>
    <w:rsid w:val="49D81F13"/>
    <w:rsid w:val="49E31136"/>
    <w:rsid w:val="49ED057A"/>
    <w:rsid w:val="49EF1D86"/>
    <w:rsid w:val="49FD0A6D"/>
    <w:rsid w:val="4A057339"/>
    <w:rsid w:val="4A0C2D29"/>
    <w:rsid w:val="4A15629C"/>
    <w:rsid w:val="4A203CA4"/>
    <w:rsid w:val="4A335BDC"/>
    <w:rsid w:val="4A344670"/>
    <w:rsid w:val="4A360F96"/>
    <w:rsid w:val="4A3A2422"/>
    <w:rsid w:val="4A3B40B2"/>
    <w:rsid w:val="4A4C696C"/>
    <w:rsid w:val="4A551320"/>
    <w:rsid w:val="4A573C9B"/>
    <w:rsid w:val="4A591C97"/>
    <w:rsid w:val="4A5B1925"/>
    <w:rsid w:val="4A9B73F3"/>
    <w:rsid w:val="4AAC1814"/>
    <w:rsid w:val="4AB50E42"/>
    <w:rsid w:val="4AB82002"/>
    <w:rsid w:val="4AB82B50"/>
    <w:rsid w:val="4ABB4926"/>
    <w:rsid w:val="4ABB6F17"/>
    <w:rsid w:val="4ABE1639"/>
    <w:rsid w:val="4ADC4024"/>
    <w:rsid w:val="4AE17C2C"/>
    <w:rsid w:val="4AEA24F0"/>
    <w:rsid w:val="4AEF656B"/>
    <w:rsid w:val="4AF5404E"/>
    <w:rsid w:val="4AF55886"/>
    <w:rsid w:val="4AF83131"/>
    <w:rsid w:val="4B036EDC"/>
    <w:rsid w:val="4B063561"/>
    <w:rsid w:val="4B150032"/>
    <w:rsid w:val="4B1D14E7"/>
    <w:rsid w:val="4B1D73DF"/>
    <w:rsid w:val="4B3A4FA6"/>
    <w:rsid w:val="4B6937DD"/>
    <w:rsid w:val="4B712CB3"/>
    <w:rsid w:val="4B715C38"/>
    <w:rsid w:val="4B766050"/>
    <w:rsid w:val="4B870600"/>
    <w:rsid w:val="4B88227D"/>
    <w:rsid w:val="4B897805"/>
    <w:rsid w:val="4B8E0170"/>
    <w:rsid w:val="4B8E63E6"/>
    <w:rsid w:val="4B964E4F"/>
    <w:rsid w:val="4BC22732"/>
    <w:rsid w:val="4BC27D75"/>
    <w:rsid w:val="4BC65B99"/>
    <w:rsid w:val="4BCC6CA8"/>
    <w:rsid w:val="4BCD230D"/>
    <w:rsid w:val="4BCD53D9"/>
    <w:rsid w:val="4BCF38CB"/>
    <w:rsid w:val="4BD44271"/>
    <w:rsid w:val="4BEF4C5D"/>
    <w:rsid w:val="4BF0140A"/>
    <w:rsid w:val="4BFB520C"/>
    <w:rsid w:val="4BFC046E"/>
    <w:rsid w:val="4BFC6236"/>
    <w:rsid w:val="4BFE10D1"/>
    <w:rsid w:val="4C073CF8"/>
    <w:rsid w:val="4C102782"/>
    <w:rsid w:val="4C132013"/>
    <w:rsid w:val="4C24124B"/>
    <w:rsid w:val="4C322BE9"/>
    <w:rsid w:val="4C4277B4"/>
    <w:rsid w:val="4C4541E5"/>
    <w:rsid w:val="4C476DF9"/>
    <w:rsid w:val="4C511CEE"/>
    <w:rsid w:val="4C5316E4"/>
    <w:rsid w:val="4C554428"/>
    <w:rsid w:val="4C5C3EA5"/>
    <w:rsid w:val="4C61437A"/>
    <w:rsid w:val="4C631272"/>
    <w:rsid w:val="4C822FF7"/>
    <w:rsid w:val="4C8556B7"/>
    <w:rsid w:val="4C89483F"/>
    <w:rsid w:val="4C8A5A53"/>
    <w:rsid w:val="4C943E16"/>
    <w:rsid w:val="4C9C7246"/>
    <w:rsid w:val="4C9F6D0C"/>
    <w:rsid w:val="4CA1222F"/>
    <w:rsid w:val="4CA27E8F"/>
    <w:rsid w:val="4CB30071"/>
    <w:rsid w:val="4CB76367"/>
    <w:rsid w:val="4CBF3179"/>
    <w:rsid w:val="4CCB6F14"/>
    <w:rsid w:val="4CCC16DA"/>
    <w:rsid w:val="4CD1326F"/>
    <w:rsid w:val="4CDD168C"/>
    <w:rsid w:val="4CDE1580"/>
    <w:rsid w:val="4CE856A5"/>
    <w:rsid w:val="4D05310C"/>
    <w:rsid w:val="4D0C5E9D"/>
    <w:rsid w:val="4D0F7EAD"/>
    <w:rsid w:val="4D15514C"/>
    <w:rsid w:val="4D166BD9"/>
    <w:rsid w:val="4D1C782A"/>
    <w:rsid w:val="4D2237E5"/>
    <w:rsid w:val="4D2A6914"/>
    <w:rsid w:val="4D2C0BB1"/>
    <w:rsid w:val="4D341316"/>
    <w:rsid w:val="4D4542AC"/>
    <w:rsid w:val="4D4F3E2D"/>
    <w:rsid w:val="4D5077DD"/>
    <w:rsid w:val="4D706C30"/>
    <w:rsid w:val="4DA15110"/>
    <w:rsid w:val="4DB56ED5"/>
    <w:rsid w:val="4DB73A62"/>
    <w:rsid w:val="4DB97D79"/>
    <w:rsid w:val="4DD30E27"/>
    <w:rsid w:val="4DD90962"/>
    <w:rsid w:val="4E02546D"/>
    <w:rsid w:val="4E0C0C92"/>
    <w:rsid w:val="4E1D44D2"/>
    <w:rsid w:val="4E1E3793"/>
    <w:rsid w:val="4E2241CB"/>
    <w:rsid w:val="4E251856"/>
    <w:rsid w:val="4E282639"/>
    <w:rsid w:val="4E317E06"/>
    <w:rsid w:val="4E3E2E69"/>
    <w:rsid w:val="4E416B1D"/>
    <w:rsid w:val="4E4B212D"/>
    <w:rsid w:val="4E4C1829"/>
    <w:rsid w:val="4E505C40"/>
    <w:rsid w:val="4E585AEF"/>
    <w:rsid w:val="4E5C563B"/>
    <w:rsid w:val="4E650E6B"/>
    <w:rsid w:val="4E6E647A"/>
    <w:rsid w:val="4E7642A7"/>
    <w:rsid w:val="4E7E3962"/>
    <w:rsid w:val="4E9B7400"/>
    <w:rsid w:val="4EA548AD"/>
    <w:rsid w:val="4EC30B2B"/>
    <w:rsid w:val="4EC30BAA"/>
    <w:rsid w:val="4ECF07FD"/>
    <w:rsid w:val="4ED406B0"/>
    <w:rsid w:val="4EDB7799"/>
    <w:rsid w:val="4EE80F4D"/>
    <w:rsid w:val="4EED71B1"/>
    <w:rsid w:val="4EF11B96"/>
    <w:rsid w:val="4EF5428A"/>
    <w:rsid w:val="4EF75441"/>
    <w:rsid w:val="4EF85F9A"/>
    <w:rsid w:val="4F067E7F"/>
    <w:rsid w:val="4F0F0E50"/>
    <w:rsid w:val="4F18079A"/>
    <w:rsid w:val="4F1B620F"/>
    <w:rsid w:val="4F206722"/>
    <w:rsid w:val="4F2717D1"/>
    <w:rsid w:val="4F341D8D"/>
    <w:rsid w:val="4F355697"/>
    <w:rsid w:val="4F4D1CD3"/>
    <w:rsid w:val="4F557736"/>
    <w:rsid w:val="4F5C12A0"/>
    <w:rsid w:val="4F616F31"/>
    <w:rsid w:val="4F7760C5"/>
    <w:rsid w:val="4F815A58"/>
    <w:rsid w:val="4F857B40"/>
    <w:rsid w:val="4F8D7933"/>
    <w:rsid w:val="4F8F24EB"/>
    <w:rsid w:val="4F923128"/>
    <w:rsid w:val="4F996C7E"/>
    <w:rsid w:val="4F9D7F82"/>
    <w:rsid w:val="4F9E10B3"/>
    <w:rsid w:val="4FA85516"/>
    <w:rsid w:val="4FAA4E3A"/>
    <w:rsid w:val="4FB72501"/>
    <w:rsid w:val="4FDB2A14"/>
    <w:rsid w:val="4FE5216E"/>
    <w:rsid w:val="4FEE43C5"/>
    <w:rsid w:val="4FEF7F19"/>
    <w:rsid w:val="4FF50AA2"/>
    <w:rsid w:val="4FF55E04"/>
    <w:rsid w:val="4FF806DC"/>
    <w:rsid w:val="4FFA1F79"/>
    <w:rsid w:val="4FFE6D44"/>
    <w:rsid w:val="501C3419"/>
    <w:rsid w:val="501D4063"/>
    <w:rsid w:val="502A5FF4"/>
    <w:rsid w:val="50334961"/>
    <w:rsid w:val="50404D00"/>
    <w:rsid w:val="504A2ECF"/>
    <w:rsid w:val="50503A64"/>
    <w:rsid w:val="505A032B"/>
    <w:rsid w:val="50611C44"/>
    <w:rsid w:val="50641F16"/>
    <w:rsid w:val="506D39BB"/>
    <w:rsid w:val="506F3338"/>
    <w:rsid w:val="50877E67"/>
    <w:rsid w:val="5094213E"/>
    <w:rsid w:val="509C1B97"/>
    <w:rsid w:val="509E1BF6"/>
    <w:rsid w:val="50A40B8B"/>
    <w:rsid w:val="50A66EF3"/>
    <w:rsid w:val="50AB2E49"/>
    <w:rsid w:val="50AC26DF"/>
    <w:rsid w:val="50AE19B8"/>
    <w:rsid w:val="50B00860"/>
    <w:rsid w:val="50BB1A75"/>
    <w:rsid w:val="50C02457"/>
    <w:rsid w:val="50C22147"/>
    <w:rsid w:val="50D82199"/>
    <w:rsid w:val="50DA5D1D"/>
    <w:rsid w:val="50DF3746"/>
    <w:rsid w:val="50E00775"/>
    <w:rsid w:val="51065AE3"/>
    <w:rsid w:val="51073487"/>
    <w:rsid w:val="5130697A"/>
    <w:rsid w:val="51407712"/>
    <w:rsid w:val="51606D80"/>
    <w:rsid w:val="51815543"/>
    <w:rsid w:val="518D502C"/>
    <w:rsid w:val="519333FF"/>
    <w:rsid w:val="51984E54"/>
    <w:rsid w:val="51A146B6"/>
    <w:rsid w:val="51AE3CED"/>
    <w:rsid w:val="51B97C10"/>
    <w:rsid w:val="51BB5FF1"/>
    <w:rsid w:val="51C26272"/>
    <w:rsid w:val="51C606FB"/>
    <w:rsid w:val="51D854A9"/>
    <w:rsid w:val="51E30B6A"/>
    <w:rsid w:val="51EF1984"/>
    <w:rsid w:val="51F747E0"/>
    <w:rsid w:val="52103C34"/>
    <w:rsid w:val="52114A1C"/>
    <w:rsid w:val="52147C8F"/>
    <w:rsid w:val="52151D21"/>
    <w:rsid w:val="521A1356"/>
    <w:rsid w:val="52252690"/>
    <w:rsid w:val="52252BF9"/>
    <w:rsid w:val="52307421"/>
    <w:rsid w:val="52337F1C"/>
    <w:rsid w:val="5236531B"/>
    <w:rsid w:val="5249689C"/>
    <w:rsid w:val="52525E85"/>
    <w:rsid w:val="525562DE"/>
    <w:rsid w:val="52567E52"/>
    <w:rsid w:val="526A51AF"/>
    <w:rsid w:val="52802154"/>
    <w:rsid w:val="528B4CAA"/>
    <w:rsid w:val="528C13A2"/>
    <w:rsid w:val="528E1B19"/>
    <w:rsid w:val="52BF6099"/>
    <w:rsid w:val="52CD0B04"/>
    <w:rsid w:val="52D935FA"/>
    <w:rsid w:val="52DA789D"/>
    <w:rsid w:val="52E84EAB"/>
    <w:rsid w:val="52F13016"/>
    <w:rsid w:val="52FA4A88"/>
    <w:rsid w:val="530326EF"/>
    <w:rsid w:val="531955E1"/>
    <w:rsid w:val="532173A6"/>
    <w:rsid w:val="53311999"/>
    <w:rsid w:val="533C45DC"/>
    <w:rsid w:val="534534A3"/>
    <w:rsid w:val="53460BCE"/>
    <w:rsid w:val="534C36C4"/>
    <w:rsid w:val="535B5FF9"/>
    <w:rsid w:val="53663AD9"/>
    <w:rsid w:val="536D21D8"/>
    <w:rsid w:val="53796342"/>
    <w:rsid w:val="53803A05"/>
    <w:rsid w:val="53820BB2"/>
    <w:rsid w:val="538B36FB"/>
    <w:rsid w:val="538D79B9"/>
    <w:rsid w:val="5398169E"/>
    <w:rsid w:val="539911C5"/>
    <w:rsid w:val="53AA73C8"/>
    <w:rsid w:val="53C029D2"/>
    <w:rsid w:val="53C241C4"/>
    <w:rsid w:val="53C429B7"/>
    <w:rsid w:val="53D43002"/>
    <w:rsid w:val="53D904AE"/>
    <w:rsid w:val="53E81D64"/>
    <w:rsid w:val="53EB712E"/>
    <w:rsid w:val="53F5628E"/>
    <w:rsid w:val="54003C95"/>
    <w:rsid w:val="540A4448"/>
    <w:rsid w:val="54183F4F"/>
    <w:rsid w:val="541C53CD"/>
    <w:rsid w:val="54241077"/>
    <w:rsid w:val="54251052"/>
    <w:rsid w:val="542E1E30"/>
    <w:rsid w:val="54391E2A"/>
    <w:rsid w:val="543F370E"/>
    <w:rsid w:val="54505D70"/>
    <w:rsid w:val="545C1B55"/>
    <w:rsid w:val="54631A1F"/>
    <w:rsid w:val="547055A0"/>
    <w:rsid w:val="54787ECC"/>
    <w:rsid w:val="54812C87"/>
    <w:rsid w:val="548361DF"/>
    <w:rsid w:val="54957EB4"/>
    <w:rsid w:val="54AA7585"/>
    <w:rsid w:val="54AC3060"/>
    <w:rsid w:val="54AF794C"/>
    <w:rsid w:val="54B67786"/>
    <w:rsid w:val="54BB6BD3"/>
    <w:rsid w:val="54C63A10"/>
    <w:rsid w:val="54DA5C4C"/>
    <w:rsid w:val="54DB7858"/>
    <w:rsid w:val="54E50145"/>
    <w:rsid w:val="54F70681"/>
    <w:rsid w:val="54FB522F"/>
    <w:rsid w:val="55006CF5"/>
    <w:rsid w:val="550D5140"/>
    <w:rsid w:val="55132040"/>
    <w:rsid w:val="551A6E9C"/>
    <w:rsid w:val="55211C4B"/>
    <w:rsid w:val="55265024"/>
    <w:rsid w:val="55293427"/>
    <w:rsid w:val="553E6CB0"/>
    <w:rsid w:val="55437516"/>
    <w:rsid w:val="554A1CE4"/>
    <w:rsid w:val="554B0A2E"/>
    <w:rsid w:val="555A19E2"/>
    <w:rsid w:val="555B33C1"/>
    <w:rsid w:val="55607B9B"/>
    <w:rsid w:val="5569463C"/>
    <w:rsid w:val="55755D7B"/>
    <w:rsid w:val="55757CBD"/>
    <w:rsid w:val="557C5594"/>
    <w:rsid w:val="55957379"/>
    <w:rsid w:val="55966F76"/>
    <w:rsid w:val="55AC349A"/>
    <w:rsid w:val="55B52048"/>
    <w:rsid w:val="55BD174C"/>
    <w:rsid w:val="55C81BB8"/>
    <w:rsid w:val="55CE6A55"/>
    <w:rsid w:val="55DF5269"/>
    <w:rsid w:val="55E216F8"/>
    <w:rsid w:val="55E25788"/>
    <w:rsid w:val="55E417AE"/>
    <w:rsid w:val="55EF6F20"/>
    <w:rsid w:val="55FF40FA"/>
    <w:rsid w:val="56047661"/>
    <w:rsid w:val="560D3F28"/>
    <w:rsid w:val="560F3D55"/>
    <w:rsid w:val="56105F34"/>
    <w:rsid w:val="56147900"/>
    <w:rsid w:val="561671B6"/>
    <w:rsid w:val="56231287"/>
    <w:rsid w:val="5629232E"/>
    <w:rsid w:val="562A339F"/>
    <w:rsid w:val="563450DB"/>
    <w:rsid w:val="563E0D12"/>
    <w:rsid w:val="56444033"/>
    <w:rsid w:val="5649778D"/>
    <w:rsid w:val="56582EC5"/>
    <w:rsid w:val="565A1147"/>
    <w:rsid w:val="565A6D9C"/>
    <w:rsid w:val="56635A76"/>
    <w:rsid w:val="566E512C"/>
    <w:rsid w:val="567808EC"/>
    <w:rsid w:val="56864983"/>
    <w:rsid w:val="568E7350"/>
    <w:rsid w:val="56984E38"/>
    <w:rsid w:val="569B4737"/>
    <w:rsid w:val="56A47248"/>
    <w:rsid w:val="56B96F71"/>
    <w:rsid w:val="56C44362"/>
    <w:rsid w:val="56CA4BBB"/>
    <w:rsid w:val="56D83364"/>
    <w:rsid w:val="56DD6AC9"/>
    <w:rsid w:val="56DF277A"/>
    <w:rsid w:val="56E03E16"/>
    <w:rsid w:val="56ED3EE4"/>
    <w:rsid w:val="56F00B76"/>
    <w:rsid w:val="56F55395"/>
    <w:rsid w:val="56F745A8"/>
    <w:rsid w:val="56FF6F78"/>
    <w:rsid w:val="571635A1"/>
    <w:rsid w:val="57352F0E"/>
    <w:rsid w:val="57354B82"/>
    <w:rsid w:val="573B48F4"/>
    <w:rsid w:val="57415D44"/>
    <w:rsid w:val="57422253"/>
    <w:rsid w:val="5746251C"/>
    <w:rsid w:val="57492FF5"/>
    <w:rsid w:val="574A5AA3"/>
    <w:rsid w:val="575C1A86"/>
    <w:rsid w:val="57767700"/>
    <w:rsid w:val="579A6EF3"/>
    <w:rsid w:val="579B330C"/>
    <w:rsid w:val="57A178D5"/>
    <w:rsid w:val="57A37560"/>
    <w:rsid w:val="57A83858"/>
    <w:rsid w:val="57AF5C54"/>
    <w:rsid w:val="57B2759A"/>
    <w:rsid w:val="57B42188"/>
    <w:rsid w:val="57B45112"/>
    <w:rsid w:val="57B4655E"/>
    <w:rsid w:val="57CC6CEA"/>
    <w:rsid w:val="57CE47D7"/>
    <w:rsid w:val="57D70A47"/>
    <w:rsid w:val="57D903E2"/>
    <w:rsid w:val="57E005EC"/>
    <w:rsid w:val="57FB0019"/>
    <w:rsid w:val="580D4B29"/>
    <w:rsid w:val="58160494"/>
    <w:rsid w:val="581A5F5A"/>
    <w:rsid w:val="58215951"/>
    <w:rsid w:val="5822625D"/>
    <w:rsid w:val="58264612"/>
    <w:rsid w:val="58306021"/>
    <w:rsid w:val="583078AE"/>
    <w:rsid w:val="583D2C7F"/>
    <w:rsid w:val="5843317B"/>
    <w:rsid w:val="58507329"/>
    <w:rsid w:val="587D5FE6"/>
    <w:rsid w:val="58821087"/>
    <w:rsid w:val="588D22B7"/>
    <w:rsid w:val="588F1C60"/>
    <w:rsid w:val="58953FF1"/>
    <w:rsid w:val="589849BB"/>
    <w:rsid w:val="589A731F"/>
    <w:rsid w:val="58B41748"/>
    <w:rsid w:val="58C039AA"/>
    <w:rsid w:val="58C33DB9"/>
    <w:rsid w:val="58C425E3"/>
    <w:rsid w:val="58CF4446"/>
    <w:rsid w:val="58D1737A"/>
    <w:rsid w:val="58DC16DE"/>
    <w:rsid w:val="58EE76E8"/>
    <w:rsid w:val="58F67780"/>
    <w:rsid w:val="58FD2B7C"/>
    <w:rsid w:val="58FF0E69"/>
    <w:rsid w:val="59174271"/>
    <w:rsid w:val="59206ABC"/>
    <w:rsid w:val="59256ED3"/>
    <w:rsid w:val="59271FEC"/>
    <w:rsid w:val="59350CC7"/>
    <w:rsid w:val="59393975"/>
    <w:rsid w:val="59417210"/>
    <w:rsid w:val="5946051F"/>
    <w:rsid w:val="595B07E0"/>
    <w:rsid w:val="59692FF0"/>
    <w:rsid w:val="596A6CE9"/>
    <w:rsid w:val="597645D2"/>
    <w:rsid w:val="597E00FB"/>
    <w:rsid w:val="597E453F"/>
    <w:rsid w:val="597E49BB"/>
    <w:rsid w:val="59932EFC"/>
    <w:rsid w:val="59967306"/>
    <w:rsid w:val="599C2C1B"/>
    <w:rsid w:val="599D37A3"/>
    <w:rsid w:val="59B10E52"/>
    <w:rsid w:val="59B76C32"/>
    <w:rsid w:val="59C67DEE"/>
    <w:rsid w:val="59C9568A"/>
    <w:rsid w:val="59D00AB8"/>
    <w:rsid w:val="59E74322"/>
    <w:rsid w:val="5A002FA3"/>
    <w:rsid w:val="5A007E30"/>
    <w:rsid w:val="5A0343C9"/>
    <w:rsid w:val="5A08125A"/>
    <w:rsid w:val="5A0E7F63"/>
    <w:rsid w:val="5A160D56"/>
    <w:rsid w:val="5A2179FB"/>
    <w:rsid w:val="5A243921"/>
    <w:rsid w:val="5A2776EF"/>
    <w:rsid w:val="5A45521F"/>
    <w:rsid w:val="5A4752B6"/>
    <w:rsid w:val="5A5051A4"/>
    <w:rsid w:val="5A6A69B7"/>
    <w:rsid w:val="5A6B504C"/>
    <w:rsid w:val="5A885001"/>
    <w:rsid w:val="5A8960C5"/>
    <w:rsid w:val="5A99743F"/>
    <w:rsid w:val="5A9E1877"/>
    <w:rsid w:val="5AA87A7C"/>
    <w:rsid w:val="5AA91D17"/>
    <w:rsid w:val="5AAC3162"/>
    <w:rsid w:val="5AB216C4"/>
    <w:rsid w:val="5ABC1E55"/>
    <w:rsid w:val="5ADD4D11"/>
    <w:rsid w:val="5AE26CDD"/>
    <w:rsid w:val="5AE42730"/>
    <w:rsid w:val="5AE75385"/>
    <w:rsid w:val="5AEA0953"/>
    <w:rsid w:val="5AEC23B4"/>
    <w:rsid w:val="5B052047"/>
    <w:rsid w:val="5B0D3DD0"/>
    <w:rsid w:val="5B0F7EB6"/>
    <w:rsid w:val="5B266F16"/>
    <w:rsid w:val="5B2B4256"/>
    <w:rsid w:val="5B32108D"/>
    <w:rsid w:val="5B3625B8"/>
    <w:rsid w:val="5B3B3368"/>
    <w:rsid w:val="5B3F47FC"/>
    <w:rsid w:val="5B41351D"/>
    <w:rsid w:val="5B624147"/>
    <w:rsid w:val="5B640BA4"/>
    <w:rsid w:val="5B7339AD"/>
    <w:rsid w:val="5B813703"/>
    <w:rsid w:val="5B842A8E"/>
    <w:rsid w:val="5B9F61D8"/>
    <w:rsid w:val="5BA86394"/>
    <w:rsid w:val="5BB82B14"/>
    <w:rsid w:val="5BB95B06"/>
    <w:rsid w:val="5BC03858"/>
    <w:rsid w:val="5BD536D5"/>
    <w:rsid w:val="5BF2787E"/>
    <w:rsid w:val="5BFA335F"/>
    <w:rsid w:val="5C322A65"/>
    <w:rsid w:val="5C46536D"/>
    <w:rsid w:val="5C526F7B"/>
    <w:rsid w:val="5C595364"/>
    <w:rsid w:val="5C6959CB"/>
    <w:rsid w:val="5C6C51C1"/>
    <w:rsid w:val="5C7B6810"/>
    <w:rsid w:val="5C7E1616"/>
    <w:rsid w:val="5C805B19"/>
    <w:rsid w:val="5C8252D4"/>
    <w:rsid w:val="5C84485C"/>
    <w:rsid w:val="5C861F85"/>
    <w:rsid w:val="5C917CB2"/>
    <w:rsid w:val="5C92145C"/>
    <w:rsid w:val="5C99030E"/>
    <w:rsid w:val="5C9A4295"/>
    <w:rsid w:val="5C9B4F43"/>
    <w:rsid w:val="5C9E3C9E"/>
    <w:rsid w:val="5CAD01E8"/>
    <w:rsid w:val="5CB149DB"/>
    <w:rsid w:val="5CC434C5"/>
    <w:rsid w:val="5CD3177D"/>
    <w:rsid w:val="5CD40035"/>
    <w:rsid w:val="5CDA5F34"/>
    <w:rsid w:val="5CDC0140"/>
    <w:rsid w:val="5CDF2B73"/>
    <w:rsid w:val="5CE9458D"/>
    <w:rsid w:val="5D0449CF"/>
    <w:rsid w:val="5D0E21AC"/>
    <w:rsid w:val="5D3468C4"/>
    <w:rsid w:val="5D3B635D"/>
    <w:rsid w:val="5D434714"/>
    <w:rsid w:val="5D457A5D"/>
    <w:rsid w:val="5D4E3012"/>
    <w:rsid w:val="5D4E3C68"/>
    <w:rsid w:val="5D5969CE"/>
    <w:rsid w:val="5D5F23EC"/>
    <w:rsid w:val="5D797731"/>
    <w:rsid w:val="5D7E7E9A"/>
    <w:rsid w:val="5DA70253"/>
    <w:rsid w:val="5DA82CCD"/>
    <w:rsid w:val="5DB55C27"/>
    <w:rsid w:val="5DCB09A1"/>
    <w:rsid w:val="5DCB5CF0"/>
    <w:rsid w:val="5DDC29E4"/>
    <w:rsid w:val="5DF239A3"/>
    <w:rsid w:val="5E0B036F"/>
    <w:rsid w:val="5E0E1390"/>
    <w:rsid w:val="5E12327B"/>
    <w:rsid w:val="5E213EF8"/>
    <w:rsid w:val="5E2C29D6"/>
    <w:rsid w:val="5E2F5CFC"/>
    <w:rsid w:val="5E3036B9"/>
    <w:rsid w:val="5E32252F"/>
    <w:rsid w:val="5E42228C"/>
    <w:rsid w:val="5E464496"/>
    <w:rsid w:val="5E4713C4"/>
    <w:rsid w:val="5E61698D"/>
    <w:rsid w:val="5E7E60A9"/>
    <w:rsid w:val="5E901A68"/>
    <w:rsid w:val="5EB17513"/>
    <w:rsid w:val="5EB860D2"/>
    <w:rsid w:val="5EBC2E54"/>
    <w:rsid w:val="5EDA2CAC"/>
    <w:rsid w:val="5EDB00E0"/>
    <w:rsid w:val="5EDE5287"/>
    <w:rsid w:val="5EE61F49"/>
    <w:rsid w:val="5F1950E1"/>
    <w:rsid w:val="5F1E54FC"/>
    <w:rsid w:val="5F1E7070"/>
    <w:rsid w:val="5F315AA9"/>
    <w:rsid w:val="5F3634EE"/>
    <w:rsid w:val="5F3F74F9"/>
    <w:rsid w:val="5F445B2E"/>
    <w:rsid w:val="5F5A7308"/>
    <w:rsid w:val="5F5F359D"/>
    <w:rsid w:val="5F6E41B1"/>
    <w:rsid w:val="5F714634"/>
    <w:rsid w:val="5F714A57"/>
    <w:rsid w:val="5F715D02"/>
    <w:rsid w:val="5F785CFF"/>
    <w:rsid w:val="5F7B5532"/>
    <w:rsid w:val="5F8C05DD"/>
    <w:rsid w:val="5F9136E2"/>
    <w:rsid w:val="5F945C6E"/>
    <w:rsid w:val="5F9609A6"/>
    <w:rsid w:val="5F963589"/>
    <w:rsid w:val="5F976056"/>
    <w:rsid w:val="5F9A541A"/>
    <w:rsid w:val="5FA03C55"/>
    <w:rsid w:val="5FA96BB5"/>
    <w:rsid w:val="5FC26490"/>
    <w:rsid w:val="5FCB0FAC"/>
    <w:rsid w:val="5FCC0F20"/>
    <w:rsid w:val="5FD7050C"/>
    <w:rsid w:val="5FE3287C"/>
    <w:rsid w:val="5FE502FA"/>
    <w:rsid w:val="5FEF66DA"/>
    <w:rsid w:val="5FF727EF"/>
    <w:rsid w:val="600A2620"/>
    <w:rsid w:val="600D7226"/>
    <w:rsid w:val="6010367B"/>
    <w:rsid w:val="60177C95"/>
    <w:rsid w:val="601C03AD"/>
    <w:rsid w:val="60226395"/>
    <w:rsid w:val="60282BEF"/>
    <w:rsid w:val="602B20E7"/>
    <w:rsid w:val="602F7A19"/>
    <w:rsid w:val="603C224B"/>
    <w:rsid w:val="60444B10"/>
    <w:rsid w:val="604C03D2"/>
    <w:rsid w:val="60612816"/>
    <w:rsid w:val="60615277"/>
    <w:rsid w:val="60695999"/>
    <w:rsid w:val="607346D5"/>
    <w:rsid w:val="608D470F"/>
    <w:rsid w:val="608F1164"/>
    <w:rsid w:val="60A023E2"/>
    <w:rsid w:val="60AC0BDD"/>
    <w:rsid w:val="60C86DFB"/>
    <w:rsid w:val="60CF38D6"/>
    <w:rsid w:val="60D46DAF"/>
    <w:rsid w:val="60D52922"/>
    <w:rsid w:val="60F87B91"/>
    <w:rsid w:val="6100676D"/>
    <w:rsid w:val="61032C9D"/>
    <w:rsid w:val="610757A6"/>
    <w:rsid w:val="610A1465"/>
    <w:rsid w:val="6110560E"/>
    <w:rsid w:val="61122616"/>
    <w:rsid w:val="61124738"/>
    <w:rsid w:val="61143FE6"/>
    <w:rsid w:val="61224AC8"/>
    <w:rsid w:val="612416C4"/>
    <w:rsid w:val="612F062B"/>
    <w:rsid w:val="61316948"/>
    <w:rsid w:val="61355264"/>
    <w:rsid w:val="61366397"/>
    <w:rsid w:val="613D1908"/>
    <w:rsid w:val="613E6B14"/>
    <w:rsid w:val="61466D6C"/>
    <w:rsid w:val="61474679"/>
    <w:rsid w:val="61651B50"/>
    <w:rsid w:val="616B34F1"/>
    <w:rsid w:val="61762A25"/>
    <w:rsid w:val="61967EE9"/>
    <w:rsid w:val="619855D1"/>
    <w:rsid w:val="619F0AE4"/>
    <w:rsid w:val="61A8544A"/>
    <w:rsid w:val="61B34920"/>
    <w:rsid w:val="61B8363E"/>
    <w:rsid w:val="61D35210"/>
    <w:rsid w:val="61D62588"/>
    <w:rsid w:val="61E10F96"/>
    <w:rsid w:val="61E20CAB"/>
    <w:rsid w:val="61E26A39"/>
    <w:rsid w:val="61EA1899"/>
    <w:rsid w:val="61EE361C"/>
    <w:rsid w:val="61F2346C"/>
    <w:rsid w:val="61F3564A"/>
    <w:rsid w:val="620455FF"/>
    <w:rsid w:val="62051E5E"/>
    <w:rsid w:val="620751EB"/>
    <w:rsid w:val="62096860"/>
    <w:rsid w:val="620D5CAE"/>
    <w:rsid w:val="620F5FBB"/>
    <w:rsid w:val="621141EC"/>
    <w:rsid w:val="621B439A"/>
    <w:rsid w:val="622542A4"/>
    <w:rsid w:val="622F4676"/>
    <w:rsid w:val="62357B4C"/>
    <w:rsid w:val="623C3E79"/>
    <w:rsid w:val="624B1DCB"/>
    <w:rsid w:val="624D3860"/>
    <w:rsid w:val="62642BCA"/>
    <w:rsid w:val="627830C8"/>
    <w:rsid w:val="627E4AA6"/>
    <w:rsid w:val="628C2580"/>
    <w:rsid w:val="62901E6E"/>
    <w:rsid w:val="6299479C"/>
    <w:rsid w:val="62AE5634"/>
    <w:rsid w:val="62B775E1"/>
    <w:rsid w:val="62B8695E"/>
    <w:rsid w:val="62C054DC"/>
    <w:rsid w:val="62C20E6C"/>
    <w:rsid w:val="62CD43DC"/>
    <w:rsid w:val="62D50569"/>
    <w:rsid w:val="62D877BF"/>
    <w:rsid w:val="62DD303E"/>
    <w:rsid w:val="62E01DCA"/>
    <w:rsid w:val="62E03F56"/>
    <w:rsid w:val="62EB1915"/>
    <w:rsid w:val="62EC4F39"/>
    <w:rsid w:val="62F05B79"/>
    <w:rsid w:val="62F43C66"/>
    <w:rsid w:val="62F54D21"/>
    <w:rsid w:val="62F83111"/>
    <w:rsid w:val="630E2BEE"/>
    <w:rsid w:val="63145F63"/>
    <w:rsid w:val="63153B67"/>
    <w:rsid w:val="63191F45"/>
    <w:rsid w:val="631A114F"/>
    <w:rsid w:val="631F4897"/>
    <w:rsid w:val="6327117C"/>
    <w:rsid w:val="633270F6"/>
    <w:rsid w:val="63340F00"/>
    <w:rsid w:val="633849E8"/>
    <w:rsid w:val="633F742D"/>
    <w:rsid w:val="63446387"/>
    <w:rsid w:val="63541E44"/>
    <w:rsid w:val="6359534E"/>
    <w:rsid w:val="636C63D7"/>
    <w:rsid w:val="637A1FAF"/>
    <w:rsid w:val="638350A5"/>
    <w:rsid w:val="63854194"/>
    <w:rsid w:val="639123D5"/>
    <w:rsid w:val="63936CEA"/>
    <w:rsid w:val="63945C4D"/>
    <w:rsid w:val="6394724E"/>
    <w:rsid w:val="639532D1"/>
    <w:rsid w:val="63A91068"/>
    <w:rsid w:val="63AA53D6"/>
    <w:rsid w:val="63AF6032"/>
    <w:rsid w:val="63B7308A"/>
    <w:rsid w:val="63BA23B1"/>
    <w:rsid w:val="63BE0768"/>
    <w:rsid w:val="63BE1EAF"/>
    <w:rsid w:val="63BE38DD"/>
    <w:rsid w:val="63BE4877"/>
    <w:rsid w:val="63CC1E6C"/>
    <w:rsid w:val="63D42E6F"/>
    <w:rsid w:val="63D56733"/>
    <w:rsid w:val="63DF01FA"/>
    <w:rsid w:val="63ED7418"/>
    <w:rsid w:val="63F55F2B"/>
    <w:rsid w:val="63FB2A16"/>
    <w:rsid w:val="640E09AC"/>
    <w:rsid w:val="641423F7"/>
    <w:rsid w:val="6414705B"/>
    <w:rsid w:val="6418742C"/>
    <w:rsid w:val="64241675"/>
    <w:rsid w:val="642E0DC1"/>
    <w:rsid w:val="64383811"/>
    <w:rsid w:val="643B1DDB"/>
    <w:rsid w:val="64527EE2"/>
    <w:rsid w:val="6463704A"/>
    <w:rsid w:val="64680B35"/>
    <w:rsid w:val="646D4927"/>
    <w:rsid w:val="64746411"/>
    <w:rsid w:val="64773568"/>
    <w:rsid w:val="64784319"/>
    <w:rsid w:val="647F5072"/>
    <w:rsid w:val="648A53C3"/>
    <w:rsid w:val="649609B3"/>
    <w:rsid w:val="649C3ACA"/>
    <w:rsid w:val="64AD6C47"/>
    <w:rsid w:val="64AF3495"/>
    <w:rsid w:val="64B1582E"/>
    <w:rsid w:val="64C007C5"/>
    <w:rsid w:val="64C25AE1"/>
    <w:rsid w:val="64CC53E2"/>
    <w:rsid w:val="64D8522D"/>
    <w:rsid w:val="64F459EF"/>
    <w:rsid w:val="64FC6A39"/>
    <w:rsid w:val="64FF5554"/>
    <w:rsid w:val="64FF5B33"/>
    <w:rsid w:val="650C735C"/>
    <w:rsid w:val="651A528F"/>
    <w:rsid w:val="652210F7"/>
    <w:rsid w:val="65252373"/>
    <w:rsid w:val="652D20EA"/>
    <w:rsid w:val="65310787"/>
    <w:rsid w:val="65320BD1"/>
    <w:rsid w:val="654A0485"/>
    <w:rsid w:val="655679F7"/>
    <w:rsid w:val="655C0221"/>
    <w:rsid w:val="656A3DE1"/>
    <w:rsid w:val="656B28FD"/>
    <w:rsid w:val="657958FF"/>
    <w:rsid w:val="657A4E84"/>
    <w:rsid w:val="657F02BE"/>
    <w:rsid w:val="6584001B"/>
    <w:rsid w:val="658558D2"/>
    <w:rsid w:val="658B2995"/>
    <w:rsid w:val="65911C80"/>
    <w:rsid w:val="65981B19"/>
    <w:rsid w:val="65A264C4"/>
    <w:rsid w:val="65AC7F98"/>
    <w:rsid w:val="65AF7515"/>
    <w:rsid w:val="65B01F8D"/>
    <w:rsid w:val="65BD63F3"/>
    <w:rsid w:val="65D63A96"/>
    <w:rsid w:val="65F46A63"/>
    <w:rsid w:val="65FF233E"/>
    <w:rsid w:val="660367A1"/>
    <w:rsid w:val="6607745E"/>
    <w:rsid w:val="66093FCB"/>
    <w:rsid w:val="660C1008"/>
    <w:rsid w:val="66130AAB"/>
    <w:rsid w:val="66247877"/>
    <w:rsid w:val="663F3D5C"/>
    <w:rsid w:val="66442B47"/>
    <w:rsid w:val="6645606B"/>
    <w:rsid w:val="664A5DB0"/>
    <w:rsid w:val="664F5592"/>
    <w:rsid w:val="666138BE"/>
    <w:rsid w:val="666B61C1"/>
    <w:rsid w:val="66704DB8"/>
    <w:rsid w:val="667430BA"/>
    <w:rsid w:val="667D6E94"/>
    <w:rsid w:val="667E376F"/>
    <w:rsid w:val="66814262"/>
    <w:rsid w:val="6687181F"/>
    <w:rsid w:val="66956B8B"/>
    <w:rsid w:val="66991703"/>
    <w:rsid w:val="669D565A"/>
    <w:rsid w:val="669D5DF0"/>
    <w:rsid w:val="66A04B27"/>
    <w:rsid w:val="66A05988"/>
    <w:rsid w:val="66AB0232"/>
    <w:rsid w:val="66AC42E9"/>
    <w:rsid w:val="66B20A89"/>
    <w:rsid w:val="66B327B0"/>
    <w:rsid w:val="66B57968"/>
    <w:rsid w:val="66B92610"/>
    <w:rsid w:val="66C65DA4"/>
    <w:rsid w:val="66CB27C0"/>
    <w:rsid w:val="66CD7497"/>
    <w:rsid w:val="66D525AE"/>
    <w:rsid w:val="66E67C21"/>
    <w:rsid w:val="66EA41B3"/>
    <w:rsid w:val="66F939B6"/>
    <w:rsid w:val="67027284"/>
    <w:rsid w:val="674027E5"/>
    <w:rsid w:val="67475E38"/>
    <w:rsid w:val="67537032"/>
    <w:rsid w:val="67656864"/>
    <w:rsid w:val="6766467F"/>
    <w:rsid w:val="676B362B"/>
    <w:rsid w:val="676D60D7"/>
    <w:rsid w:val="67775F53"/>
    <w:rsid w:val="67805079"/>
    <w:rsid w:val="67873F03"/>
    <w:rsid w:val="679773D7"/>
    <w:rsid w:val="679E131D"/>
    <w:rsid w:val="67A2624C"/>
    <w:rsid w:val="67AE39D7"/>
    <w:rsid w:val="67B2779B"/>
    <w:rsid w:val="67B42723"/>
    <w:rsid w:val="67C26BE9"/>
    <w:rsid w:val="67C935E9"/>
    <w:rsid w:val="67C95069"/>
    <w:rsid w:val="67CD5390"/>
    <w:rsid w:val="67CF66A0"/>
    <w:rsid w:val="67D55811"/>
    <w:rsid w:val="67D73840"/>
    <w:rsid w:val="67F41BB8"/>
    <w:rsid w:val="67F60BB7"/>
    <w:rsid w:val="67FB60A5"/>
    <w:rsid w:val="67FC1404"/>
    <w:rsid w:val="68022384"/>
    <w:rsid w:val="6806232A"/>
    <w:rsid w:val="680901EC"/>
    <w:rsid w:val="680B049B"/>
    <w:rsid w:val="681329CD"/>
    <w:rsid w:val="681E50F5"/>
    <w:rsid w:val="682870E2"/>
    <w:rsid w:val="682B1DC8"/>
    <w:rsid w:val="68514045"/>
    <w:rsid w:val="68541A0A"/>
    <w:rsid w:val="686E2CBE"/>
    <w:rsid w:val="68995A67"/>
    <w:rsid w:val="689E408E"/>
    <w:rsid w:val="68B77FEA"/>
    <w:rsid w:val="68BE2805"/>
    <w:rsid w:val="68CC65D0"/>
    <w:rsid w:val="68D121D5"/>
    <w:rsid w:val="68D8103F"/>
    <w:rsid w:val="68EE6D9D"/>
    <w:rsid w:val="68FB681C"/>
    <w:rsid w:val="69005F31"/>
    <w:rsid w:val="69010FD4"/>
    <w:rsid w:val="690E0534"/>
    <w:rsid w:val="69214F2D"/>
    <w:rsid w:val="69256789"/>
    <w:rsid w:val="69294D34"/>
    <w:rsid w:val="6934460D"/>
    <w:rsid w:val="693508DD"/>
    <w:rsid w:val="694A5299"/>
    <w:rsid w:val="694E280C"/>
    <w:rsid w:val="69554EBE"/>
    <w:rsid w:val="695568D4"/>
    <w:rsid w:val="69607A6C"/>
    <w:rsid w:val="696B7A43"/>
    <w:rsid w:val="696D0FD1"/>
    <w:rsid w:val="697C6401"/>
    <w:rsid w:val="697D34E1"/>
    <w:rsid w:val="69822039"/>
    <w:rsid w:val="69865073"/>
    <w:rsid w:val="698C58DA"/>
    <w:rsid w:val="69954DA9"/>
    <w:rsid w:val="6999348E"/>
    <w:rsid w:val="69A7696E"/>
    <w:rsid w:val="69AB6664"/>
    <w:rsid w:val="69C37CDD"/>
    <w:rsid w:val="69CD70A4"/>
    <w:rsid w:val="69D973C3"/>
    <w:rsid w:val="69DF007F"/>
    <w:rsid w:val="69E63DBE"/>
    <w:rsid w:val="69F27551"/>
    <w:rsid w:val="6A017D99"/>
    <w:rsid w:val="6A095812"/>
    <w:rsid w:val="6A0F4B07"/>
    <w:rsid w:val="6A114CCF"/>
    <w:rsid w:val="6A195EB9"/>
    <w:rsid w:val="6A322912"/>
    <w:rsid w:val="6A331379"/>
    <w:rsid w:val="6A483D54"/>
    <w:rsid w:val="6A497372"/>
    <w:rsid w:val="6A4C7F9A"/>
    <w:rsid w:val="6A4E7F60"/>
    <w:rsid w:val="6A4F0FE3"/>
    <w:rsid w:val="6A632100"/>
    <w:rsid w:val="6A647A43"/>
    <w:rsid w:val="6A6E3D8A"/>
    <w:rsid w:val="6A702E47"/>
    <w:rsid w:val="6A81003E"/>
    <w:rsid w:val="6A907C90"/>
    <w:rsid w:val="6ABD2B8A"/>
    <w:rsid w:val="6AC122A3"/>
    <w:rsid w:val="6ACA5FB0"/>
    <w:rsid w:val="6ACF4C27"/>
    <w:rsid w:val="6ADE18EE"/>
    <w:rsid w:val="6ADF3594"/>
    <w:rsid w:val="6AE73F4D"/>
    <w:rsid w:val="6AF17318"/>
    <w:rsid w:val="6B0B1D32"/>
    <w:rsid w:val="6B0F0139"/>
    <w:rsid w:val="6B0F0659"/>
    <w:rsid w:val="6B2142CE"/>
    <w:rsid w:val="6B2315D2"/>
    <w:rsid w:val="6B25182E"/>
    <w:rsid w:val="6B276A3E"/>
    <w:rsid w:val="6B30021B"/>
    <w:rsid w:val="6B3B0707"/>
    <w:rsid w:val="6B471513"/>
    <w:rsid w:val="6B56083E"/>
    <w:rsid w:val="6B5D2250"/>
    <w:rsid w:val="6B5F2E07"/>
    <w:rsid w:val="6B6B376C"/>
    <w:rsid w:val="6B7C613A"/>
    <w:rsid w:val="6B7F0990"/>
    <w:rsid w:val="6B850C29"/>
    <w:rsid w:val="6B954CEF"/>
    <w:rsid w:val="6BA840D6"/>
    <w:rsid w:val="6BAC1043"/>
    <w:rsid w:val="6BAD2A66"/>
    <w:rsid w:val="6BB87FC4"/>
    <w:rsid w:val="6BBE61C0"/>
    <w:rsid w:val="6BD46B4D"/>
    <w:rsid w:val="6BDE22A7"/>
    <w:rsid w:val="6BE73798"/>
    <w:rsid w:val="6BEC2FCA"/>
    <w:rsid w:val="6BF419EF"/>
    <w:rsid w:val="6BFF2E92"/>
    <w:rsid w:val="6C182FA3"/>
    <w:rsid w:val="6C1A082E"/>
    <w:rsid w:val="6C3707E3"/>
    <w:rsid w:val="6C5D623A"/>
    <w:rsid w:val="6C693AEA"/>
    <w:rsid w:val="6C6958BA"/>
    <w:rsid w:val="6C69732B"/>
    <w:rsid w:val="6C6A2B82"/>
    <w:rsid w:val="6C6E6BE1"/>
    <w:rsid w:val="6C6F3102"/>
    <w:rsid w:val="6C784971"/>
    <w:rsid w:val="6C860712"/>
    <w:rsid w:val="6C860B71"/>
    <w:rsid w:val="6C863AD3"/>
    <w:rsid w:val="6C8F0FB6"/>
    <w:rsid w:val="6C975335"/>
    <w:rsid w:val="6C995B9F"/>
    <w:rsid w:val="6C9C715F"/>
    <w:rsid w:val="6CB03800"/>
    <w:rsid w:val="6CB36312"/>
    <w:rsid w:val="6CB543F8"/>
    <w:rsid w:val="6CD3191A"/>
    <w:rsid w:val="6CE83B52"/>
    <w:rsid w:val="6CF71267"/>
    <w:rsid w:val="6CFD7470"/>
    <w:rsid w:val="6D193B0B"/>
    <w:rsid w:val="6D1E7058"/>
    <w:rsid w:val="6D2162B4"/>
    <w:rsid w:val="6D216DEF"/>
    <w:rsid w:val="6D222178"/>
    <w:rsid w:val="6D2C13DF"/>
    <w:rsid w:val="6D2F5008"/>
    <w:rsid w:val="6D351109"/>
    <w:rsid w:val="6D39408A"/>
    <w:rsid w:val="6D3F07B6"/>
    <w:rsid w:val="6D535020"/>
    <w:rsid w:val="6D5A4F02"/>
    <w:rsid w:val="6D644C93"/>
    <w:rsid w:val="6D6A5CC8"/>
    <w:rsid w:val="6D6B3F91"/>
    <w:rsid w:val="6D7538E1"/>
    <w:rsid w:val="6D7707C3"/>
    <w:rsid w:val="6D86428B"/>
    <w:rsid w:val="6D8901BC"/>
    <w:rsid w:val="6D9346AE"/>
    <w:rsid w:val="6DA93E2C"/>
    <w:rsid w:val="6DB16CB7"/>
    <w:rsid w:val="6DB22D18"/>
    <w:rsid w:val="6DB96B12"/>
    <w:rsid w:val="6DC30A82"/>
    <w:rsid w:val="6DC918BA"/>
    <w:rsid w:val="6DCE7E6C"/>
    <w:rsid w:val="6DD16FED"/>
    <w:rsid w:val="6DE04488"/>
    <w:rsid w:val="6DEE7E36"/>
    <w:rsid w:val="6DF90DFC"/>
    <w:rsid w:val="6E132BBF"/>
    <w:rsid w:val="6E154224"/>
    <w:rsid w:val="6E156AB9"/>
    <w:rsid w:val="6E255579"/>
    <w:rsid w:val="6E2A1D7A"/>
    <w:rsid w:val="6E2D17B9"/>
    <w:rsid w:val="6E347D9E"/>
    <w:rsid w:val="6E39640B"/>
    <w:rsid w:val="6E457FD7"/>
    <w:rsid w:val="6E4E1431"/>
    <w:rsid w:val="6E5140E8"/>
    <w:rsid w:val="6E523ECC"/>
    <w:rsid w:val="6E6A4D62"/>
    <w:rsid w:val="6E733917"/>
    <w:rsid w:val="6E777980"/>
    <w:rsid w:val="6E8C433E"/>
    <w:rsid w:val="6E915325"/>
    <w:rsid w:val="6E950807"/>
    <w:rsid w:val="6E9C45CA"/>
    <w:rsid w:val="6EAE5828"/>
    <w:rsid w:val="6EBF54EA"/>
    <w:rsid w:val="6ECB09B7"/>
    <w:rsid w:val="6ECC5B21"/>
    <w:rsid w:val="6ED0560A"/>
    <w:rsid w:val="6EE62D04"/>
    <w:rsid w:val="6EEC353D"/>
    <w:rsid w:val="6EEE2824"/>
    <w:rsid w:val="6EEF1C1D"/>
    <w:rsid w:val="6EF05FA7"/>
    <w:rsid w:val="6EF43A7A"/>
    <w:rsid w:val="6F097E86"/>
    <w:rsid w:val="6F151595"/>
    <w:rsid w:val="6F2C025F"/>
    <w:rsid w:val="6F2C25D4"/>
    <w:rsid w:val="6F2D598D"/>
    <w:rsid w:val="6F4308A1"/>
    <w:rsid w:val="6F46405D"/>
    <w:rsid w:val="6F5603AA"/>
    <w:rsid w:val="6F582142"/>
    <w:rsid w:val="6F6311C3"/>
    <w:rsid w:val="6F6F143A"/>
    <w:rsid w:val="6F7B4F57"/>
    <w:rsid w:val="6F8173A5"/>
    <w:rsid w:val="6F8731F0"/>
    <w:rsid w:val="6F98023F"/>
    <w:rsid w:val="6FAF5EAE"/>
    <w:rsid w:val="6FBC0E57"/>
    <w:rsid w:val="6FC57B35"/>
    <w:rsid w:val="6FCB5618"/>
    <w:rsid w:val="6FE26034"/>
    <w:rsid w:val="6FF551F5"/>
    <w:rsid w:val="6FF567F7"/>
    <w:rsid w:val="6FF901E4"/>
    <w:rsid w:val="6FFA68F6"/>
    <w:rsid w:val="7004100D"/>
    <w:rsid w:val="701820FB"/>
    <w:rsid w:val="70224DE3"/>
    <w:rsid w:val="703503A4"/>
    <w:rsid w:val="7036351C"/>
    <w:rsid w:val="703D6CEF"/>
    <w:rsid w:val="70412B93"/>
    <w:rsid w:val="70553D44"/>
    <w:rsid w:val="705D42D1"/>
    <w:rsid w:val="7062375F"/>
    <w:rsid w:val="706255C5"/>
    <w:rsid w:val="70706378"/>
    <w:rsid w:val="7075364D"/>
    <w:rsid w:val="70771B88"/>
    <w:rsid w:val="708B2925"/>
    <w:rsid w:val="708D6597"/>
    <w:rsid w:val="70B16ED7"/>
    <w:rsid w:val="70BE359C"/>
    <w:rsid w:val="70C06B12"/>
    <w:rsid w:val="70C55B89"/>
    <w:rsid w:val="70C95948"/>
    <w:rsid w:val="70CE5088"/>
    <w:rsid w:val="70D900D5"/>
    <w:rsid w:val="70E96DC7"/>
    <w:rsid w:val="70EC759C"/>
    <w:rsid w:val="70EF6FAE"/>
    <w:rsid w:val="71091DB7"/>
    <w:rsid w:val="710A05D6"/>
    <w:rsid w:val="71164870"/>
    <w:rsid w:val="71215B48"/>
    <w:rsid w:val="712357B2"/>
    <w:rsid w:val="712D66C5"/>
    <w:rsid w:val="71315B56"/>
    <w:rsid w:val="713425DE"/>
    <w:rsid w:val="71362F91"/>
    <w:rsid w:val="71380537"/>
    <w:rsid w:val="71395FAD"/>
    <w:rsid w:val="713C7860"/>
    <w:rsid w:val="7158707F"/>
    <w:rsid w:val="715F7096"/>
    <w:rsid w:val="71634934"/>
    <w:rsid w:val="71684551"/>
    <w:rsid w:val="716C7616"/>
    <w:rsid w:val="71723E36"/>
    <w:rsid w:val="71760E9C"/>
    <w:rsid w:val="71895007"/>
    <w:rsid w:val="718C2955"/>
    <w:rsid w:val="718C3250"/>
    <w:rsid w:val="719528E3"/>
    <w:rsid w:val="719C38AD"/>
    <w:rsid w:val="719D43E5"/>
    <w:rsid w:val="71BA2D03"/>
    <w:rsid w:val="71BE0807"/>
    <w:rsid w:val="71D13370"/>
    <w:rsid w:val="71D14DF2"/>
    <w:rsid w:val="71DD2475"/>
    <w:rsid w:val="71DD54E0"/>
    <w:rsid w:val="71E25D9B"/>
    <w:rsid w:val="71EA1849"/>
    <w:rsid w:val="71EF67A8"/>
    <w:rsid w:val="71FB2E51"/>
    <w:rsid w:val="71FC4024"/>
    <w:rsid w:val="72097561"/>
    <w:rsid w:val="72167FDA"/>
    <w:rsid w:val="721B506B"/>
    <w:rsid w:val="724033F7"/>
    <w:rsid w:val="72416679"/>
    <w:rsid w:val="72433065"/>
    <w:rsid w:val="72457278"/>
    <w:rsid w:val="726E0B11"/>
    <w:rsid w:val="728175C3"/>
    <w:rsid w:val="728729C7"/>
    <w:rsid w:val="728E5109"/>
    <w:rsid w:val="72A16F64"/>
    <w:rsid w:val="72A2415E"/>
    <w:rsid w:val="72AC288B"/>
    <w:rsid w:val="72B266AC"/>
    <w:rsid w:val="72BE6CD8"/>
    <w:rsid w:val="72C03295"/>
    <w:rsid w:val="72C346BD"/>
    <w:rsid w:val="72CE404E"/>
    <w:rsid w:val="72E47A77"/>
    <w:rsid w:val="72EB7CFE"/>
    <w:rsid w:val="72ED4786"/>
    <w:rsid w:val="72F5500F"/>
    <w:rsid w:val="72FA404C"/>
    <w:rsid w:val="72FD4B94"/>
    <w:rsid w:val="73035024"/>
    <w:rsid w:val="731822C5"/>
    <w:rsid w:val="73261C73"/>
    <w:rsid w:val="73274383"/>
    <w:rsid w:val="73296A24"/>
    <w:rsid w:val="733B25A8"/>
    <w:rsid w:val="733E766B"/>
    <w:rsid w:val="733F3107"/>
    <w:rsid w:val="734A04E5"/>
    <w:rsid w:val="735019D7"/>
    <w:rsid w:val="736F044F"/>
    <w:rsid w:val="737410AC"/>
    <w:rsid w:val="73785F09"/>
    <w:rsid w:val="7391679E"/>
    <w:rsid w:val="73A53482"/>
    <w:rsid w:val="73AA5EEC"/>
    <w:rsid w:val="73B04236"/>
    <w:rsid w:val="73B431A6"/>
    <w:rsid w:val="73BB09D2"/>
    <w:rsid w:val="73BD186A"/>
    <w:rsid w:val="73BF77D7"/>
    <w:rsid w:val="73CB6CEC"/>
    <w:rsid w:val="73E27B00"/>
    <w:rsid w:val="73E65029"/>
    <w:rsid w:val="73EF3643"/>
    <w:rsid w:val="73EF42A9"/>
    <w:rsid w:val="73F017DA"/>
    <w:rsid w:val="73F07D9A"/>
    <w:rsid w:val="73F12351"/>
    <w:rsid w:val="73F41526"/>
    <w:rsid w:val="74090D59"/>
    <w:rsid w:val="74180BBF"/>
    <w:rsid w:val="74266B95"/>
    <w:rsid w:val="742E73BF"/>
    <w:rsid w:val="743D2A5D"/>
    <w:rsid w:val="74451C3B"/>
    <w:rsid w:val="74566DBA"/>
    <w:rsid w:val="745A0BA9"/>
    <w:rsid w:val="745D2796"/>
    <w:rsid w:val="7460605D"/>
    <w:rsid w:val="74645E2C"/>
    <w:rsid w:val="747A5C59"/>
    <w:rsid w:val="747B1953"/>
    <w:rsid w:val="748D4D0B"/>
    <w:rsid w:val="748F2873"/>
    <w:rsid w:val="74A27DD2"/>
    <w:rsid w:val="74AA513B"/>
    <w:rsid w:val="74B47A08"/>
    <w:rsid w:val="74C07362"/>
    <w:rsid w:val="74E0416E"/>
    <w:rsid w:val="74EE09B3"/>
    <w:rsid w:val="74F16FF8"/>
    <w:rsid w:val="75032417"/>
    <w:rsid w:val="75115B78"/>
    <w:rsid w:val="751630F3"/>
    <w:rsid w:val="751B0EF7"/>
    <w:rsid w:val="751D677C"/>
    <w:rsid w:val="751E11BF"/>
    <w:rsid w:val="75231E7F"/>
    <w:rsid w:val="75315F8E"/>
    <w:rsid w:val="7544346D"/>
    <w:rsid w:val="75494DE0"/>
    <w:rsid w:val="754A58F7"/>
    <w:rsid w:val="75590E73"/>
    <w:rsid w:val="755D4311"/>
    <w:rsid w:val="75684184"/>
    <w:rsid w:val="75782865"/>
    <w:rsid w:val="7580783F"/>
    <w:rsid w:val="758D23F8"/>
    <w:rsid w:val="759146BB"/>
    <w:rsid w:val="759B05B0"/>
    <w:rsid w:val="75A20554"/>
    <w:rsid w:val="75B30DD6"/>
    <w:rsid w:val="75C25231"/>
    <w:rsid w:val="75C876B4"/>
    <w:rsid w:val="75DF4381"/>
    <w:rsid w:val="75E142B9"/>
    <w:rsid w:val="75E5151B"/>
    <w:rsid w:val="75EC37AE"/>
    <w:rsid w:val="75F11993"/>
    <w:rsid w:val="75F16CCA"/>
    <w:rsid w:val="76054A17"/>
    <w:rsid w:val="76185AAD"/>
    <w:rsid w:val="76211AF6"/>
    <w:rsid w:val="76275FAE"/>
    <w:rsid w:val="762E39BD"/>
    <w:rsid w:val="763537F6"/>
    <w:rsid w:val="763B3B81"/>
    <w:rsid w:val="76417696"/>
    <w:rsid w:val="76453603"/>
    <w:rsid w:val="76583432"/>
    <w:rsid w:val="76686B17"/>
    <w:rsid w:val="766F7C81"/>
    <w:rsid w:val="76760936"/>
    <w:rsid w:val="767F314F"/>
    <w:rsid w:val="7683750C"/>
    <w:rsid w:val="769120F5"/>
    <w:rsid w:val="76940D5A"/>
    <w:rsid w:val="7695521B"/>
    <w:rsid w:val="769F638C"/>
    <w:rsid w:val="76D11E42"/>
    <w:rsid w:val="76D5246B"/>
    <w:rsid w:val="76D613FE"/>
    <w:rsid w:val="76D61C06"/>
    <w:rsid w:val="77123450"/>
    <w:rsid w:val="771E342D"/>
    <w:rsid w:val="77241334"/>
    <w:rsid w:val="772E3EC9"/>
    <w:rsid w:val="778B74B3"/>
    <w:rsid w:val="779C66D3"/>
    <w:rsid w:val="77A52D33"/>
    <w:rsid w:val="77B86D8D"/>
    <w:rsid w:val="77B95085"/>
    <w:rsid w:val="77C82507"/>
    <w:rsid w:val="77C94A5C"/>
    <w:rsid w:val="77CE0154"/>
    <w:rsid w:val="77D51602"/>
    <w:rsid w:val="77ED2A98"/>
    <w:rsid w:val="77F359E9"/>
    <w:rsid w:val="77FA3B58"/>
    <w:rsid w:val="780E6346"/>
    <w:rsid w:val="7810476F"/>
    <w:rsid w:val="781B4D0B"/>
    <w:rsid w:val="781B6277"/>
    <w:rsid w:val="782402F6"/>
    <w:rsid w:val="7826124C"/>
    <w:rsid w:val="782D5E70"/>
    <w:rsid w:val="782E0211"/>
    <w:rsid w:val="783E6B68"/>
    <w:rsid w:val="78490F79"/>
    <w:rsid w:val="786308D6"/>
    <w:rsid w:val="786660BB"/>
    <w:rsid w:val="786D13B6"/>
    <w:rsid w:val="7876280E"/>
    <w:rsid w:val="787967A0"/>
    <w:rsid w:val="787E5DA4"/>
    <w:rsid w:val="7886011F"/>
    <w:rsid w:val="788620D6"/>
    <w:rsid w:val="788E4C33"/>
    <w:rsid w:val="789A14D5"/>
    <w:rsid w:val="78A23C35"/>
    <w:rsid w:val="78AE55B9"/>
    <w:rsid w:val="78B1241F"/>
    <w:rsid w:val="78B5402C"/>
    <w:rsid w:val="78C33580"/>
    <w:rsid w:val="78C44908"/>
    <w:rsid w:val="78CA3104"/>
    <w:rsid w:val="78CD5726"/>
    <w:rsid w:val="78DD724E"/>
    <w:rsid w:val="78E144CE"/>
    <w:rsid w:val="78E46F81"/>
    <w:rsid w:val="78E97DB2"/>
    <w:rsid w:val="78FB0EF8"/>
    <w:rsid w:val="78FD349A"/>
    <w:rsid w:val="78FE7A25"/>
    <w:rsid w:val="790300B9"/>
    <w:rsid w:val="792C6D0B"/>
    <w:rsid w:val="793731E3"/>
    <w:rsid w:val="79392389"/>
    <w:rsid w:val="793F4619"/>
    <w:rsid w:val="79476D94"/>
    <w:rsid w:val="795200ED"/>
    <w:rsid w:val="79533E74"/>
    <w:rsid w:val="79537BB7"/>
    <w:rsid w:val="79590D62"/>
    <w:rsid w:val="79651C45"/>
    <w:rsid w:val="796C1BE9"/>
    <w:rsid w:val="7972462B"/>
    <w:rsid w:val="79742E29"/>
    <w:rsid w:val="797C1FFB"/>
    <w:rsid w:val="798F727F"/>
    <w:rsid w:val="79933267"/>
    <w:rsid w:val="7998292C"/>
    <w:rsid w:val="79BC5130"/>
    <w:rsid w:val="79C439E3"/>
    <w:rsid w:val="79C844B3"/>
    <w:rsid w:val="79F075B1"/>
    <w:rsid w:val="79FB0C04"/>
    <w:rsid w:val="79FD459D"/>
    <w:rsid w:val="79FE5779"/>
    <w:rsid w:val="7A0144E6"/>
    <w:rsid w:val="7A082841"/>
    <w:rsid w:val="7A0C5205"/>
    <w:rsid w:val="7A314E83"/>
    <w:rsid w:val="7A31635E"/>
    <w:rsid w:val="7A320584"/>
    <w:rsid w:val="7A444B44"/>
    <w:rsid w:val="7A4568FC"/>
    <w:rsid w:val="7A6639DD"/>
    <w:rsid w:val="7A697475"/>
    <w:rsid w:val="7A6D79AA"/>
    <w:rsid w:val="7A7A62B5"/>
    <w:rsid w:val="7A7C4599"/>
    <w:rsid w:val="7A8157F4"/>
    <w:rsid w:val="7A8210D7"/>
    <w:rsid w:val="7A8E0619"/>
    <w:rsid w:val="7A9D6F98"/>
    <w:rsid w:val="7AC552F2"/>
    <w:rsid w:val="7AD53C91"/>
    <w:rsid w:val="7AD91D8E"/>
    <w:rsid w:val="7ADB5C40"/>
    <w:rsid w:val="7ADD7099"/>
    <w:rsid w:val="7AE53FA2"/>
    <w:rsid w:val="7AE91E92"/>
    <w:rsid w:val="7AF37660"/>
    <w:rsid w:val="7B0D54DA"/>
    <w:rsid w:val="7B126289"/>
    <w:rsid w:val="7B212D78"/>
    <w:rsid w:val="7B30530E"/>
    <w:rsid w:val="7B3846C8"/>
    <w:rsid w:val="7B390DDA"/>
    <w:rsid w:val="7B693808"/>
    <w:rsid w:val="7B6D58DE"/>
    <w:rsid w:val="7B8F488C"/>
    <w:rsid w:val="7B974F1E"/>
    <w:rsid w:val="7B993DA4"/>
    <w:rsid w:val="7B9E0E8A"/>
    <w:rsid w:val="7BAA71B9"/>
    <w:rsid w:val="7BAF7D8E"/>
    <w:rsid w:val="7BB07905"/>
    <w:rsid w:val="7BB10B07"/>
    <w:rsid w:val="7BB35BDB"/>
    <w:rsid w:val="7BB41F7B"/>
    <w:rsid w:val="7BBF1BA5"/>
    <w:rsid w:val="7BDC2D7A"/>
    <w:rsid w:val="7BEA6E48"/>
    <w:rsid w:val="7BF71F56"/>
    <w:rsid w:val="7BFB33F0"/>
    <w:rsid w:val="7C0433BA"/>
    <w:rsid w:val="7C0467F7"/>
    <w:rsid w:val="7C052A99"/>
    <w:rsid w:val="7C1C2365"/>
    <w:rsid w:val="7C440D38"/>
    <w:rsid w:val="7C4A0704"/>
    <w:rsid w:val="7C4A26E6"/>
    <w:rsid w:val="7C59098D"/>
    <w:rsid w:val="7C5D0A3D"/>
    <w:rsid w:val="7C816640"/>
    <w:rsid w:val="7C907C58"/>
    <w:rsid w:val="7C9573CA"/>
    <w:rsid w:val="7C973ADB"/>
    <w:rsid w:val="7C973CE5"/>
    <w:rsid w:val="7C9C5AAF"/>
    <w:rsid w:val="7CA26400"/>
    <w:rsid w:val="7CA504FC"/>
    <w:rsid w:val="7CA92D22"/>
    <w:rsid w:val="7CAB1228"/>
    <w:rsid w:val="7CB13DE8"/>
    <w:rsid w:val="7CB53CE5"/>
    <w:rsid w:val="7CB8747E"/>
    <w:rsid w:val="7CC66EA5"/>
    <w:rsid w:val="7CD3492C"/>
    <w:rsid w:val="7CD91ED4"/>
    <w:rsid w:val="7CDA083F"/>
    <w:rsid w:val="7CDA4FD7"/>
    <w:rsid w:val="7CDE6632"/>
    <w:rsid w:val="7CE31486"/>
    <w:rsid w:val="7CE355AB"/>
    <w:rsid w:val="7CE95E3F"/>
    <w:rsid w:val="7CED4739"/>
    <w:rsid w:val="7CF81AC1"/>
    <w:rsid w:val="7D051E6D"/>
    <w:rsid w:val="7D130BAA"/>
    <w:rsid w:val="7D1D7C55"/>
    <w:rsid w:val="7D293E37"/>
    <w:rsid w:val="7D2C2A2C"/>
    <w:rsid w:val="7D342497"/>
    <w:rsid w:val="7D3C3A40"/>
    <w:rsid w:val="7D3D1E08"/>
    <w:rsid w:val="7D3F49EB"/>
    <w:rsid w:val="7D42460F"/>
    <w:rsid w:val="7D491923"/>
    <w:rsid w:val="7D4B0579"/>
    <w:rsid w:val="7D555FAC"/>
    <w:rsid w:val="7D5E6C78"/>
    <w:rsid w:val="7D625500"/>
    <w:rsid w:val="7D661AAB"/>
    <w:rsid w:val="7D6B63FA"/>
    <w:rsid w:val="7D6C6BA9"/>
    <w:rsid w:val="7D7F0A40"/>
    <w:rsid w:val="7D873270"/>
    <w:rsid w:val="7D8E409D"/>
    <w:rsid w:val="7D9E5BDD"/>
    <w:rsid w:val="7DC151FE"/>
    <w:rsid w:val="7DD05B20"/>
    <w:rsid w:val="7DDA0FC1"/>
    <w:rsid w:val="7DDC6964"/>
    <w:rsid w:val="7DE065A7"/>
    <w:rsid w:val="7DEB5334"/>
    <w:rsid w:val="7DF369FE"/>
    <w:rsid w:val="7DF52D47"/>
    <w:rsid w:val="7DFA7B58"/>
    <w:rsid w:val="7E054DC3"/>
    <w:rsid w:val="7E0A7D52"/>
    <w:rsid w:val="7E0E2884"/>
    <w:rsid w:val="7E1813FE"/>
    <w:rsid w:val="7E250A47"/>
    <w:rsid w:val="7E276BB4"/>
    <w:rsid w:val="7E2B01D4"/>
    <w:rsid w:val="7E2E5534"/>
    <w:rsid w:val="7E2E67D3"/>
    <w:rsid w:val="7E3139AB"/>
    <w:rsid w:val="7E33168C"/>
    <w:rsid w:val="7E3B6737"/>
    <w:rsid w:val="7E631219"/>
    <w:rsid w:val="7E64128C"/>
    <w:rsid w:val="7E671940"/>
    <w:rsid w:val="7E6B536E"/>
    <w:rsid w:val="7E7517E8"/>
    <w:rsid w:val="7E8E203F"/>
    <w:rsid w:val="7E8F25D0"/>
    <w:rsid w:val="7E923935"/>
    <w:rsid w:val="7EAB29B1"/>
    <w:rsid w:val="7EAC6DCF"/>
    <w:rsid w:val="7EAF3AF1"/>
    <w:rsid w:val="7EBC1F58"/>
    <w:rsid w:val="7EC9106A"/>
    <w:rsid w:val="7EC957DD"/>
    <w:rsid w:val="7ED14DB6"/>
    <w:rsid w:val="7ED16578"/>
    <w:rsid w:val="7EDC3B37"/>
    <w:rsid w:val="7EE75461"/>
    <w:rsid w:val="7EE76915"/>
    <w:rsid w:val="7EEC6E13"/>
    <w:rsid w:val="7EEC7F9A"/>
    <w:rsid w:val="7EF118F1"/>
    <w:rsid w:val="7EF47DC2"/>
    <w:rsid w:val="7EF60A7C"/>
    <w:rsid w:val="7F0B68A2"/>
    <w:rsid w:val="7F115E56"/>
    <w:rsid w:val="7F2039B5"/>
    <w:rsid w:val="7F24500C"/>
    <w:rsid w:val="7F26493B"/>
    <w:rsid w:val="7F2A6727"/>
    <w:rsid w:val="7F4419AA"/>
    <w:rsid w:val="7F45214C"/>
    <w:rsid w:val="7F4E793F"/>
    <w:rsid w:val="7F5579B0"/>
    <w:rsid w:val="7F58405D"/>
    <w:rsid w:val="7F617E8B"/>
    <w:rsid w:val="7F6A7EA9"/>
    <w:rsid w:val="7F6D53FE"/>
    <w:rsid w:val="7F7807C4"/>
    <w:rsid w:val="7F837A9D"/>
    <w:rsid w:val="7F947FF8"/>
    <w:rsid w:val="7F977394"/>
    <w:rsid w:val="7F9D1D7D"/>
    <w:rsid w:val="7F9E1A24"/>
    <w:rsid w:val="7FA450A9"/>
    <w:rsid w:val="7FA87001"/>
    <w:rsid w:val="7FB25208"/>
    <w:rsid w:val="7FB3330A"/>
    <w:rsid w:val="7FBE350D"/>
    <w:rsid w:val="7FCB08BB"/>
    <w:rsid w:val="7FCC0E95"/>
    <w:rsid w:val="7FD17A99"/>
    <w:rsid w:val="7FDA4E4D"/>
    <w:rsid w:val="7FFC5E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4">
    <w:name w:val="heading 1"/>
    <w:basedOn w:val="1"/>
    <w:next w:val="1"/>
    <w:qFormat/>
    <w:uiPriority w:val="0"/>
    <w:pPr>
      <w:keepNext/>
      <w:keepLines/>
      <w:outlineLvl w:val="0"/>
    </w:pPr>
    <w:rPr>
      <w:b/>
      <w:bCs/>
      <w:kern w:val="44"/>
      <w:szCs w:val="44"/>
    </w:rPr>
  </w:style>
  <w:style w:type="paragraph" w:styleId="5">
    <w:name w:val="heading 2"/>
    <w:basedOn w:val="1"/>
    <w:next w:val="1"/>
    <w:qFormat/>
    <w:uiPriority w:val="0"/>
    <w:pPr>
      <w:keepNext/>
      <w:keepLines/>
      <w:spacing w:line="416" w:lineRule="auto"/>
      <w:outlineLvl w:val="1"/>
    </w:pPr>
    <w:rPr>
      <w:rFonts w:ascii="Arial" w:hAnsi="Arial" w:eastAsia="黑体"/>
      <w:b/>
      <w:bCs/>
      <w:kern w:val="2"/>
      <w:sz w:val="32"/>
      <w:szCs w:val="32"/>
    </w:rPr>
  </w:style>
  <w:style w:type="paragraph" w:styleId="6">
    <w:name w:val="heading 3"/>
    <w:basedOn w:val="1"/>
    <w:next w:val="1"/>
    <w:qFormat/>
    <w:uiPriority w:val="0"/>
    <w:pPr>
      <w:keepNext/>
      <w:outlineLvl w:val="2"/>
    </w:pPr>
    <w:rPr>
      <w:sz w:val="44"/>
      <w:shd w:val="pct10" w:color="auto" w:fill="FFFFFF"/>
    </w:rPr>
  </w:style>
  <w:style w:type="paragraph" w:styleId="7">
    <w:name w:val="heading 6"/>
    <w:basedOn w:val="1"/>
    <w:next w:val="1"/>
    <w:qFormat/>
    <w:uiPriority w:val="1"/>
    <w:pPr>
      <w:spacing w:before="26"/>
      <w:ind w:left="115"/>
      <w:outlineLvl w:val="6"/>
    </w:pPr>
    <w:rPr>
      <w:rFonts w:ascii="宋体" w:hAnsi="宋体" w:eastAsia="宋体"/>
      <w:b/>
      <w:bCs/>
      <w:sz w:val="24"/>
      <w:szCs w:val="24"/>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eastAsia="楷体_GB2312"/>
      <w:spacing w:val="-8"/>
      <w:sz w:val="24"/>
    </w:rPr>
  </w:style>
  <w:style w:type="paragraph" w:styleId="3">
    <w:name w:val="Note Heading"/>
    <w:basedOn w:val="1"/>
    <w:next w:val="1"/>
    <w:qFormat/>
    <w:uiPriority w:val="0"/>
    <w:pPr>
      <w:jc w:val="center"/>
    </w:pPr>
  </w:style>
  <w:style w:type="paragraph" w:styleId="8">
    <w:name w:val="table of authorities"/>
    <w:basedOn w:val="1"/>
    <w:next w:val="1"/>
    <w:semiHidden/>
    <w:qFormat/>
    <w:uiPriority w:val="0"/>
    <w:pPr>
      <w:ind w:left="420" w:leftChars="200"/>
    </w:pPr>
  </w:style>
  <w:style w:type="paragraph" w:styleId="9">
    <w:name w:val="Normal Indent"/>
    <w:basedOn w:val="1"/>
    <w:qFormat/>
    <w:uiPriority w:val="0"/>
    <w:pPr>
      <w:widowControl w:val="0"/>
      <w:spacing w:beforeLines="50" w:line="360" w:lineRule="auto"/>
      <w:ind w:firstLine="560" w:firstLineChars="200"/>
      <w:jc w:val="both"/>
    </w:pPr>
    <w:rPr>
      <w:kern w:val="2"/>
      <w:sz w:val="28"/>
    </w:rPr>
  </w:style>
  <w:style w:type="paragraph" w:styleId="10">
    <w:name w:val="caption"/>
    <w:basedOn w:val="1"/>
    <w:next w:val="1"/>
    <w:qFormat/>
    <w:uiPriority w:val="0"/>
    <w:pPr>
      <w:jc w:val="center"/>
    </w:pPr>
    <w:rPr>
      <w:rFonts w:ascii="Arial" w:hAnsi="Arial" w:cs="Arial"/>
      <w:sz w:val="24"/>
    </w:rPr>
  </w:style>
  <w:style w:type="paragraph" w:styleId="11">
    <w:name w:val="Document Map"/>
    <w:basedOn w:val="1"/>
    <w:link w:val="68"/>
    <w:qFormat/>
    <w:uiPriority w:val="0"/>
    <w:rPr>
      <w:rFonts w:ascii="宋体" w:eastAsia="宋体"/>
      <w:sz w:val="18"/>
      <w:szCs w:val="18"/>
    </w:rPr>
  </w:style>
  <w:style w:type="paragraph" w:styleId="12">
    <w:name w:val="annotation text"/>
    <w:basedOn w:val="1"/>
    <w:qFormat/>
    <w:uiPriority w:val="0"/>
  </w:style>
  <w:style w:type="paragraph" w:styleId="13">
    <w:name w:val="Body Text Indent"/>
    <w:basedOn w:val="1"/>
    <w:qFormat/>
    <w:uiPriority w:val="0"/>
    <w:pPr>
      <w:jc w:val="center"/>
    </w:pPr>
    <w:rPr>
      <w:rFonts w:eastAsia="楷体_GB2312"/>
      <w:sz w:val="24"/>
    </w:rPr>
  </w:style>
  <w:style w:type="paragraph" w:styleId="14">
    <w:name w:val="Block Text"/>
    <w:basedOn w:val="1"/>
    <w:qFormat/>
    <w:uiPriority w:val="0"/>
    <w:pPr>
      <w:spacing w:line="440" w:lineRule="exact"/>
      <w:ind w:left="113" w:right="113" w:firstLine="567"/>
    </w:pPr>
    <w:rPr>
      <w:rFonts w:ascii="仿宋_GB2312" w:eastAsia="仿宋_GB2312"/>
      <w:sz w:val="28"/>
      <w:szCs w:val="20"/>
    </w:rPr>
  </w:style>
  <w:style w:type="paragraph" w:styleId="15">
    <w:name w:val="Plain Text"/>
    <w:basedOn w:val="1"/>
    <w:unhideWhenUsed/>
    <w:qFormat/>
    <w:uiPriority w:val="99"/>
    <w:rPr>
      <w:rFonts w:ascii="宋体" w:hAnsi="Courier New"/>
      <w:sz w:val="20"/>
      <w:szCs w:val="21"/>
    </w:rPr>
  </w:style>
  <w:style w:type="paragraph" w:styleId="16">
    <w:name w:val="Body Text Indent 2"/>
    <w:basedOn w:val="1"/>
    <w:qFormat/>
    <w:uiPriority w:val="99"/>
    <w:pPr>
      <w:spacing w:after="120" w:line="480" w:lineRule="auto"/>
      <w:ind w:left="420" w:leftChars="200"/>
    </w:pPr>
  </w:style>
  <w:style w:type="paragraph" w:styleId="17">
    <w:name w:val="Balloon Text"/>
    <w:basedOn w:val="1"/>
    <w:link w:val="66"/>
    <w:qFormat/>
    <w:uiPriority w:val="0"/>
    <w:rPr>
      <w:sz w:val="18"/>
      <w:szCs w:val="18"/>
    </w:rPr>
  </w:style>
  <w:style w:type="paragraph" w:styleId="18">
    <w:name w:val="footer"/>
    <w:basedOn w:val="1"/>
    <w:link w:val="67"/>
    <w:qFormat/>
    <w:uiPriority w:val="99"/>
    <w:pPr>
      <w:tabs>
        <w:tab w:val="center" w:pos="4153"/>
        <w:tab w:val="right" w:pos="8306"/>
      </w:tabs>
    </w:pPr>
    <w:rPr>
      <w:sz w:val="18"/>
      <w:szCs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20">
    <w:name w:val="toc 1"/>
    <w:basedOn w:val="1"/>
    <w:next w:val="1"/>
    <w:qFormat/>
    <w:uiPriority w:val="0"/>
  </w:style>
  <w:style w:type="paragraph" w:styleId="21">
    <w:name w:val="List"/>
    <w:basedOn w:val="1"/>
    <w:qFormat/>
    <w:uiPriority w:val="0"/>
    <w:pPr>
      <w:ind w:left="200" w:hanging="200" w:hangingChars="200"/>
    </w:pPr>
  </w:style>
  <w:style w:type="paragraph" w:styleId="22">
    <w:name w:val="Body Text Indent 3"/>
    <w:basedOn w:val="1"/>
    <w:qFormat/>
    <w:uiPriority w:val="0"/>
    <w:pPr>
      <w:widowControl/>
      <w:spacing w:line="440" w:lineRule="exact"/>
      <w:ind w:firstLine="567"/>
      <w:jc w:val="left"/>
    </w:pPr>
    <w:rPr>
      <w:rFonts w:ascii="楷体_GB2312" w:eastAsia="楷体_GB2312"/>
      <w:kern w:val="0"/>
      <w:sz w:val="28"/>
    </w:rPr>
  </w:style>
  <w:style w:type="paragraph" w:styleId="23">
    <w:name w:val="Normal (Web)"/>
    <w:basedOn w:val="1"/>
    <w:qFormat/>
    <w:uiPriority w:val="0"/>
    <w:pPr>
      <w:spacing w:before="100" w:beforeAutospacing="1" w:after="100" w:afterAutospacing="1"/>
    </w:pPr>
    <w:rPr>
      <w:rFonts w:ascii="宋体" w:hAnsi="宋体" w:cs="宋体"/>
      <w:sz w:val="24"/>
    </w:rPr>
  </w:style>
  <w:style w:type="paragraph" w:styleId="24">
    <w:name w:val="Body Text First Indent"/>
    <w:basedOn w:val="2"/>
    <w:qFormat/>
    <w:uiPriority w:val="0"/>
    <w:pPr>
      <w:ind w:firstLine="420" w:firstLineChars="100"/>
    </w:pPr>
    <w:rPr>
      <w:sz w:val="18"/>
    </w:rPr>
  </w:style>
  <w:style w:type="paragraph" w:styleId="25">
    <w:name w:val="Body Text First Indent 2"/>
    <w:basedOn w:val="13"/>
    <w:qFormat/>
    <w:uiPriority w:val="0"/>
    <w:pPr>
      <w:ind w:firstLine="420"/>
    </w:p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page number"/>
    <w:basedOn w:val="28"/>
    <w:qFormat/>
    <w:uiPriority w:val="0"/>
  </w:style>
  <w:style w:type="character" w:styleId="30">
    <w:name w:val="FollowedHyperlink"/>
    <w:basedOn w:val="28"/>
    <w:qFormat/>
    <w:uiPriority w:val="0"/>
    <w:rPr>
      <w:color w:val="000000"/>
      <w:u w:val="none"/>
    </w:rPr>
  </w:style>
  <w:style w:type="character" w:styleId="31">
    <w:name w:val="Emphasis"/>
    <w:basedOn w:val="28"/>
    <w:qFormat/>
    <w:uiPriority w:val="0"/>
  </w:style>
  <w:style w:type="character" w:styleId="32">
    <w:name w:val="Hyperlink"/>
    <w:basedOn w:val="28"/>
    <w:qFormat/>
    <w:uiPriority w:val="0"/>
    <w:rPr>
      <w:color w:val="000000"/>
      <w:u w:val="none"/>
    </w:rPr>
  </w:style>
  <w:style w:type="character" w:styleId="33">
    <w:name w:val="annotation reference"/>
    <w:semiHidden/>
    <w:qFormat/>
    <w:uiPriority w:val="0"/>
    <w:rPr>
      <w:sz w:val="21"/>
      <w:szCs w:val="21"/>
    </w:rPr>
  </w:style>
  <w:style w:type="paragraph" w:customStyle="1" w:styleId="34">
    <w:name w:val="样式 首行缩进:  2 字符1"/>
    <w:basedOn w:val="1"/>
    <w:qFormat/>
    <w:uiPriority w:val="0"/>
    <w:pPr>
      <w:spacing w:line="360" w:lineRule="auto"/>
      <w:ind w:firstLine="480" w:firstLineChars="200"/>
    </w:pPr>
    <w:rPr>
      <w:rFonts w:cs="宋体"/>
      <w:szCs w:val="20"/>
    </w:rPr>
  </w:style>
  <w:style w:type="paragraph" w:customStyle="1" w:styleId="35">
    <w:name w:val="正文(首行缩进)"/>
    <w:basedOn w:val="1"/>
    <w:qFormat/>
    <w:uiPriority w:val="0"/>
    <w:pPr>
      <w:widowControl w:val="0"/>
      <w:adjustRightInd w:val="0"/>
      <w:snapToGrid w:val="0"/>
      <w:spacing w:line="360" w:lineRule="auto"/>
      <w:ind w:firstLine="200" w:firstLineChars="200"/>
      <w:jc w:val="both"/>
    </w:pPr>
    <w:rPr>
      <w:snapToGrid w:val="0"/>
      <w:szCs w:val="24"/>
    </w:rPr>
  </w:style>
  <w:style w:type="paragraph" w:customStyle="1" w:styleId="36">
    <w:name w:val="Char Char Char Char Char2 Char Char Char Char"/>
    <w:basedOn w:val="1"/>
    <w:qFormat/>
    <w:uiPriority w:val="0"/>
    <w:pPr>
      <w:spacing w:line="360" w:lineRule="auto"/>
      <w:ind w:firstLine="200" w:firstLineChars="200"/>
    </w:pPr>
  </w:style>
  <w:style w:type="paragraph" w:customStyle="1" w:styleId="37">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38">
    <w:name w:val="列出段落1"/>
    <w:basedOn w:val="1"/>
    <w:qFormat/>
    <w:uiPriority w:val="0"/>
    <w:pPr>
      <w:widowControl w:val="0"/>
      <w:adjustRightInd/>
      <w:snapToGrid/>
      <w:ind w:firstLine="420" w:firstLineChars="200"/>
      <w:jc w:val="both"/>
    </w:pPr>
    <w:rPr>
      <w:rFonts w:ascii="Times New Roman" w:hAnsi="Times New Roman" w:eastAsia="宋体"/>
      <w:kern w:val="2"/>
      <w:sz w:val="21"/>
      <w:szCs w:val="20"/>
    </w:rPr>
  </w:style>
  <w:style w:type="paragraph" w:customStyle="1" w:styleId="39">
    <w:name w:val="谢—正文"/>
    <w:basedOn w:val="1"/>
    <w:qFormat/>
    <w:uiPriority w:val="0"/>
    <w:pPr>
      <w:spacing w:line="500" w:lineRule="exact"/>
      <w:ind w:firstLine="200" w:firstLineChars="200"/>
    </w:pPr>
    <w:rPr>
      <w:rFonts w:eastAsia="楷体_GB2312"/>
      <w:sz w:val="28"/>
    </w:rPr>
  </w:style>
  <w:style w:type="paragraph" w:customStyle="1" w:styleId="40">
    <w:name w:val="p0"/>
    <w:basedOn w:val="1"/>
    <w:qFormat/>
    <w:uiPriority w:val="0"/>
    <w:pPr>
      <w:spacing w:line="365" w:lineRule="atLeast"/>
      <w:ind w:left="1"/>
      <w:textAlignment w:val="bottom"/>
    </w:pPr>
    <w:rPr>
      <w:sz w:val="20"/>
      <w:szCs w:val="20"/>
    </w:rPr>
  </w:style>
  <w:style w:type="paragraph" w:customStyle="1" w:styleId="41">
    <w:name w:val="表格1"/>
    <w:basedOn w:val="15"/>
    <w:next w:val="1"/>
    <w:qFormat/>
    <w:uiPriority w:val="0"/>
  </w:style>
  <w:style w:type="paragraph" w:customStyle="1" w:styleId="42">
    <w:name w:val="0正文"/>
    <w:basedOn w:val="1"/>
    <w:semiHidden/>
    <w:qFormat/>
    <w:uiPriority w:val="99"/>
    <w:pPr>
      <w:spacing w:line="360" w:lineRule="auto"/>
      <w:ind w:firstLine="720" w:firstLineChars="200"/>
    </w:pPr>
    <w:rPr>
      <w:sz w:val="24"/>
      <w:szCs w:val="24"/>
    </w:rPr>
  </w:style>
  <w:style w:type="paragraph" w:customStyle="1" w:styleId="43">
    <w:name w:val="表内容123"/>
    <w:basedOn w:val="1"/>
    <w:qFormat/>
    <w:uiPriority w:val="0"/>
    <w:pPr>
      <w:pBdr>
        <w:top w:val="none" w:color="auto" w:sz="0" w:space="1"/>
        <w:left w:val="none" w:color="auto" w:sz="0" w:space="4"/>
        <w:bottom w:val="none" w:color="auto" w:sz="0" w:space="1"/>
        <w:right w:val="none" w:color="auto" w:sz="0" w:space="4"/>
      </w:pBdr>
      <w:spacing w:line="340" w:lineRule="exact"/>
      <w:jc w:val="center"/>
    </w:pPr>
    <w:rPr>
      <w:rFonts w:ascii="Times New Roman" w:hAnsi="Times New Roman"/>
      <w:sz w:val="21"/>
    </w:rPr>
  </w:style>
  <w:style w:type="paragraph" w:customStyle="1" w:styleId="44">
    <w:name w:val="样式4"/>
    <w:basedOn w:val="2"/>
    <w:qFormat/>
    <w:uiPriority w:val="0"/>
    <w:pPr>
      <w:widowControl w:val="0"/>
      <w:spacing w:line="360" w:lineRule="auto"/>
      <w:ind w:right="-120" w:rightChars="-50" w:firstLine="600" w:firstLineChars="250"/>
      <w:jc w:val="both"/>
    </w:pPr>
    <w:rPr>
      <w:rFonts w:hAnsi="宋体" w:eastAsia="宋体"/>
      <w:snapToGrid w:val="0"/>
      <w:spacing w:val="0"/>
      <w:kern w:val="2"/>
      <w:szCs w:val="24"/>
    </w:rPr>
  </w:style>
  <w:style w:type="paragraph" w:customStyle="1" w:styleId="45">
    <w:name w:val="样式1"/>
    <w:basedOn w:val="9"/>
    <w:qFormat/>
    <w:uiPriority w:val="0"/>
    <w:pPr>
      <w:jc w:val="center"/>
    </w:pPr>
    <w:rPr>
      <w:sz w:val="21"/>
      <w:szCs w:val="21"/>
    </w:rPr>
  </w:style>
  <w:style w:type="paragraph" w:customStyle="1" w:styleId="46">
    <w:name w:val="图图正文"/>
    <w:basedOn w:val="1"/>
    <w:qFormat/>
    <w:uiPriority w:val="0"/>
    <w:pPr>
      <w:widowControl w:val="0"/>
      <w:spacing w:line="360" w:lineRule="auto"/>
      <w:ind w:firstLine="200" w:firstLineChars="200"/>
      <w:jc w:val="both"/>
    </w:pPr>
    <w:rPr>
      <w:kern w:val="2"/>
      <w:sz w:val="24"/>
      <w:szCs w:val="24"/>
    </w:rPr>
  </w:style>
  <w:style w:type="paragraph" w:customStyle="1" w:styleId="47">
    <w:name w:val="啊啊正文"/>
    <w:basedOn w:val="1"/>
    <w:qFormat/>
    <w:uiPriority w:val="0"/>
    <w:pPr>
      <w:autoSpaceDE w:val="0"/>
      <w:autoSpaceDN w:val="0"/>
      <w:spacing w:line="360" w:lineRule="auto"/>
      <w:ind w:firstLine="200" w:firstLineChars="200"/>
    </w:pPr>
    <w:rPr>
      <w:rFonts w:cs="仿宋_GB2312"/>
      <w:sz w:val="24"/>
      <w:szCs w:val="28"/>
      <w:lang w:val="zh-CN"/>
    </w:rPr>
  </w:style>
  <w:style w:type="paragraph" w:customStyle="1" w:styleId="48">
    <w:name w:val="宗兴正文"/>
    <w:basedOn w:val="1"/>
    <w:qFormat/>
    <w:uiPriority w:val="0"/>
    <w:pPr>
      <w:ind w:firstLine="200"/>
      <w:jc w:val="both"/>
    </w:pPr>
    <w:rPr>
      <w:rFonts w:ascii="宋体" w:hAnsi="宋体"/>
      <w:spacing w:val="2"/>
      <w:sz w:val="21"/>
    </w:rPr>
  </w:style>
  <w:style w:type="paragraph" w:customStyle="1" w:styleId="49">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
    <w:name w:val="标题3"/>
    <w:basedOn w:val="8"/>
    <w:next w:val="6"/>
    <w:qFormat/>
    <w:uiPriority w:val="0"/>
    <w:pPr>
      <w:ind w:left="0" w:leftChars="0"/>
      <w:jc w:val="both"/>
    </w:pPr>
    <w:rPr>
      <w:rFonts w:ascii="宋体" w:hAnsi="宋体"/>
      <w:b/>
      <w:bCs/>
      <w:szCs w:val="24"/>
    </w:rPr>
  </w:style>
  <w:style w:type="paragraph" w:customStyle="1" w:styleId="52">
    <w:name w:val="标题2"/>
    <w:basedOn w:val="8"/>
    <w:qFormat/>
    <w:uiPriority w:val="0"/>
    <w:pPr>
      <w:spacing w:beforeLines="50" w:afterLines="50"/>
      <w:ind w:left="0" w:leftChars="0"/>
      <w:jc w:val="both"/>
    </w:pPr>
    <w:rPr>
      <w:rFonts w:ascii="宋体" w:hAnsi="宋体"/>
      <w:b/>
      <w:sz w:val="28"/>
      <w:szCs w:val="28"/>
    </w:rPr>
  </w:style>
  <w:style w:type="paragraph" w:customStyle="1" w:styleId="53">
    <w:name w:val="啊啊表格内容"/>
    <w:basedOn w:val="1"/>
    <w:qFormat/>
    <w:uiPriority w:val="0"/>
    <w:pPr>
      <w:autoSpaceDE w:val="0"/>
      <w:autoSpaceDN w:val="0"/>
      <w:spacing w:line="340" w:lineRule="exact"/>
    </w:pPr>
    <w:rPr>
      <w:rFonts w:ascii="宋体" w:hAnsi="宋体" w:cs="仿宋_GB2312"/>
      <w:szCs w:val="28"/>
      <w:lang w:val="zh-CN"/>
    </w:rPr>
  </w:style>
  <w:style w:type="paragraph" w:customStyle="1" w:styleId="54">
    <w:name w:val="正文表格"/>
    <w:basedOn w:val="1"/>
    <w:qFormat/>
    <w:uiPriority w:val="0"/>
    <w:pPr>
      <w:jc w:val="center"/>
    </w:pPr>
    <w:rPr>
      <w:rFonts w:eastAsia="楷体_GB2312"/>
      <w:bCs/>
      <w:sz w:val="24"/>
      <w:szCs w:val="20"/>
    </w:rPr>
  </w:style>
  <w:style w:type="paragraph" w:customStyle="1" w:styleId="55">
    <w:name w:val="Table Paragraph"/>
    <w:basedOn w:val="1"/>
    <w:qFormat/>
    <w:uiPriority w:val="0"/>
    <w:rPr>
      <w:rFonts w:ascii="Calibri" w:hAnsi="Calibri"/>
      <w:lang w:eastAsia="en-US"/>
    </w:rPr>
  </w:style>
  <w:style w:type="paragraph" w:customStyle="1" w:styleId="56">
    <w:name w:val="样式2"/>
    <w:basedOn w:val="1"/>
    <w:qFormat/>
    <w:uiPriority w:val="0"/>
    <w:pPr>
      <w:ind w:firstLine="964" w:firstLineChars="400"/>
    </w:pPr>
    <w:rPr>
      <w:rFonts w:ascii="黑体" w:eastAsia="黑体"/>
      <w:b/>
      <w:bCs/>
      <w:sz w:val="24"/>
    </w:rPr>
  </w:style>
  <w:style w:type="paragraph" w:customStyle="1" w:styleId="57">
    <w:name w:val="表"/>
    <w:basedOn w:val="21"/>
    <w:next w:val="1"/>
    <w:qFormat/>
    <w:uiPriority w:val="0"/>
    <w:pPr>
      <w:keepNext/>
      <w:keepLines/>
      <w:spacing w:line="240" w:lineRule="exact"/>
      <w:ind w:left="0" w:firstLine="0" w:firstLineChars="0"/>
      <w:jc w:val="center"/>
    </w:pPr>
  </w:style>
  <w:style w:type="character" w:customStyle="1" w:styleId="58">
    <w:name w:val="font31"/>
    <w:qFormat/>
    <w:uiPriority w:val="0"/>
    <w:rPr>
      <w:rFonts w:hint="eastAsia" w:ascii="宋体" w:hAnsi="宋体" w:eastAsia="宋体" w:cs="宋体"/>
      <w:color w:val="000000"/>
      <w:sz w:val="22"/>
      <w:szCs w:val="22"/>
      <w:u w:val="none"/>
    </w:rPr>
  </w:style>
  <w:style w:type="paragraph" w:customStyle="1" w:styleId="59">
    <w:name w:val="123正文"/>
    <w:basedOn w:val="1"/>
    <w:link w:val="60"/>
    <w:qFormat/>
    <w:uiPriority w:val="0"/>
    <w:pPr>
      <w:spacing w:line="360" w:lineRule="auto"/>
      <w:ind w:firstLine="480" w:firstLineChars="200"/>
    </w:pPr>
    <w:rPr>
      <w:color w:val="0000FF"/>
      <w:sz w:val="24"/>
      <w:lang w:val="zh-CN"/>
    </w:rPr>
  </w:style>
  <w:style w:type="character" w:customStyle="1" w:styleId="60">
    <w:name w:val="123正文 Char"/>
    <w:link w:val="59"/>
    <w:qFormat/>
    <w:uiPriority w:val="0"/>
    <w:rPr>
      <w:color w:val="0000FF"/>
      <w:sz w:val="24"/>
      <w:lang w:val="zh-CN"/>
    </w:rPr>
  </w:style>
  <w:style w:type="paragraph" w:customStyle="1" w:styleId="61">
    <w:name w:val="1.1."/>
    <w:basedOn w:val="5"/>
    <w:qFormat/>
    <w:uiPriority w:val="0"/>
    <w:pPr>
      <w:spacing w:beforeLines="50" w:afterLines="50" w:line="360" w:lineRule="auto"/>
    </w:pPr>
    <w:rPr>
      <w:color w:val="0000FF"/>
      <w:sz w:val="28"/>
      <w:szCs w:val="28"/>
    </w:rPr>
  </w:style>
  <w:style w:type="paragraph" w:customStyle="1" w:styleId="62">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普通(网站)1"/>
    <w:basedOn w:val="1"/>
    <w:qFormat/>
    <w:uiPriority w:val="0"/>
    <w:pPr>
      <w:adjustRightInd/>
      <w:snapToGrid/>
      <w:spacing w:beforeAutospacing="1" w:afterAutospacing="1"/>
    </w:pPr>
    <w:rPr>
      <w:rFonts w:ascii="宋体" w:hAnsi="宋体" w:eastAsia="宋体" w:cs="宋体"/>
      <w:sz w:val="24"/>
      <w:szCs w:val="24"/>
    </w:rPr>
  </w:style>
  <w:style w:type="paragraph" w:customStyle="1" w:styleId="64">
    <w:name w:val="正文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65">
    <w:name w:val="一级aaa"/>
    <w:basedOn w:val="4"/>
    <w:qFormat/>
    <w:uiPriority w:val="0"/>
    <w:pPr>
      <w:keepNext w:val="0"/>
      <w:keepLines w:val="0"/>
      <w:widowControl w:val="0"/>
      <w:spacing w:beforeLines="100" w:afterLines="100" w:line="360" w:lineRule="auto"/>
    </w:pPr>
    <w:rPr>
      <w:kern w:val="0"/>
      <w:sz w:val="32"/>
      <w:szCs w:val="20"/>
    </w:rPr>
  </w:style>
  <w:style w:type="character" w:customStyle="1" w:styleId="66">
    <w:name w:val="批注框文本 Char"/>
    <w:basedOn w:val="28"/>
    <w:link w:val="17"/>
    <w:qFormat/>
    <w:uiPriority w:val="0"/>
    <w:rPr>
      <w:rFonts w:ascii="Tahoma" w:hAnsi="Tahoma" w:eastAsia="微软雅黑" w:cstheme="minorBidi"/>
      <w:sz w:val="18"/>
      <w:szCs w:val="18"/>
    </w:rPr>
  </w:style>
  <w:style w:type="character" w:customStyle="1" w:styleId="67">
    <w:name w:val="页脚 Char"/>
    <w:basedOn w:val="28"/>
    <w:link w:val="18"/>
    <w:qFormat/>
    <w:uiPriority w:val="99"/>
    <w:rPr>
      <w:rFonts w:ascii="Tahoma" w:hAnsi="Tahoma" w:eastAsia="微软雅黑" w:cstheme="minorBidi"/>
      <w:sz w:val="18"/>
      <w:szCs w:val="18"/>
    </w:rPr>
  </w:style>
  <w:style w:type="character" w:customStyle="1" w:styleId="68">
    <w:name w:val="文档结构图 Char"/>
    <w:basedOn w:val="28"/>
    <w:link w:val="11"/>
    <w:qFormat/>
    <w:uiPriority w:val="0"/>
    <w:rPr>
      <w:rFonts w:ascii="宋体" w:hAnsi="Tahoma" w:cstheme="minorBidi"/>
      <w:sz w:val="18"/>
      <w:szCs w:val="18"/>
    </w:rPr>
  </w:style>
  <w:style w:type="paragraph" w:customStyle="1" w:styleId="69">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 w:type="paragraph" w:customStyle="1" w:styleId="70">
    <w:name w:val="1.1.1"/>
    <w:basedOn w:val="71"/>
    <w:qFormat/>
    <w:uiPriority w:val="0"/>
    <w:pPr>
      <w:spacing w:before="120" w:beforeLines="50" w:after="120" w:afterLines="50"/>
      <w:ind w:firstLine="0" w:firstLineChars="0"/>
      <w:outlineLvl w:val="2"/>
    </w:pPr>
    <w:rPr>
      <w:rFonts w:eastAsia="宋体"/>
      <w:b/>
      <w:color w:val="0000FF"/>
      <w:sz w:val="24"/>
      <w:szCs w:val="24"/>
    </w:rPr>
  </w:style>
  <w:style w:type="paragraph" w:customStyle="1" w:styleId="71">
    <w:name w:val="样式3"/>
    <w:basedOn w:val="1"/>
    <w:qFormat/>
    <w:uiPriority w:val="0"/>
    <w:pPr>
      <w:spacing w:line="360" w:lineRule="auto"/>
      <w:ind w:firstLine="200" w:firstLineChars="200"/>
    </w:pPr>
    <w:rPr>
      <w:rFonts w:eastAsia="楷体_GB2312"/>
      <w:sz w:val="28"/>
      <w:szCs w:val="20"/>
    </w:rPr>
  </w:style>
  <w:style w:type="character" w:customStyle="1" w:styleId="72">
    <w:name w:val="font11"/>
    <w:qFormat/>
    <w:uiPriority w:val="0"/>
    <w:rPr>
      <w:rFonts w:hint="eastAsia" w:ascii="宋体" w:hAnsi="宋体" w:eastAsia="宋体"/>
      <w:color w:val="000000"/>
      <w:sz w:val="21"/>
      <w:szCs w:val="21"/>
      <w:u w:val="none"/>
    </w:rPr>
  </w:style>
  <w:style w:type="paragraph" w:customStyle="1" w:styleId="73">
    <w:name w:val="S正文S"/>
    <w:basedOn w:val="1"/>
    <w:qFormat/>
    <w:uiPriority w:val="0"/>
    <w:pPr>
      <w:snapToGrid w:val="0"/>
      <w:spacing w:line="360" w:lineRule="auto"/>
      <w:ind w:firstLine="200" w:firstLineChars="200"/>
    </w:pPr>
    <w:rPr>
      <w:rFonts w:eastAsia="宋体"/>
      <w:snapToGrid w:val="0"/>
      <w:sz w:val="24"/>
      <w:szCs w:val="24"/>
    </w:rPr>
  </w:style>
  <w:style w:type="paragraph" w:customStyle="1" w:styleId="74">
    <w:name w:val="啊啊二级标题"/>
    <w:basedOn w:val="1"/>
    <w:qFormat/>
    <w:uiPriority w:val="0"/>
    <w:pPr>
      <w:autoSpaceDE w:val="0"/>
      <w:autoSpaceDN w:val="0"/>
      <w:adjustRightInd w:val="0"/>
      <w:spacing w:before="120" w:after="120" w:line="360" w:lineRule="auto"/>
      <w:jc w:val="left"/>
      <w:outlineLvl w:val="1"/>
    </w:pPr>
    <w:rPr>
      <w:rFonts w:cs="仿宋_GB2312"/>
      <w:b/>
      <w:sz w:val="28"/>
      <w:szCs w:val="28"/>
      <w:lang w:val="zh-CN"/>
    </w:rPr>
  </w:style>
  <w:style w:type="paragraph" w:customStyle="1" w:styleId="75">
    <w:name w:val="yang正文"/>
    <w:basedOn w:val="1"/>
    <w:qFormat/>
    <w:uiPriority w:val="0"/>
    <w:pPr>
      <w:spacing w:line="360" w:lineRule="auto"/>
      <w:ind w:firstLine="480" w:firstLineChars="200"/>
    </w:pPr>
    <w:rPr>
      <w:sz w:val="24"/>
      <w:szCs w:val="24"/>
    </w:rPr>
  </w:style>
  <w:style w:type="paragraph" w:customStyle="1" w:styleId="76">
    <w:name w:val="xc正文"/>
    <w:basedOn w:val="1"/>
    <w:qFormat/>
    <w:uiPriority w:val="0"/>
    <w:pPr>
      <w:widowControl/>
      <w:autoSpaceDN w:val="0"/>
      <w:snapToGrid w:val="0"/>
      <w:spacing w:line="360" w:lineRule="auto"/>
      <w:ind w:firstLine="480" w:firstLineChars="200"/>
    </w:pPr>
    <w:rPr>
      <w:sz w:val="24"/>
    </w:rPr>
  </w:style>
  <w:style w:type="paragraph" w:customStyle="1" w:styleId="77">
    <w:name w:val="1.1"/>
    <w:basedOn w:val="5"/>
    <w:qFormat/>
    <w:uiPriority w:val="0"/>
    <w:pPr>
      <w:numPr>
        <w:ilvl w:val="1"/>
        <w:numId w:val="0"/>
      </w:numPr>
      <w:spacing w:before="156" w:beforeLines="50" w:after="156" w:afterLines="50" w:line="360" w:lineRule="auto"/>
    </w:pPr>
    <w:rPr>
      <w:rFonts w:ascii="Times New Roman" w:hAnsi="Times New Roman"/>
      <w:color w:val="0000FF"/>
      <w:sz w:val="28"/>
      <w:szCs w:val="28"/>
    </w:rPr>
  </w:style>
  <w:style w:type="paragraph" w:customStyle="1" w:styleId="78">
    <w:name w:val="表格"/>
    <w:basedOn w:val="79"/>
    <w:next w:val="1"/>
    <w:qFormat/>
    <w:uiPriority w:val="0"/>
    <w:pPr>
      <w:tabs>
        <w:tab w:val="left" w:pos="940"/>
      </w:tabs>
      <w:autoSpaceDE w:val="0"/>
      <w:autoSpaceDN w:val="0"/>
      <w:adjustRightInd w:val="0"/>
      <w:jc w:val="center"/>
    </w:pPr>
    <w:rPr>
      <w:rFonts w:eastAsia="楷体_GB2312"/>
      <w:kern w:val="0"/>
    </w:rPr>
  </w:style>
  <w:style w:type="paragraph" w:customStyle="1" w:styleId="79">
    <w:name w:val="表题"/>
    <w:basedOn w:val="1"/>
    <w:qFormat/>
    <w:uiPriority w:val="0"/>
    <w:pPr>
      <w:tabs>
        <w:tab w:val="left" w:pos="940"/>
      </w:tabs>
      <w:snapToGrid w:val="0"/>
      <w:jc w:val="center"/>
    </w:pPr>
    <w:rPr>
      <w:rFonts w:eastAsia="黑体"/>
      <w:sz w:val="24"/>
    </w:rPr>
  </w:style>
  <w:style w:type="paragraph" w:customStyle="1" w:styleId="80">
    <w:name w:val="表格正文"/>
    <w:basedOn w:val="1"/>
    <w:qFormat/>
    <w:uiPriority w:val="0"/>
    <w:pPr>
      <w:spacing w:line="360" w:lineRule="exact"/>
      <w:jc w:val="center"/>
    </w:pPr>
    <w:rPr>
      <w:rFonts w:ascii="Arial" w:hAnsi="Arial"/>
      <w:szCs w:val="24"/>
    </w:rPr>
  </w:style>
  <w:style w:type="paragraph" w:customStyle="1" w:styleId="81">
    <w:name w:val="List Paragraph1"/>
    <w:basedOn w:val="1"/>
    <w:qFormat/>
    <w:uiPriority w:val="99"/>
    <w:pPr>
      <w:ind w:firstLine="420" w:firstLineChars="200"/>
    </w:pPr>
  </w:style>
  <w:style w:type="character" w:customStyle="1" w:styleId="82">
    <w:name w:val="znspantitle"/>
    <w:basedOn w:val="28"/>
    <w:qFormat/>
    <w:uiPriority w:val="0"/>
    <w:rPr>
      <w:b/>
      <w:bCs/>
      <w:color w:val="333333"/>
    </w:rPr>
  </w:style>
  <w:style w:type="character" w:customStyle="1" w:styleId="83">
    <w:name w:val="cur"/>
    <w:basedOn w:val="28"/>
    <w:qFormat/>
    <w:uiPriority w:val="0"/>
    <w:rPr>
      <w:color w:val="FFFFFF"/>
      <w:shd w:val="clear" w:fill="2F6B98"/>
    </w:rPr>
  </w:style>
  <w:style w:type="character" w:customStyle="1" w:styleId="84">
    <w:name w:val="radio-btn"/>
    <w:basedOn w:val="28"/>
    <w:qFormat/>
    <w:uiPriority w:val="0"/>
    <w:rPr>
      <w:sz w:val="21"/>
      <w:szCs w:val="21"/>
    </w:rPr>
  </w:style>
  <w:style w:type="character" w:customStyle="1" w:styleId="85">
    <w:name w:val="radio-btn1"/>
    <w:basedOn w:val="28"/>
    <w:qFormat/>
    <w:uiPriority w:val="0"/>
    <w:rPr>
      <w:sz w:val="24"/>
      <w:szCs w:val="24"/>
    </w:rPr>
  </w:style>
  <w:style w:type="character" w:customStyle="1" w:styleId="86">
    <w:name w:val="radio-btn2"/>
    <w:basedOn w:val="28"/>
    <w:qFormat/>
    <w:uiPriority w:val="0"/>
    <w:rPr>
      <w:sz w:val="24"/>
      <w:szCs w:val="24"/>
    </w:rPr>
  </w:style>
  <w:style w:type="character" w:customStyle="1" w:styleId="87">
    <w:name w:val="lishishuju"/>
    <w:basedOn w:val="28"/>
    <w:qFormat/>
    <w:uiPriority w:val="0"/>
    <w:rPr>
      <w:b/>
      <w:bCs/>
      <w:color w:val="000052"/>
      <w:sz w:val="24"/>
      <w:szCs w:val="24"/>
      <w:bdr w:val="single" w:color="E3E3E3" w:sz="6" w:space="0"/>
    </w:rPr>
  </w:style>
  <w:style w:type="character" w:customStyle="1" w:styleId="88">
    <w:name w:val="lable"/>
    <w:basedOn w:val="28"/>
    <w:qFormat/>
    <w:uiPriority w:val="0"/>
    <w:rPr>
      <w:sz w:val="24"/>
      <w:szCs w:val="24"/>
    </w:rPr>
  </w:style>
  <w:style w:type="paragraph" w:styleId="89">
    <w:name w:val="List Paragraph"/>
    <w:basedOn w:val="1"/>
    <w:unhideWhenUsed/>
    <w:qFormat/>
    <w:uiPriority w:val="99"/>
    <w:pPr>
      <w:ind w:firstLine="420" w:firstLineChars="200"/>
    </w:pPr>
  </w:style>
  <w:style w:type="paragraph" w:customStyle="1" w:styleId="90">
    <w:name w:val="正文模版（戴）"/>
    <w:basedOn w:val="1"/>
    <w:qFormat/>
    <w:uiPriority w:val="0"/>
    <w:pPr>
      <w:adjustRightInd w:val="0"/>
      <w:snapToGrid w:val="0"/>
      <w:spacing w:line="360" w:lineRule="auto"/>
      <w:ind w:firstLine="464" w:firstLineChars="200"/>
    </w:pPr>
    <w:rPr>
      <w:rFonts w:ascii="宋体" w:hAnsi="宋体" w:cs="宋体"/>
      <w:snapToGrid w:val="0"/>
      <w:color w:val="000000"/>
      <w:spacing w:val="-4"/>
      <w:kern w:val="0"/>
      <w:sz w:val="24"/>
    </w:rPr>
  </w:style>
  <w:style w:type="character" w:customStyle="1" w:styleId="91">
    <w:name w:val="ca-1"/>
    <w:basedOn w:val="28"/>
    <w:qFormat/>
    <w:uiPriority w:val="0"/>
  </w:style>
  <w:style w:type="paragraph" w:customStyle="1" w:styleId="92">
    <w:name w:val="啊啊啊啊正文"/>
    <w:basedOn w:val="1"/>
    <w:qFormat/>
    <w:uiPriority w:val="0"/>
    <w:pPr>
      <w:spacing w:line="360" w:lineRule="auto"/>
      <w:ind w:firstLine="200" w:firstLineChars="200"/>
    </w:pPr>
    <w:rPr>
      <w:rFonts w:ascii="宋体" w:hAnsi="宋体"/>
      <w:sz w:val="24"/>
    </w:rPr>
  </w:style>
  <w:style w:type="paragraph" w:customStyle="1" w:styleId="93">
    <w:name w:val="表正文"/>
    <w:basedOn w:val="1"/>
    <w:qFormat/>
    <w:uiPriority w:val="0"/>
    <w:pPr>
      <w:spacing w:line="360" w:lineRule="auto"/>
      <w:ind w:firstLine="200" w:firstLineChars="200"/>
    </w:pPr>
    <w:rPr>
      <w:sz w:val="24"/>
    </w:rPr>
  </w:style>
  <w:style w:type="paragraph" w:customStyle="1" w:styleId="94">
    <w:name w:val="中文报告书"/>
    <w:basedOn w:val="1"/>
    <w:qFormat/>
    <w:uiPriority w:val="0"/>
    <w:pPr>
      <w:adjustRightInd w:val="0"/>
      <w:spacing w:after="80" w:line="420" w:lineRule="atLeast"/>
      <w:jc w:val="left"/>
      <w:textAlignment w:val="baseline"/>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2808</Words>
  <Characters>16012</Characters>
  <Lines>133</Lines>
  <Paragraphs>37</Paragraphs>
  <TotalTime>1</TotalTime>
  <ScaleCrop>false</ScaleCrop>
  <LinksUpToDate>false</LinksUpToDate>
  <CharactersWithSpaces>18783</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2018-06-07T06:22:00Z</dcterms:created>
  <dc:creator>sM</dc:creator>
  <cp:lastModifiedBy>WPS_1550155665</cp:lastModifiedBy>
  <cp:lastPrinted>2021-01-08T07:31:00Z</cp:lastPrinted>
  <dcterms:modified xsi:type="dcterms:W3CDTF">2021-11-05T02:03:48Z</dcterms:modified>
  <dc:title>年扩建5000万个纸质品项目竣工环境保护验收监测报告表</dc:title>
  <cp:revision>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458A03249A284817B2C594F32F62B2A8</vt:lpwstr>
  </property>
</Properties>
</file>