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imes New Roman" w:hAnsi="Times New Roman" w:eastAsia="宋体" w:cs="Times New Roman"/>
          <w:b/>
          <w:color w:val="0000FF"/>
          <w:sz w:val="44"/>
          <w:szCs w:val="44"/>
          <w:lang w:eastAsia="zh-CN"/>
        </w:rPr>
      </w:pPr>
    </w:p>
    <w:p>
      <w:pPr>
        <w:spacing w:line="360" w:lineRule="auto"/>
        <w:jc w:val="center"/>
        <w:rPr>
          <w:rFonts w:hint="eastAsia" w:ascii="Times New Roman" w:hAnsi="Times New Roman" w:eastAsia="宋体" w:cs="Times New Roman"/>
          <w:b/>
          <w:color w:val="0000FF"/>
          <w:sz w:val="44"/>
          <w:szCs w:val="44"/>
          <w:lang w:eastAsia="zh-CN"/>
        </w:rPr>
      </w:pPr>
    </w:p>
    <w:p>
      <w:pPr>
        <w:spacing w:line="360" w:lineRule="auto"/>
        <w:jc w:val="center"/>
        <w:rPr>
          <w:rFonts w:hint="eastAsia" w:ascii="Times New Roman" w:hAnsi="Times New Roman" w:eastAsia="宋体" w:cs="Times New Roman"/>
          <w:b/>
          <w:color w:val="000000" w:themeColor="text1"/>
          <w:sz w:val="52"/>
          <w:szCs w:val="52"/>
          <w:lang w:eastAsia="zh-CN"/>
          <w14:textFill>
            <w14:solidFill>
              <w14:schemeClr w14:val="tx1"/>
            </w14:solidFill>
          </w14:textFill>
        </w:rPr>
      </w:pPr>
      <w:r>
        <w:rPr>
          <w:rFonts w:hint="eastAsia" w:ascii="Times New Roman" w:hAnsi="Times New Roman" w:eastAsia="宋体" w:cs="Times New Roman"/>
          <w:b/>
          <w:color w:val="000000" w:themeColor="text1"/>
          <w:sz w:val="52"/>
          <w:szCs w:val="52"/>
          <w:lang w:eastAsia="zh-CN"/>
          <w14:textFill>
            <w14:solidFill>
              <w14:schemeClr w14:val="tx1"/>
            </w14:solidFill>
          </w14:textFill>
        </w:rPr>
        <w:t>金城伟业不干胶标签印刷加工项目</w:t>
      </w:r>
    </w:p>
    <w:p>
      <w:pPr>
        <w:spacing w:line="360" w:lineRule="auto"/>
        <w:jc w:val="center"/>
        <w:rPr>
          <w:rFonts w:ascii="Times New Roman" w:hAnsi="Times New Roman" w:eastAsia="宋体" w:cs="Times New Roman"/>
          <w:b/>
          <w:color w:val="000000" w:themeColor="text1"/>
          <w:sz w:val="52"/>
          <w:szCs w:val="52"/>
          <w14:textFill>
            <w14:solidFill>
              <w14:schemeClr w14:val="tx1"/>
            </w14:solidFill>
          </w14:textFill>
        </w:rPr>
      </w:pPr>
      <w:r>
        <w:rPr>
          <w:rFonts w:ascii="Times New Roman" w:hAnsi="Times New Roman" w:eastAsia="宋体" w:cs="Times New Roman"/>
          <w:b/>
          <w:color w:val="000000" w:themeColor="text1"/>
          <w:sz w:val="52"/>
          <w:szCs w:val="52"/>
          <w14:textFill>
            <w14:solidFill>
              <w14:schemeClr w14:val="tx1"/>
            </w14:solidFill>
          </w14:textFill>
        </w:rPr>
        <w:t>竣工环境保护验收监测报告表</w:t>
      </w:r>
    </w:p>
    <w:p>
      <w:pPr>
        <w:jc w:val="center"/>
        <w:rPr>
          <w:rFonts w:ascii="Times New Roman" w:hAnsi="Times New Roman" w:eastAsia="宋体" w:cs="Times New Roman"/>
          <w:color w:val="000000" w:themeColor="text1"/>
          <w:sz w:val="28"/>
          <w14:textFill>
            <w14:solidFill>
              <w14:schemeClr w14:val="tx1"/>
            </w14:solidFill>
          </w14:textFill>
        </w:rPr>
      </w:pPr>
    </w:p>
    <w:p>
      <w:pPr>
        <w:pStyle w:val="23"/>
        <w:rPr>
          <w:color w:val="000000" w:themeColor="text1"/>
          <w14:textFill>
            <w14:solidFill>
              <w14:schemeClr w14:val="tx1"/>
            </w14:solidFill>
          </w14:textFill>
        </w:rPr>
      </w:pPr>
    </w:p>
    <w:p>
      <w:pPr>
        <w:jc w:val="center"/>
        <w:rPr>
          <w:rFonts w:ascii="Times New Roman" w:hAnsi="Times New Roman" w:eastAsia="宋体" w:cs="Times New Roman"/>
          <w:color w:val="000000" w:themeColor="text1"/>
          <w:sz w:val="28"/>
          <w14:textFill>
            <w14:solidFill>
              <w14:schemeClr w14:val="tx1"/>
            </w14:solidFill>
          </w14:textFill>
        </w:rPr>
      </w:pPr>
    </w:p>
    <w:p>
      <w:pPr>
        <w:jc w:val="center"/>
        <w:rPr>
          <w:rFonts w:ascii="Times New Roman" w:hAnsi="Times New Roman" w:eastAsia="宋体" w:cs="Times New Roman"/>
          <w:color w:val="000000" w:themeColor="text1"/>
          <w:sz w:val="28"/>
          <w14:textFill>
            <w14:solidFill>
              <w14:schemeClr w14:val="tx1"/>
            </w14:solidFill>
          </w14:textFill>
        </w:rPr>
      </w:pPr>
    </w:p>
    <w:p>
      <w:pPr>
        <w:pStyle w:val="2"/>
      </w:pPr>
    </w:p>
    <w:p>
      <w:pPr>
        <w:pStyle w:val="23"/>
        <w:rPr>
          <w:rFonts w:ascii="Times New Roman" w:hAnsi="Times New Roman" w:eastAsia="宋体" w:cs="Times New Roman"/>
          <w:color w:val="000000" w:themeColor="text1"/>
          <w:sz w:val="28"/>
          <w14:textFill>
            <w14:solidFill>
              <w14:schemeClr w14:val="tx1"/>
            </w14:solidFill>
          </w14:textFill>
        </w:rPr>
      </w:pPr>
    </w:p>
    <w:p>
      <w:pPr>
        <w:pStyle w:val="23"/>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14:textFill>
            <w14:solidFill>
              <w14:schemeClr w14:val="tx1"/>
            </w14:solidFill>
          </w14:textFill>
        </w:rPr>
      </w:pPr>
    </w:p>
    <w:p>
      <w:pPr>
        <w:pStyle w:val="23"/>
        <w:ind w:firstLine="164"/>
        <w:rPr>
          <w:rFonts w:ascii="Times New Roman" w:hAnsi="Times New Roman" w:eastAsia="宋体" w:cs="Times New Roman"/>
          <w:color w:val="000000" w:themeColor="text1"/>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ascii="Times New Roman" w:hAnsi="Times New Roman" w:eastAsia="宋体" w:cs="Times New Roman"/>
          <w:color w:val="000000" w:themeColor="text1"/>
          <w:sz w:val="36"/>
          <w:szCs w:val="36"/>
          <w:u w:val="single"/>
          <w14:textFill>
            <w14:solidFill>
              <w14:schemeClr w14:val="tx1"/>
            </w14:solidFill>
          </w14:textFill>
        </w:rPr>
      </w:pPr>
      <w:r>
        <w:rPr>
          <w:rFonts w:ascii="Times New Roman" w:hAnsi="Times New Roman" w:eastAsia="宋体" w:cs="Times New Roman"/>
          <w:color w:val="000000" w:themeColor="text1"/>
          <w:sz w:val="36"/>
          <w:szCs w:val="36"/>
          <w14:textFill>
            <w14:solidFill>
              <w14:schemeClr w14:val="tx1"/>
            </w14:solidFill>
          </w14:textFill>
        </w:rPr>
        <w:t>建设单位：</w:t>
      </w:r>
      <w:r>
        <w:rPr>
          <w:rFonts w:hint="eastAsia" w:ascii="Times New Roman" w:hAnsi="Times New Roman" w:eastAsia="宋体" w:cs="Times New Roman"/>
          <w:color w:val="000000" w:themeColor="text1"/>
          <w:sz w:val="36"/>
          <w:szCs w:val="36"/>
          <w:u w:val="single"/>
          <w:lang w:val="en-US" w:eastAsia="zh-CN"/>
          <w14:textFill>
            <w14:solidFill>
              <w14:schemeClr w14:val="tx1"/>
            </w14:solidFill>
          </w14:textFill>
        </w:rPr>
        <w:t xml:space="preserve"> 福建省金城伟业印刷有限公司</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color w:val="000000" w:themeColor="text1"/>
          <w:sz w:val="36"/>
          <w:szCs w:val="36"/>
          <w:u w:val="single"/>
          <w:lang w:val="en-US" w:eastAsia="zh-CN"/>
          <w14:textFill>
            <w14:solidFill>
              <w14:schemeClr w14:val="tx1"/>
            </w14:solidFill>
          </w14:textFill>
        </w:rPr>
      </w:pPr>
      <w:r>
        <w:rPr>
          <w:rFonts w:ascii="Times New Roman" w:hAnsi="Times New Roman" w:eastAsia="宋体" w:cs="Times New Roman"/>
          <w:color w:val="000000" w:themeColor="text1"/>
          <w:sz w:val="36"/>
          <w:szCs w:val="36"/>
          <w14:textFill>
            <w14:solidFill>
              <w14:schemeClr w14:val="tx1"/>
            </w14:solidFill>
          </w14:textFill>
        </w:rPr>
        <w:t>编制单位：</w:t>
      </w:r>
      <w:r>
        <w:rPr>
          <w:rFonts w:hint="eastAsia" w:ascii="Times New Roman" w:hAnsi="Times New Roman" w:eastAsia="宋体" w:cs="Times New Roman"/>
          <w:color w:val="000000" w:themeColor="text1"/>
          <w:sz w:val="36"/>
          <w:szCs w:val="36"/>
          <w:u w:val="single"/>
          <w:lang w:val="en-US" w:eastAsia="zh-CN"/>
          <w14:textFill>
            <w14:solidFill>
              <w14:schemeClr w14:val="tx1"/>
            </w14:solidFill>
          </w14:textFill>
        </w:rPr>
        <w:t xml:space="preserve"> 福建省金城伟业印刷有限公司</w:t>
      </w:r>
    </w:p>
    <w:p>
      <w:pPr>
        <w:pStyle w:val="36"/>
        <w:rPr>
          <w:rFonts w:ascii="Times New Roman" w:hAnsi="Times New Roman" w:cs="Times New Roman"/>
          <w:color w:val="000000" w:themeColor="text1"/>
          <w:sz w:val="28"/>
          <w14:textFill>
            <w14:solidFill>
              <w14:schemeClr w14:val="tx1"/>
            </w14:solidFill>
          </w14:textFill>
        </w:rPr>
      </w:pPr>
    </w:p>
    <w:p>
      <w:pPr>
        <w:jc w:val="center"/>
        <w:rPr>
          <w:rFonts w:ascii="Times New Roman" w:hAnsi="Times New Roman" w:eastAsia="宋体" w:cs="Times New Roman"/>
          <w:bCs/>
          <w:color w:val="000000" w:themeColor="text1"/>
          <w:sz w:val="32"/>
          <w:szCs w:val="32"/>
          <w14:textFill>
            <w14:solidFill>
              <w14:schemeClr w14:val="tx1"/>
            </w14:solidFill>
          </w14:textFill>
        </w:rPr>
      </w:pPr>
      <w:r>
        <w:rPr>
          <w:rFonts w:ascii="Times New Roman" w:hAnsi="Times New Roman" w:eastAsia="宋体" w:cs="Times New Roman"/>
          <w:bCs/>
          <w:color w:val="000000" w:themeColor="text1"/>
          <w:sz w:val="32"/>
          <w:szCs w:val="32"/>
          <w14:textFill>
            <w14:solidFill>
              <w14:schemeClr w14:val="tx1"/>
            </w14:solidFill>
          </w14:textFill>
        </w:rPr>
        <w:t>202</w:t>
      </w:r>
      <w:r>
        <w:rPr>
          <w:rFonts w:hint="eastAsia" w:ascii="Times New Roman" w:hAnsi="Times New Roman" w:eastAsia="宋体" w:cs="Times New Roman"/>
          <w:bCs/>
          <w:color w:val="000000" w:themeColor="text1"/>
          <w:sz w:val="32"/>
          <w:szCs w:val="32"/>
          <w:lang w:val="en-US" w:eastAsia="zh-CN"/>
          <w14:textFill>
            <w14:solidFill>
              <w14:schemeClr w14:val="tx1"/>
            </w14:solidFill>
          </w14:textFill>
        </w:rPr>
        <w:t>1</w:t>
      </w:r>
      <w:r>
        <w:rPr>
          <w:rFonts w:ascii="Times New Roman" w:hAnsi="Times New Roman" w:eastAsia="宋体" w:cs="Times New Roman"/>
          <w:bCs/>
          <w:color w:val="000000" w:themeColor="text1"/>
          <w:sz w:val="32"/>
          <w:szCs w:val="32"/>
          <w14:textFill>
            <w14:solidFill>
              <w14:schemeClr w14:val="tx1"/>
            </w14:solidFill>
          </w14:textFill>
        </w:rPr>
        <w:t>年</w:t>
      </w:r>
      <w:r>
        <w:rPr>
          <w:rFonts w:hint="eastAsia" w:ascii="Times New Roman" w:hAnsi="Times New Roman" w:eastAsia="宋体" w:cs="Times New Roman"/>
          <w:bCs/>
          <w:color w:val="000000" w:themeColor="text1"/>
          <w:sz w:val="32"/>
          <w:szCs w:val="32"/>
          <w:lang w:val="en-US" w:eastAsia="zh-CN"/>
          <w14:textFill>
            <w14:solidFill>
              <w14:schemeClr w14:val="tx1"/>
            </w14:solidFill>
          </w14:textFill>
        </w:rPr>
        <w:t>11</w:t>
      </w:r>
      <w:r>
        <w:rPr>
          <w:rFonts w:ascii="Times New Roman" w:hAnsi="Times New Roman" w:eastAsia="宋体" w:cs="Times New Roman"/>
          <w:bCs/>
          <w:color w:val="000000" w:themeColor="text1"/>
          <w:sz w:val="32"/>
          <w:szCs w:val="32"/>
          <w14:textFill>
            <w14:solidFill>
              <w14:schemeClr w14:val="tx1"/>
            </w14:solidFill>
          </w14:textFill>
        </w:rPr>
        <w:t>月</w:t>
      </w:r>
    </w:p>
    <w:p>
      <w:pPr>
        <w:spacing w:line="360" w:lineRule="auto"/>
        <w:rPr>
          <w:rFonts w:ascii="Times New Roman" w:hAnsi="Times New Roman" w:eastAsia="宋体" w:cs="Times New Roman"/>
          <w:bCs/>
          <w:color w:val="0000FF"/>
          <w:sz w:val="28"/>
        </w:rPr>
        <w:sectPr>
          <w:footerReference r:id="rId3" w:type="default"/>
          <w:pgSz w:w="11906" w:h="16838"/>
          <w:pgMar w:top="1440" w:right="1440" w:bottom="1440" w:left="1701" w:header="709" w:footer="709" w:gutter="0"/>
          <w:pgBorders>
            <w:top w:val="none" w:sz="0" w:space="0"/>
            <w:left w:val="none" w:sz="0" w:space="0"/>
            <w:bottom w:val="none" w:sz="0" w:space="0"/>
            <w:right w:val="none" w:sz="0" w:space="0"/>
          </w:pgBorders>
          <w:pgNumType w:start="1"/>
          <w:cols w:space="0" w:num="1"/>
          <w:docGrid w:linePitch="360" w:charSpace="0"/>
        </w:sectPr>
      </w:pPr>
    </w:p>
    <w:p>
      <w:pPr>
        <w:spacing w:line="360" w:lineRule="auto"/>
        <w:rPr>
          <w:rFonts w:ascii="Times New Roman" w:hAnsi="Times New Roman" w:eastAsia="宋体" w:cs="Times New Roman"/>
          <w:bCs/>
          <w:color w:val="0000FF"/>
          <w:sz w:val="28"/>
        </w:rPr>
      </w:pPr>
    </w:p>
    <w:p>
      <w:pPr>
        <w:spacing w:line="360" w:lineRule="auto"/>
        <w:rPr>
          <w:rFonts w:ascii="Times New Roman" w:hAnsi="Times New Roman" w:eastAsia="宋体" w:cs="Times New Roman"/>
          <w:bCs/>
          <w:color w:val="000000" w:themeColor="text1"/>
          <w:sz w:val="28"/>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建设</w:t>
      </w:r>
      <w:r>
        <w:rPr>
          <w:rFonts w:ascii="Times New Roman" w:hAnsi="Times New Roman" w:eastAsia="宋体" w:cs="Times New Roman"/>
          <w:bCs/>
          <w:color w:val="000000" w:themeColor="text1"/>
          <w:sz w:val="28"/>
          <w:szCs w:val="28"/>
          <w14:textFill>
            <w14:solidFill>
              <w14:schemeClr w14:val="tx1"/>
            </w14:solidFill>
          </w14:textFill>
        </w:rPr>
        <w:t>单</w:t>
      </w:r>
      <w:r>
        <w:rPr>
          <w:rFonts w:ascii="Times New Roman" w:hAnsi="Times New Roman" w:eastAsia="宋体" w:cs="Times New Roman"/>
          <w:bCs/>
          <w:color w:val="000000" w:themeColor="text1"/>
          <w:sz w:val="28"/>
          <w14:textFill>
            <w14:solidFill>
              <w14:schemeClr w14:val="tx1"/>
            </w14:solidFill>
          </w14:textFill>
        </w:rPr>
        <w:t xml:space="preserve">位法人代表: </w:t>
      </w:r>
      <w:r>
        <w:rPr>
          <w:rFonts w:hint="default" w:ascii="Times New Roman" w:hAnsi="Times New Roman" w:eastAsia="宋体" w:cs="Times New Roman"/>
          <w:bCs/>
          <w:color w:val="000000" w:themeColor="text1"/>
          <w:sz w:val="28"/>
          <w:lang w:val="en-US" w:eastAsia="zh-CN"/>
          <w14:textFill>
            <w14:solidFill>
              <w14:schemeClr w14:val="tx1"/>
            </w14:solidFill>
          </w14:textFill>
        </w:rPr>
        <w:t>张中战</w:t>
      </w:r>
      <w:r>
        <w:rPr>
          <w:rFonts w:ascii="Times New Roman" w:hAnsi="Times New Roman" w:eastAsia="宋体" w:cs="Times New Roman"/>
          <w:bCs/>
          <w:color w:val="000000" w:themeColor="text1"/>
          <w:sz w:val="28"/>
          <w14:textFill>
            <w14:solidFill>
              <w14:schemeClr w14:val="tx1"/>
            </w14:solidFill>
          </w14:textFill>
        </w:rPr>
        <w:t xml:space="preserve"> </w:t>
      </w:r>
    </w:p>
    <w:p>
      <w:pPr>
        <w:spacing w:line="360" w:lineRule="auto"/>
        <w:rPr>
          <w:rFonts w:ascii="Times New Roman" w:hAnsi="Times New Roman" w:eastAsia="宋体" w:cs="Times New Roman"/>
          <w:bCs/>
          <w:color w:val="000000" w:themeColor="text1"/>
          <w:sz w:val="28"/>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 xml:space="preserve">     </w:t>
      </w:r>
    </w:p>
    <w:p>
      <w:pPr>
        <w:spacing w:line="360" w:lineRule="auto"/>
        <w:rPr>
          <w:rFonts w:hint="eastAsia" w:ascii="Times New Roman" w:hAnsi="Times New Roman" w:eastAsia="宋体" w:cs="Times New Roman"/>
          <w:bCs/>
          <w:color w:val="000000" w:themeColor="text1"/>
          <w:sz w:val="28"/>
          <w:lang w:eastAsia="zh-CN"/>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 xml:space="preserve">编制单位法人代表: </w:t>
      </w:r>
      <w:r>
        <w:rPr>
          <w:rFonts w:hint="default" w:ascii="Times New Roman" w:hAnsi="Times New Roman" w:eastAsia="宋体" w:cs="Times New Roman"/>
          <w:bCs/>
          <w:color w:val="000000" w:themeColor="text1"/>
          <w:sz w:val="28"/>
          <w:lang w:val="en-US" w:eastAsia="zh-CN"/>
          <w14:textFill>
            <w14:solidFill>
              <w14:schemeClr w14:val="tx1"/>
            </w14:solidFill>
          </w14:textFill>
        </w:rPr>
        <w:t>张中战</w:t>
      </w:r>
    </w:p>
    <w:p>
      <w:pPr>
        <w:spacing w:line="360" w:lineRule="auto"/>
        <w:rPr>
          <w:rFonts w:ascii="Times New Roman" w:hAnsi="Times New Roman" w:eastAsia="宋体" w:cs="Times New Roman"/>
          <w:bCs/>
          <w:color w:val="000000" w:themeColor="text1"/>
          <w:sz w:val="28"/>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 xml:space="preserve">        </w:t>
      </w:r>
    </w:p>
    <w:p>
      <w:pPr>
        <w:spacing w:line="360" w:lineRule="auto"/>
        <w:rPr>
          <w:rFonts w:hint="eastAsia" w:ascii="Times New Roman" w:hAnsi="Times New Roman" w:eastAsia="宋体" w:cs="Times New Roman"/>
          <w:bCs/>
          <w:color w:val="000000" w:themeColor="text1"/>
          <w:sz w:val="28"/>
          <w:lang w:val="en-US" w:eastAsia="zh-CN"/>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 xml:space="preserve">项目负责人: </w:t>
      </w:r>
      <w:r>
        <w:rPr>
          <w:rFonts w:hint="default" w:ascii="Times New Roman" w:hAnsi="Times New Roman" w:eastAsia="宋体" w:cs="Times New Roman"/>
          <w:bCs/>
          <w:color w:val="000000" w:themeColor="text1"/>
          <w:sz w:val="28"/>
          <w:lang w:val="en-US" w:eastAsia="zh-CN"/>
          <w14:textFill>
            <w14:solidFill>
              <w14:schemeClr w14:val="tx1"/>
            </w14:solidFill>
          </w14:textFill>
        </w:rPr>
        <w:t>张中战</w:t>
      </w:r>
    </w:p>
    <w:p>
      <w:pPr>
        <w:spacing w:line="360" w:lineRule="auto"/>
        <w:rPr>
          <w:rFonts w:hint="eastAsia" w:ascii="Times New Roman" w:hAnsi="Times New Roman" w:eastAsia="宋体" w:cs="Times New Roman"/>
          <w:bCs/>
          <w:color w:val="000000" w:themeColor="text1"/>
          <w:sz w:val="28"/>
          <w:lang w:val="en-US" w:eastAsia="zh-CN"/>
          <w14:textFill>
            <w14:solidFill>
              <w14:schemeClr w14:val="tx1"/>
            </w14:solidFill>
          </w14:textFill>
        </w:rPr>
      </w:pPr>
    </w:p>
    <w:p>
      <w:pPr>
        <w:spacing w:line="360" w:lineRule="auto"/>
        <w:rPr>
          <w:rFonts w:hint="eastAsia" w:ascii="Times New Roman" w:hAnsi="Times New Roman" w:eastAsia="宋体" w:cs="Times New Roman"/>
          <w:bCs/>
          <w:color w:val="000000" w:themeColor="text1"/>
          <w:sz w:val="28"/>
          <w:lang w:eastAsia="zh-CN"/>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填表人：</w:t>
      </w:r>
      <w:r>
        <w:rPr>
          <w:rFonts w:hint="default" w:ascii="Times New Roman" w:hAnsi="Times New Roman" w:eastAsia="宋体" w:cs="Times New Roman"/>
          <w:bCs/>
          <w:color w:val="000000" w:themeColor="text1"/>
          <w:sz w:val="28"/>
          <w:lang w:val="en-US" w:eastAsia="zh-CN"/>
          <w14:textFill>
            <w14:solidFill>
              <w14:schemeClr w14:val="tx1"/>
            </w14:solidFill>
          </w14:textFill>
        </w:rPr>
        <w:t>张中战</w:t>
      </w:r>
    </w:p>
    <w:p>
      <w:pPr>
        <w:spacing w:line="360" w:lineRule="auto"/>
        <w:rPr>
          <w:rFonts w:ascii="Times New Roman" w:hAnsi="Times New Roman" w:eastAsia="宋体" w:cs="Times New Roman"/>
          <w:color w:val="000000" w:themeColor="text1"/>
          <w:sz w:val="28"/>
          <w14:textFill>
            <w14:solidFill>
              <w14:schemeClr w14:val="tx1"/>
            </w14:solidFill>
          </w14:textFill>
        </w:rPr>
      </w:pPr>
      <w:r>
        <w:rPr>
          <w:rFonts w:ascii="Times New Roman" w:hAnsi="Times New Roman" w:eastAsia="宋体" w:cs="Times New Roman"/>
          <w:color w:val="000000" w:themeColor="text1"/>
          <w:sz w:val="28"/>
          <w14:textFill>
            <w14:solidFill>
              <w14:schemeClr w14:val="tx1"/>
            </w14:solidFill>
          </w14:textFill>
        </w:rPr>
        <w:tab/>
      </w: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spacing w:line="360" w:lineRule="auto"/>
        <w:rPr>
          <w:rFonts w:ascii="Times New Roman" w:hAnsi="Times New Roman" w:eastAsia="宋体" w:cs="Times New Roman"/>
          <w:color w:val="0000FF"/>
          <w:sz w:val="28"/>
        </w:rPr>
      </w:pPr>
    </w:p>
    <w:tbl>
      <w:tblPr>
        <w:tblStyle w:val="26"/>
        <w:tblW w:w="9510" w:type="dxa"/>
        <w:tblInd w:w="-25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00"/>
        <w:gridCol w:w="47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建设单位：</w:t>
            </w:r>
          </w:p>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福建省金城伟业印刷有限公司</w:t>
            </w:r>
          </w:p>
        </w:tc>
        <w:tc>
          <w:tcPr>
            <w:tcW w:w="4710" w:type="dxa"/>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编制单位：</w:t>
            </w:r>
          </w:p>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福建省金城伟业印刷有限公司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default"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电话:</w:t>
            </w:r>
            <w:r>
              <w:rPr>
                <w:rFonts w:hint="default" w:ascii="Times New Roman" w:hAnsi="Times New Roman" w:eastAsia="宋体" w:cs="Times New Roman"/>
                <w:color w:val="000000" w:themeColor="text1"/>
                <w:sz w:val="28"/>
                <w:lang w:val="en-US" w:eastAsia="zh-CN"/>
                <w14:textFill>
                  <w14:solidFill>
                    <w14:schemeClr w14:val="tx1"/>
                  </w14:solidFill>
                </w14:textFill>
              </w:rPr>
              <w:t>13950139028</w:t>
            </w:r>
          </w:p>
        </w:tc>
        <w:tc>
          <w:tcPr>
            <w:tcW w:w="4710" w:type="dxa"/>
            <w:vAlign w:val="top"/>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电话:</w:t>
            </w:r>
            <w:r>
              <w:rPr>
                <w:rFonts w:hint="default" w:ascii="Times New Roman" w:hAnsi="Times New Roman" w:eastAsia="宋体" w:cs="Times New Roman"/>
                <w:color w:val="000000" w:themeColor="text1"/>
                <w:sz w:val="28"/>
                <w:lang w:val="en-US" w:eastAsia="zh-CN"/>
                <w14:textFill>
                  <w14:solidFill>
                    <w14:schemeClr w14:val="tx1"/>
                  </w14:solidFill>
                </w14:textFill>
              </w:rPr>
              <w:t>13950139028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传真:     /</w:t>
            </w:r>
          </w:p>
        </w:tc>
        <w:tc>
          <w:tcPr>
            <w:tcW w:w="4710" w:type="dxa"/>
            <w:vAlign w:val="top"/>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传真: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default"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邮编:</w:t>
            </w:r>
          </w:p>
        </w:tc>
        <w:tc>
          <w:tcPr>
            <w:tcW w:w="4710" w:type="dxa"/>
            <w:vAlign w:val="top"/>
          </w:tcPr>
          <w:p>
            <w:pPr>
              <w:widowControl/>
              <w:tabs>
                <w:tab w:val="left" w:pos="984"/>
              </w:tabs>
              <w:spacing w:line="360" w:lineRule="auto"/>
              <w:jc w:val="both"/>
              <w:rPr>
                <w:rFonts w:hint="default"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邮编: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 xml:space="preserve">地址: </w:t>
            </w:r>
          </w:p>
          <w:p>
            <w:pPr>
              <w:widowControl/>
              <w:tabs>
                <w:tab w:val="left" w:pos="984"/>
              </w:tabs>
              <w:spacing w:line="360" w:lineRule="auto"/>
              <w:jc w:val="both"/>
              <w:rPr>
                <w:rFonts w:hint="default"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福建省漳州市云霄县云陵工业开发区大埔473号</w:t>
            </w:r>
          </w:p>
        </w:tc>
        <w:tc>
          <w:tcPr>
            <w:tcW w:w="4710" w:type="dxa"/>
            <w:vAlign w:val="top"/>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 xml:space="preserve">地址: </w:t>
            </w:r>
          </w:p>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福建省漳州市云霄县云陵工业开发区大埔473号</w:t>
            </w:r>
          </w:p>
        </w:tc>
      </w:tr>
    </w:tbl>
    <w:p>
      <w:pPr>
        <w:outlineLvl w:val="0"/>
        <w:rPr>
          <w:rFonts w:ascii="Times New Roman" w:hAnsi="Times New Roman" w:eastAsia="宋体" w:cs="Times New Roman"/>
          <w:color w:val="auto"/>
          <w:sz w:val="21"/>
          <w:szCs w:val="21"/>
        </w:rPr>
      </w:pPr>
      <w:r>
        <w:rPr>
          <w:rFonts w:ascii="Times New Roman" w:hAnsi="Times New Roman" w:eastAsia="宋体" w:cs="Times New Roman"/>
          <w:b/>
          <w:color w:val="auto"/>
          <w:sz w:val="21"/>
          <w:szCs w:val="21"/>
        </w:rPr>
        <w:t>表一</w:t>
      </w:r>
    </w:p>
    <w:tbl>
      <w:tblPr>
        <w:tblStyle w:val="25"/>
        <w:tblW w:w="892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2441"/>
        <w:gridCol w:w="1755"/>
        <w:gridCol w:w="1273"/>
        <w:gridCol w:w="765"/>
        <w:gridCol w:w="10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建设项目名称</w:t>
            </w:r>
          </w:p>
        </w:tc>
        <w:tc>
          <w:tcPr>
            <w:tcW w:w="7269" w:type="dxa"/>
            <w:gridSpan w:val="5"/>
            <w:vAlign w:val="center"/>
          </w:tcPr>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金城伟业不干胶标签印刷加工项目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建设单位名称</w:t>
            </w:r>
          </w:p>
        </w:tc>
        <w:tc>
          <w:tcPr>
            <w:tcW w:w="7269" w:type="dxa"/>
            <w:gridSpan w:val="5"/>
            <w:vAlign w:val="center"/>
          </w:tcPr>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福建省金城伟业印刷有限公司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建设项目性质</w:t>
            </w:r>
          </w:p>
        </w:tc>
        <w:tc>
          <w:tcPr>
            <w:tcW w:w="7269" w:type="dxa"/>
            <w:gridSpan w:val="5"/>
            <w:vAlign w:val="center"/>
          </w:tcPr>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建设地点</w:t>
            </w:r>
          </w:p>
        </w:tc>
        <w:tc>
          <w:tcPr>
            <w:tcW w:w="7269" w:type="dxa"/>
            <w:gridSpan w:val="5"/>
            <w:vAlign w:val="center"/>
          </w:tcPr>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福建省漳州市云霄县云陵工业开发区大埔473号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主要产品名称</w:t>
            </w:r>
          </w:p>
        </w:tc>
        <w:tc>
          <w:tcPr>
            <w:tcW w:w="7269" w:type="dxa"/>
            <w:gridSpan w:val="5"/>
            <w:vAlign w:val="center"/>
          </w:tcPr>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不干胶标签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建设规模</w:t>
            </w:r>
          </w:p>
        </w:tc>
        <w:tc>
          <w:tcPr>
            <w:tcW w:w="7269" w:type="dxa"/>
            <w:gridSpan w:val="5"/>
            <w:vAlign w:val="center"/>
          </w:tcPr>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年印刷不干胶标签330t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实际产能</w:t>
            </w:r>
          </w:p>
        </w:tc>
        <w:tc>
          <w:tcPr>
            <w:tcW w:w="7269" w:type="dxa"/>
            <w:gridSpan w:val="5"/>
            <w:vAlign w:val="center"/>
          </w:tcPr>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年印刷不干胶标签330t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建设项目环评时间</w:t>
            </w:r>
          </w:p>
        </w:tc>
        <w:tc>
          <w:tcPr>
            <w:tcW w:w="2441" w:type="dxa"/>
            <w:vAlign w:val="center"/>
          </w:tcPr>
          <w:p>
            <w:pPr>
              <w:spacing w:line="36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2021年3月</w:t>
            </w:r>
          </w:p>
        </w:tc>
        <w:tc>
          <w:tcPr>
            <w:tcW w:w="1755" w:type="dxa"/>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开工建设时间</w:t>
            </w:r>
          </w:p>
        </w:tc>
        <w:tc>
          <w:tcPr>
            <w:tcW w:w="3073" w:type="dxa"/>
            <w:gridSpan w:val="3"/>
            <w:vAlign w:val="center"/>
          </w:tcPr>
          <w:p>
            <w:pPr>
              <w:spacing w:line="36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2021年4月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竣工时间</w:t>
            </w:r>
          </w:p>
        </w:tc>
        <w:tc>
          <w:tcPr>
            <w:tcW w:w="2441" w:type="dxa"/>
            <w:vAlign w:val="center"/>
          </w:tcPr>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2021年8月</w:t>
            </w:r>
          </w:p>
        </w:tc>
        <w:tc>
          <w:tcPr>
            <w:tcW w:w="1755" w:type="dxa"/>
            <w:vAlign w:val="center"/>
          </w:tcPr>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验收现场监测</w:t>
            </w:r>
          </w:p>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时间</w:t>
            </w:r>
          </w:p>
        </w:tc>
        <w:tc>
          <w:tcPr>
            <w:tcW w:w="3073" w:type="dxa"/>
            <w:gridSpan w:val="3"/>
            <w:vAlign w:val="center"/>
          </w:tcPr>
          <w:p>
            <w:pPr>
              <w:spacing w:line="36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4" w:hRule="atLeast"/>
        </w:trPr>
        <w:tc>
          <w:tcPr>
            <w:tcW w:w="1655" w:type="dxa"/>
            <w:vAlign w:val="center"/>
          </w:tcPr>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环评报告表</w:t>
            </w:r>
          </w:p>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审批部门</w:t>
            </w:r>
          </w:p>
        </w:tc>
        <w:tc>
          <w:tcPr>
            <w:tcW w:w="2441" w:type="dxa"/>
            <w:vAlign w:val="center"/>
          </w:tcPr>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漳州市云霄生态环境局</w:t>
            </w:r>
          </w:p>
        </w:tc>
        <w:tc>
          <w:tcPr>
            <w:tcW w:w="1755" w:type="dxa"/>
            <w:vAlign w:val="center"/>
          </w:tcPr>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环评报告表</w:t>
            </w:r>
          </w:p>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编制单位</w:t>
            </w:r>
          </w:p>
        </w:tc>
        <w:tc>
          <w:tcPr>
            <w:tcW w:w="3073" w:type="dxa"/>
            <w:gridSpan w:val="3"/>
            <w:vAlign w:val="center"/>
          </w:tcPr>
          <w:p>
            <w:pPr>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福建华力翔环境技术有限公司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环保设施设计单位</w:t>
            </w:r>
          </w:p>
        </w:tc>
        <w:tc>
          <w:tcPr>
            <w:tcW w:w="2441" w:type="dxa"/>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自建</w:t>
            </w:r>
          </w:p>
        </w:tc>
        <w:tc>
          <w:tcPr>
            <w:tcW w:w="1755" w:type="dxa"/>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环保设施施工</w:t>
            </w:r>
          </w:p>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单位</w:t>
            </w:r>
          </w:p>
        </w:tc>
        <w:tc>
          <w:tcPr>
            <w:tcW w:w="3073" w:type="dxa"/>
            <w:gridSpan w:val="3"/>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自建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投资总概算</w:t>
            </w:r>
          </w:p>
        </w:tc>
        <w:tc>
          <w:tcPr>
            <w:tcW w:w="2441" w:type="dxa"/>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1000万元</w:t>
            </w:r>
          </w:p>
        </w:tc>
        <w:tc>
          <w:tcPr>
            <w:tcW w:w="1755" w:type="dxa"/>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环保投资总概算</w:t>
            </w:r>
          </w:p>
        </w:tc>
        <w:tc>
          <w:tcPr>
            <w:tcW w:w="1273" w:type="dxa"/>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65" w:type="dxa"/>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比例</w:t>
            </w:r>
          </w:p>
        </w:tc>
        <w:tc>
          <w:tcPr>
            <w:tcW w:w="1035" w:type="dxa"/>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实际总概算</w:t>
            </w:r>
          </w:p>
        </w:tc>
        <w:tc>
          <w:tcPr>
            <w:tcW w:w="2441" w:type="dxa"/>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1000万元</w:t>
            </w:r>
          </w:p>
        </w:tc>
        <w:tc>
          <w:tcPr>
            <w:tcW w:w="1755" w:type="dxa"/>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环保投资</w:t>
            </w:r>
          </w:p>
        </w:tc>
        <w:tc>
          <w:tcPr>
            <w:tcW w:w="1273" w:type="dxa"/>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25万元</w:t>
            </w:r>
          </w:p>
        </w:tc>
        <w:tc>
          <w:tcPr>
            <w:tcW w:w="765" w:type="dxa"/>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比例</w:t>
            </w:r>
          </w:p>
        </w:tc>
        <w:tc>
          <w:tcPr>
            <w:tcW w:w="1035" w:type="dxa"/>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35" w:hRule="atLeast"/>
        </w:trPr>
        <w:tc>
          <w:tcPr>
            <w:tcW w:w="1655" w:type="dxa"/>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验收监测依据</w:t>
            </w:r>
          </w:p>
        </w:tc>
        <w:tc>
          <w:tcPr>
            <w:tcW w:w="7269" w:type="dxa"/>
            <w:gridSpan w:val="5"/>
            <w:vAlign w:val="center"/>
          </w:tcPr>
          <w:p>
            <w:pPr>
              <w:spacing w:line="360" w:lineRule="auto"/>
              <w:ind w:left="420" w:hanging="420" w:hanging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1、《建设项目竣工环境保护验收暂行办法》国环规环评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2017</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4号；</w:t>
            </w:r>
          </w:p>
          <w:p>
            <w:pPr>
              <w:spacing w:line="360" w:lineRule="auto"/>
              <w:ind w:left="420" w:hanging="420" w:hanging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2、《建设项目环境保护管理条例》修订（第682号令）；</w:t>
            </w:r>
          </w:p>
          <w:p>
            <w:pPr>
              <w:spacing w:line="360" w:lineRule="auto"/>
              <w:ind w:left="420" w:hanging="420" w:hanging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3、《建设项目竣工环境保护验收技术指南污染影响类》；</w:t>
            </w:r>
          </w:p>
          <w:p>
            <w:pPr>
              <w:spacing w:line="360" w:lineRule="auto"/>
              <w:ind w:left="420" w:hanging="420" w:hanging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4、《中华人民共和国环境保护法》，2014 年4 月24 日修订；</w:t>
            </w:r>
          </w:p>
          <w:p>
            <w:pPr>
              <w:spacing w:line="360" w:lineRule="auto"/>
              <w:ind w:left="420" w:hanging="420" w:hanging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5、《中华人民共和国环境影响评价法》，201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14:textFill>
                  <w14:solidFill>
                    <w14:schemeClr w14:val="tx1"/>
                  </w14:solidFill>
                </w14:textFill>
              </w:rPr>
              <w:t xml:space="preserve"> 年修订；</w:t>
            </w:r>
          </w:p>
          <w:p>
            <w:pPr>
              <w:spacing w:line="360" w:lineRule="auto"/>
              <w:ind w:left="420" w:hanging="420" w:hanging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6、《中华人民共和国大气污染防治法》，201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14:textFill>
                  <w14:solidFill>
                    <w14:schemeClr w14:val="tx1"/>
                  </w14:solidFill>
                </w14:textFill>
              </w:rPr>
              <w:t xml:space="preserve"> 年修订；</w:t>
            </w:r>
          </w:p>
          <w:p>
            <w:pPr>
              <w:spacing w:line="360" w:lineRule="auto"/>
              <w:ind w:left="420" w:hanging="420" w:hanging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7、《中华人民共和国环境噪声污染防治法》，</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2018</w:t>
            </w:r>
            <w:r>
              <w:rPr>
                <w:rFonts w:hint="default" w:ascii="Times New Roman" w:hAnsi="Times New Roman" w:eastAsia="宋体" w:cs="Times New Roman"/>
                <w:color w:val="000000" w:themeColor="text1"/>
                <w:sz w:val="21"/>
                <w:szCs w:val="21"/>
                <w14:textFill>
                  <w14:solidFill>
                    <w14:schemeClr w14:val="tx1"/>
                  </w14:solidFill>
                </w14:textFill>
              </w:rPr>
              <w:t>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修订</w:t>
            </w:r>
            <w:r>
              <w:rPr>
                <w:rFonts w:hint="default" w:ascii="Times New Roman" w:hAnsi="Times New Roman" w:eastAsia="宋体" w:cs="Times New Roman"/>
                <w:color w:val="000000" w:themeColor="text1"/>
                <w:sz w:val="21"/>
                <w:szCs w:val="21"/>
                <w14:textFill>
                  <w14:solidFill>
                    <w14:schemeClr w14:val="tx1"/>
                  </w14:solidFill>
                </w14:textFill>
              </w:rPr>
              <w:t>；</w:t>
            </w:r>
          </w:p>
          <w:p>
            <w:pPr>
              <w:pStyle w:val="12"/>
              <w:spacing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14:textFill>
                  <w14:solidFill>
                    <w14:schemeClr w14:val="tx1"/>
                  </w14:solidFill>
                </w14:textFill>
              </w:rPr>
              <w:t>《中华人民共和国</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水环境</w:t>
            </w:r>
            <w:r>
              <w:rPr>
                <w:rFonts w:hint="default" w:ascii="Times New Roman" w:hAnsi="Times New Roman" w:eastAsia="宋体" w:cs="Times New Roman"/>
                <w:color w:val="000000" w:themeColor="text1"/>
                <w:sz w:val="21"/>
                <w:szCs w:val="21"/>
                <w14:textFill>
                  <w14:solidFill>
                    <w14:schemeClr w14:val="tx1"/>
                  </w14:solidFill>
                </w14:textFill>
              </w:rPr>
              <w:t>污染防治法》，</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2017</w:t>
            </w:r>
            <w:r>
              <w:rPr>
                <w:rFonts w:hint="default" w:ascii="Times New Roman" w:hAnsi="Times New Roman" w:eastAsia="宋体" w:cs="Times New Roman"/>
                <w:color w:val="000000" w:themeColor="text1"/>
                <w:sz w:val="21"/>
                <w:szCs w:val="21"/>
                <w14:textFill>
                  <w14:solidFill>
                    <w14:schemeClr w14:val="tx1"/>
                  </w14:solidFill>
                </w14:textFill>
              </w:rPr>
              <w:t>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修订</w:t>
            </w:r>
          </w:p>
          <w:p>
            <w:pPr>
              <w:spacing w:line="360" w:lineRule="auto"/>
              <w:ind w:left="420" w:hanging="420" w:hanging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14:textFill>
                  <w14:solidFill>
                    <w14:schemeClr w14:val="tx1"/>
                  </w14:solidFill>
                </w14:textFill>
              </w:rPr>
              <w:t>、《中华人民共和国固体废物污染环境防治法》，</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2020</w:t>
            </w:r>
            <w:r>
              <w:rPr>
                <w:rFonts w:hint="default" w:ascii="Times New Roman" w:hAnsi="Times New Roman" w:eastAsia="宋体" w:cs="Times New Roman"/>
                <w:color w:val="000000" w:themeColor="text1"/>
                <w:sz w:val="21"/>
                <w:szCs w:val="21"/>
                <w14:textFill>
                  <w14:solidFill>
                    <w14:schemeClr w14:val="tx1"/>
                  </w14:solidFill>
                </w14:textFill>
              </w:rPr>
              <w:t xml:space="preserve"> 年修订；</w:t>
            </w:r>
          </w:p>
          <w:p>
            <w:pPr>
              <w:spacing w:line="360" w:lineRule="auto"/>
              <w:ind w:left="420" w:hanging="420" w:hanging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、《中华人民共和国清洁生产促进法》，2012 年修正；</w:t>
            </w:r>
          </w:p>
          <w:p>
            <w:pPr>
              <w:spacing w:line="360" w:lineRule="auto"/>
              <w:ind w:left="420" w:hanging="420" w:hanging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、《产业结构调整指导目录（201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14:textFill>
                  <w14:solidFill>
                    <w14:schemeClr w14:val="tx1"/>
                  </w14:solidFill>
                </w14:textFill>
              </w:rPr>
              <w:t>年本）》（201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14:textFill>
                  <w14:solidFill>
                    <w14:schemeClr w14:val="tx1"/>
                  </w14:solidFill>
                </w14:textFill>
              </w:rPr>
              <w:t xml:space="preserve"> 年修正）；</w:t>
            </w:r>
          </w:p>
          <w:p>
            <w:pPr>
              <w:spacing w:line="360" w:lineRule="auto"/>
              <w:ind w:left="420" w:hanging="420" w:hanging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、《福建省环境保护条例》，2012 年3 月31 日实施。</w:t>
            </w:r>
          </w:p>
          <w:p>
            <w:pPr>
              <w:spacing w:line="360" w:lineRule="auto"/>
              <w:ind w:left="420" w:hanging="420" w:hanging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金城伟业不干胶标签印刷加工项目</w:t>
            </w:r>
            <w:r>
              <w:rPr>
                <w:rFonts w:hint="default" w:ascii="Times New Roman" w:hAnsi="Times New Roman" w:eastAsia="宋体" w:cs="Times New Roman"/>
                <w:color w:val="000000" w:themeColor="text1"/>
                <w:sz w:val="21"/>
                <w:szCs w:val="21"/>
                <w14:textFill>
                  <w14:solidFill>
                    <w14:schemeClr w14:val="tx1"/>
                  </w14:solidFill>
                </w14:textFill>
              </w:rPr>
              <w:t>环境影响报告表》；</w:t>
            </w:r>
          </w:p>
          <w:p>
            <w:pPr>
              <w:spacing w:line="360" w:lineRule="auto"/>
              <w:ind w:left="420" w:hanging="420" w:hanging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漳州市云霄生态环境局</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金城伟业不干胶标签印刷加工项目</w:t>
            </w:r>
            <w:r>
              <w:rPr>
                <w:rFonts w:hint="default" w:ascii="Times New Roman" w:hAnsi="Times New Roman" w:eastAsia="宋体" w:cs="Times New Roman"/>
                <w:color w:val="000000" w:themeColor="text1"/>
                <w:sz w:val="21"/>
                <w:szCs w:val="21"/>
                <w14:textFill>
                  <w14:solidFill>
                    <w14:schemeClr w14:val="tx1"/>
                  </w14:solidFill>
                </w14:textFill>
              </w:rPr>
              <w:t>环境影响评价报告表》的批复；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30" w:hRule="atLeast"/>
        </w:trPr>
        <w:tc>
          <w:tcPr>
            <w:tcW w:w="1655" w:type="dxa"/>
            <w:vAlign w:val="center"/>
          </w:tcPr>
          <w:p>
            <w:pPr>
              <w:spacing w:line="36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00" w:themeColor="text1"/>
                <w:sz w:val="21"/>
                <w:szCs w:val="21"/>
                <w14:textFill>
                  <w14:solidFill>
                    <w14:schemeClr w14:val="tx1"/>
                  </w14:solidFill>
                </w14:textFill>
              </w:rPr>
              <w:t>验收监测评价标准、标号、级别、限值</w:t>
            </w:r>
          </w:p>
        </w:tc>
        <w:tc>
          <w:tcPr>
            <w:tcW w:w="7269" w:type="dxa"/>
            <w:gridSpan w:val="5"/>
            <w:vAlign w:val="center"/>
          </w:tcPr>
          <w:p>
            <w:pPr>
              <w:pStyle w:val="3"/>
              <w:keepNext/>
              <w:keepLines w:val="0"/>
              <w:pageBreakBefore w:val="0"/>
              <w:widowControl w:val="0"/>
              <w:kinsoku/>
              <w:wordWrap/>
              <w:overflowPunct w:val="0"/>
              <w:topLinePunct w:val="0"/>
              <w:autoSpaceDE/>
              <w:autoSpaceDN/>
              <w:bidi w:val="0"/>
              <w:adjustRightInd/>
              <w:snapToGrid w:val="0"/>
              <w:spacing w:before="0" w:beforeLines="0" w:after="0" w:afterLines="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1、废水排放标准</w:t>
            </w:r>
          </w:p>
          <w:p>
            <w:pPr>
              <w:adjustRightInd w:val="0"/>
              <w:snapToGrid w:val="0"/>
              <w:spacing w:beforeLines="0" w:line="360" w:lineRule="auto"/>
              <w:ind w:firstLine="480"/>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废水排放执行《污水综合排放标准》（GB8978-1996）三级标准及</w:t>
            </w:r>
            <w:r>
              <w:rPr>
                <w:rFonts w:hint="default" w:ascii="Times New Roman" w:hAnsi="Times New Roman" w:eastAsia="宋体" w:cs="Times New Roman"/>
                <w:color w:val="000000"/>
                <w:sz w:val="21"/>
                <w:szCs w:val="21"/>
              </w:rPr>
              <w:t>云霄经济开发区污水处理厂</w:t>
            </w:r>
            <w:r>
              <w:rPr>
                <w:rFonts w:hint="default" w:ascii="Times New Roman" w:hAnsi="Times New Roman" w:eastAsia="宋体" w:cs="Times New Roman"/>
                <w:color w:val="000000"/>
                <w:sz w:val="21"/>
                <w:szCs w:val="21"/>
                <w:highlight w:val="none"/>
              </w:rPr>
              <w:t>的进水水质标准。</w:t>
            </w:r>
          </w:p>
          <w:p>
            <w:pPr>
              <w:adjustRightInd w:val="0"/>
              <w:snapToGrid w:val="0"/>
              <w:jc w:val="center"/>
              <w:textAlignment w:val="baseline"/>
              <w:rPr>
                <w:rFonts w:hint="default" w:ascii="Times New Roman" w:hAnsi="Times New Roman" w:eastAsia="宋体" w:cs="Times New Roman"/>
                <w:b/>
                <w:color w:val="000000"/>
                <w:kern w:val="0"/>
                <w:sz w:val="21"/>
                <w:szCs w:val="21"/>
                <w:highlight w:val="none"/>
              </w:rPr>
            </w:pPr>
            <w:r>
              <w:rPr>
                <w:rFonts w:hint="default" w:ascii="Times New Roman" w:hAnsi="Times New Roman" w:eastAsia="宋体" w:cs="Times New Roman"/>
                <w:b/>
                <w:color w:val="000000"/>
                <w:kern w:val="0"/>
                <w:sz w:val="21"/>
                <w:szCs w:val="21"/>
                <w:highlight w:val="none"/>
              </w:rPr>
              <w:t>项目废水排放标准  单位：mg/L（pH除外）</w:t>
            </w:r>
          </w:p>
          <w:tbl>
            <w:tblPr>
              <w:tblStyle w:val="25"/>
              <w:tblW w:w="4995"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888"/>
              <w:gridCol w:w="706"/>
              <w:gridCol w:w="587"/>
              <w:gridCol w:w="587"/>
              <w:gridCol w:w="489"/>
              <w:gridCol w:w="620"/>
              <w:gridCol w:w="577"/>
              <w:gridCol w:w="57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600" w:hRule="atLeast"/>
                <w:jc w:val="center"/>
              </w:trPr>
              <w:tc>
                <w:tcPr>
                  <w:tcW w:w="2053" w:type="pct"/>
                  <w:tcBorders>
                    <w:tl2br w:val="nil"/>
                    <w:tr2bl w:val="nil"/>
                  </w:tcBorders>
                  <w:noWrap w:val="0"/>
                  <w:vAlign w:val="center"/>
                </w:tcPr>
                <w:p>
                  <w:pPr>
                    <w:pStyle w:val="77"/>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标准</w:t>
                  </w:r>
                </w:p>
              </w:tc>
              <w:tc>
                <w:tcPr>
                  <w:tcW w:w="502" w:type="pct"/>
                  <w:tcBorders>
                    <w:tl2br w:val="nil"/>
                    <w:tr2bl w:val="nil"/>
                  </w:tcBorders>
                  <w:noWrap w:val="0"/>
                  <w:vAlign w:val="center"/>
                </w:tcPr>
                <w:p>
                  <w:pPr>
                    <w:pStyle w:val="77"/>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pH</w:t>
                  </w:r>
                </w:p>
              </w:tc>
              <w:tc>
                <w:tcPr>
                  <w:tcW w:w="417" w:type="pct"/>
                  <w:tcBorders>
                    <w:tl2br w:val="nil"/>
                    <w:tr2bl w:val="nil"/>
                  </w:tcBorders>
                  <w:noWrap w:val="0"/>
                  <w:vAlign w:val="center"/>
                </w:tcPr>
                <w:p>
                  <w:pPr>
                    <w:pStyle w:val="77"/>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COD</w:t>
                  </w:r>
                </w:p>
              </w:tc>
              <w:tc>
                <w:tcPr>
                  <w:tcW w:w="417" w:type="pct"/>
                  <w:tcBorders>
                    <w:tl2br w:val="nil"/>
                    <w:tr2bl w:val="nil"/>
                  </w:tcBorders>
                  <w:noWrap w:val="0"/>
                  <w:vAlign w:val="center"/>
                </w:tcPr>
                <w:p>
                  <w:pPr>
                    <w:pStyle w:val="77"/>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BOD</w:t>
                  </w:r>
                  <w:r>
                    <w:rPr>
                      <w:rFonts w:hint="default" w:ascii="Times New Roman" w:hAnsi="Times New Roman" w:eastAsia="宋体" w:cs="Times New Roman"/>
                      <w:color w:val="000000"/>
                      <w:sz w:val="21"/>
                      <w:szCs w:val="21"/>
                      <w:highlight w:val="none"/>
                      <w:vertAlign w:val="subscript"/>
                    </w:rPr>
                    <w:t>5</w:t>
                  </w:r>
                </w:p>
              </w:tc>
              <w:tc>
                <w:tcPr>
                  <w:tcW w:w="347" w:type="pct"/>
                  <w:tcBorders>
                    <w:tl2br w:val="nil"/>
                    <w:tr2bl w:val="nil"/>
                  </w:tcBorders>
                  <w:noWrap w:val="0"/>
                  <w:vAlign w:val="center"/>
                </w:tcPr>
                <w:p>
                  <w:pPr>
                    <w:pStyle w:val="77"/>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SS</w:t>
                  </w:r>
                </w:p>
              </w:tc>
              <w:tc>
                <w:tcPr>
                  <w:tcW w:w="440" w:type="pct"/>
                  <w:tcBorders>
                    <w:tl2br w:val="nil"/>
                    <w:tr2bl w:val="nil"/>
                  </w:tcBorders>
                  <w:noWrap w:val="0"/>
                  <w:vAlign w:val="center"/>
                </w:tcPr>
                <w:p>
                  <w:pPr>
                    <w:pStyle w:val="77"/>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NH</w:t>
                  </w:r>
                  <w:r>
                    <w:rPr>
                      <w:rFonts w:hint="default" w:ascii="Times New Roman" w:hAnsi="Times New Roman" w:eastAsia="宋体" w:cs="Times New Roman"/>
                      <w:color w:val="000000"/>
                      <w:sz w:val="21"/>
                      <w:szCs w:val="21"/>
                      <w:highlight w:val="none"/>
                      <w:vertAlign w:val="subscript"/>
                    </w:rPr>
                    <w:t>3</w:t>
                  </w:r>
                  <w:r>
                    <w:rPr>
                      <w:rFonts w:hint="default" w:ascii="Times New Roman" w:hAnsi="Times New Roman" w:eastAsia="宋体" w:cs="Times New Roman"/>
                      <w:color w:val="000000"/>
                      <w:sz w:val="21"/>
                      <w:szCs w:val="21"/>
                      <w:highlight w:val="none"/>
                    </w:rPr>
                    <w:t>-N</w:t>
                  </w:r>
                </w:p>
              </w:tc>
              <w:tc>
                <w:tcPr>
                  <w:tcW w:w="410" w:type="pct"/>
                  <w:tcBorders>
                    <w:tl2br w:val="nil"/>
                    <w:tr2bl w:val="nil"/>
                  </w:tcBorders>
                  <w:noWrap w:val="0"/>
                  <w:vAlign w:val="center"/>
                </w:tcPr>
                <w:p>
                  <w:pPr>
                    <w:pStyle w:val="77"/>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TN</w:t>
                  </w:r>
                </w:p>
              </w:tc>
              <w:tc>
                <w:tcPr>
                  <w:tcW w:w="410" w:type="pct"/>
                  <w:tcBorders>
                    <w:tl2br w:val="nil"/>
                    <w:tr2bl w:val="nil"/>
                  </w:tcBorders>
                  <w:noWrap w:val="0"/>
                  <w:vAlign w:val="center"/>
                </w:tcPr>
                <w:p>
                  <w:pPr>
                    <w:pStyle w:val="77"/>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TP</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053" w:type="pct"/>
                  <w:tcBorders>
                    <w:tl2br w:val="nil"/>
                    <w:tr2bl w:val="nil"/>
                  </w:tcBorders>
                  <w:noWrap w:val="0"/>
                  <w:vAlign w:val="center"/>
                </w:tcPr>
                <w:p>
                  <w:pPr>
                    <w:pStyle w:val="77"/>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GB8978-1996表4三级标准</w:t>
                  </w:r>
                </w:p>
              </w:tc>
              <w:tc>
                <w:tcPr>
                  <w:tcW w:w="502" w:type="pct"/>
                  <w:tcBorders>
                    <w:tl2br w:val="nil"/>
                    <w:tr2bl w:val="nil"/>
                  </w:tcBorders>
                  <w:noWrap w:val="0"/>
                  <w:vAlign w:val="center"/>
                </w:tcPr>
                <w:p>
                  <w:pPr>
                    <w:pStyle w:val="77"/>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6-9</w:t>
                  </w:r>
                </w:p>
              </w:tc>
              <w:tc>
                <w:tcPr>
                  <w:tcW w:w="417" w:type="pct"/>
                  <w:tcBorders>
                    <w:tl2br w:val="nil"/>
                    <w:tr2bl w:val="nil"/>
                  </w:tcBorders>
                  <w:noWrap w:val="0"/>
                  <w:vAlign w:val="center"/>
                </w:tcPr>
                <w:p>
                  <w:pPr>
                    <w:pStyle w:val="77"/>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500</w:t>
                  </w:r>
                </w:p>
              </w:tc>
              <w:tc>
                <w:tcPr>
                  <w:tcW w:w="417" w:type="pct"/>
                  <w:tcBorders>
                    <w:tl2br w:val="nil"/>
                    <w:tr2bl w:val="nil"/>
                  </w:tcBorders>
                  <w:noWrap w:val="0"/>
                  <w:vAlign w:val="center"/>
                </w:tcPr>
                <w:p>
                  <w:pPr>
                    <w:pStyle w:val="77"/>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300</w:t>
                  </w:r>
                </w:p>
              </w:tc>
              <w:tc>
                <w:tcPr>
                  <w:tcW w:w="347" w:type="pct"/>
                  <w:tcBorders>
                    <w:tl2br w:val="nil"/>
                    <w:tr2bl w:val="nil"/>
                  </w:tcBorders>
                  <w:noWrap w:val="0"/>
                  <w:vAlign w:val="center"/>
                </w:tcPr>
                <w:p>
                  <w:pPr>
                    <w:pStyle w:val="77"/>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400</w:t>
                  </w:r>
                </w:p>
              </w:tc>
              <w:tc>
                <w:tcPr>
                  <w:tcW w:w="440" w:type="pct"/>
                  <w:tcBorders>
                    <w:tl2br w:val="nil"/>
                    <w:tr2bl w:val="nil"/>
                  </w:tcBorders>
                  <w:noWrap w:val="0"/>
                  <w:vAlign w:val="center"/>
                </w:tcPr>
                <w:p>
                  <w:pPr>
                    <w:pStyle w:val="77"/>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w:t>
                  </w:r>
                </w:p>
              </w:tc>
              <w:tc>
                <w:tcPr>
                  <w:tcW w:w="410" w:type="pct"/>
                  <w:tcBorders>
                    <w:tl2br w:val="nil"/>
                    <w:tr2bl w:val="nil"/>
                  </w:tcBorders>
                  <w:noWrap w:val="0"/>
                  <w:vAlign w:val="center"/>
                </w:tcPr>
                <w:p>
                  <w:pPr>
                    <w:pStyle w:val="77"/>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w:t>
                  </w:r>
                </w:p>
              </w:tc>
              <w:tc>
                <w:tcPr>
                  <w:tcW w:w="410" w:type="pct"/>
                  <w:tcBorders>
                    <w:tl2br w:val="nil"/>
                    <w:tr2bl w:val="nil"/>
                  </w:tcBorders>
                  <w:noWrap w:val="0"/>
                  <w:vAlign w:val="center"/>
                </w:tcPr>
                <w:p>
                  <w:pPr>
                    <w:pStyle w:val="77"/>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053" w:type="pct"/>
                  <w:tcBorders>
                    <w:tl2br w:val="nil"/>
                    <w:tr2bl w:val="nil"/>
                  </w:tcBorders>
                  <w:noWrap w:val="0"/>
                  <w:vAlign w:val="center"/>
                </w:tcPr>
                <w:p>
                  <w:pPr>
                    <w:pStyle w:val="77"/>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污水厂进水标准</w:t>
                  </w:r>
                </w:p>
              </w:tc>
              <w:tc>
                <w:tcPr>
                  <w:tcW w:w="502" w:type="pct"/>
                  <w:tcBorders>
                    <w:tl2br w:val="nil"/>
                    <w:tr2bl w:val="nil"/>
                  </w:tcBorders>
                  <w:noWrap w:val="0"/>
                  <w:vAlign w:val="center"/>
                </w:tcPr>
                <w:p>
                  <w:pPr>
                    <w:pStyle w:val="77"/>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6-9</w:t>
                  </w:r>
                </w:p>
              </w:tc>
              <w:tc>
                <w:tcPr>
                  <w:tcW w:w="417" w:type="pct"/>
                  <w:tcBorders>
                    <w:tl2br w:val="nil"/>
                    <w:tr2bl w:val="nil"/>
                  </w:tcBorders>
                  <w:noWrap w:val="0"/>
                  <w:vAlign w:val="center"/>
                </w:tcPr>
                <w:p>
                  <w:pPr>
                    <w:pStyle w:val="77"/>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500</w:t>
                  </w:r>
                </w:p>
              </w:tc>
              <w:tc>
                <w:tcPr>
                  <w:tcW w:w="417" w:type="pct"/>
                  <w:tcBorders>
                    <w:tl2br w:val="nil"/>
                    <w:tr2bl w:val="nil"/>
                  </w:tcBorders>
                  <w:noWrap w:val="0"/>
                  <w:vAlign w:val="center"/>
                </w:tcPr>
                <w:p>
                  <w:pPr>
                    <w:pStyle w:val="77"/>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200</w:t>
                  </w:r>
                </w:p>
              </w:tc>
              <w:tc>
                <w:tcPr>
                  <w:tcW w:w="347" w:type="pct"/>
                  <w:tcBorders>
                    <w:tl2br w:val="nil"/>
                    <w:tr2bl w:val="nil"/>
                  </w:tcBorders>
                  <w:noWrap w:val="0"/>
                  <w:vAlign w:val="center"/>
                </w:tcPr>
                <w:p>
                  <w:pPr>
                    <w:pStyle w:val="77"/>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300</w:t>
                  </w:r>
                </w:p>
              </w:tc>
              <w:tc>
                <w:tcPr>
                  <w:tcW w:w="440" w:type="pct"/>
                  <w:tcBorders>
                    <w:tl2br w:val="nil"/>
                    <w:tr2bl w:val="nil"/>
                  </w:tcBorders>
                  <w:noWrap w:val="0"/>
                  <w:vAlign w:val="center"/>
                </w:tcPr>
                <w:p>
                  <w:pPr>
                    <w:pStyle w:val="77"/>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35</w:t>
                  </w:r>
                </w:p>
              </w:tc>
              <w:tc>
                <w:tcPr>
                  <w:tcW w:w="410" w:type="pct"/>
                  <w:tcBorders>
                    <w:tl2br w:val="nil"/>
                    <w:tr2bl w:val="nil"/>
                  </w:tcBorders>
                  <w:noWrap w:val="0"/>
                  <w:vAlign w:val="center"/>
                </w:tcPr>
                <w:p>
                  <w:pPr>
                    <w:pStyle w:val="77"/>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50</w:t>
                  </w:r>
                </w:p>
              </w:tc>
              <w:tc>
                <w:tcPr>
                  <w:tcW w:w="410" w:type="pct"/>
                  <w:tcBorders>
                    <w:tl2br w:val="nil"/>
                    <w:tr2bl w:val="nil"/>
                  </w:tcBorders>
                  <w:noWrap w:val="0"/>
                  <w:vAlign w:val="center"/>
                </w:tcPr>
                <w:p>
                  <w:pPr>
                    <w:pStyle w:val="77"/>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3</w:t>
                  </w:r>
                </w:p>
              </w:tc>
            </w:tr>
          </w:tbl>
          <w:p>
            <w:pPr>
              <w:pStyle w:val="3"/>
              <w:keepNext/>
              <w:keepLines w:val="0"/>
              <w:pageBreakBefore w:val="0"/>
              <w:widowControl w:val="0"/>
              <w:kinsoku/>
              <w:wordWrap/>
              <w:overflowPunct w:val="0"/>
              <w:topLinePunct w:val="0"/>
              <w:autoSpaceDE/>
              <w:autoSpaceDN/>
              <w:bidi w:val="0"/>
              <w:adjustRightInd/>
              <w:snapToGrid w:val="0"/>
              <w:spacing w:before="0" w:beforeLines="0" w:after="0" w:afterLines="0"/>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2、废气排放标准</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20" w:firstLineChars="200"/>
              <w:jc w:val="left"/>
              <w:textAlignment w:val="auto"/>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lang w:val="en-US" w:eastAsia="zh-CN"/>
              </w:rPr>
              <w:t>项目</w:t>
            </w:r>
            <w:r>
              <w:rPr>
                <w:rFonts w:hint="default" w:ascii="Times New Roman" w:hAnsi="Times New Roman" w:eastAsia="宋体" w:cs="Times New Roman"/>
                <w:color w:val="000000"/>
                <w:sz w:val="21"/>
                <w:szCs w:val="21"/>
                <w:lang w:val="zh-CN"/>
              </w:rPr>
              <w:t>废气</w:t>
            </w:r>
            <w:r>
              <w:rPr>
                <w:rFonts w:hint="default" w:ascii="Times New Roman" w:hAnsi="Times New Roman" w:eastAsia="宋体" w:cs="Times New Roman"/>
                <w:bCs/>
                <w:color w:val="000000"/>
                <w:sz w:val="21"/>
                <w:szCs w:val="21"/>
              </w:rPr>
              <w:t>排放执行福建省地方标准</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highlight w:val="none"/>
                <w:lang w:val="en-US" w:eastAsia="zh-CN"/>
              </w:rPr>
              <w:t>印刷行业挥发性有机物排放标准</w:t>
            </w:r>
            <w:r>
              <w:rPr>
                <w:rFonts w:hint="default" w:ascii="Times New Roman" w:hAnsi="Times New Roman" w:eastAsia="宋体" w:cs="Times New Roman"/>
                <w:color w:val="000000"/>
                <w:sz w:val="21"/>
                <w:szCs w:val="21"/>
              </w:rPr>
              <w:t>》（</w:t>
            </w:r>
            <w:r>
              <w:rPr>
                <w:rFonts w:hint="default" w:ascii="Times New Roman" w:hAnsi="Times New Roman" w:eastAsia="宋体" w:cs="Times New Roman"/>
                <w:bCs/>
                <w:color w:val="000000"/>
                <w:sz w:val="21"/>
                <w:szCs w:val="21"/>
              </w:rPr>
              <w:t>DB35/178</w:t>
            </w:r>
            <w:r>
              <w:rPr>
                <w:rFonts w:hint="default" w:ascii="Times New Roman" w:hAnsi="Times New Roman" w:eastAsia="宋体" w:cs="Times New Roman"/>
                <w:bCs/>
                <w:color w:val="000000"/>
                <w:sz w:val="21"/>
                <w:szCs w:val="21"/>
                <w:lang w:val="en-US" w:eastAsia="zh-CN"/>
              </w:rPr>
              <w:t>4</w:t>
            </w:r>
            <w:r>
              <w:rPr>
                <w:rFonts w:hint="default" w:ascii="Times New Roman" w:hAnsi="Times New Roman" w:eastAsia="宋体" w:cs="Times New Roman"/>
                <w:bCs/>
                <w:color w:val="000000"/>
                <w:sz w:val="21"/>
                <w:szCs w:val="21"/>
              </w:rPr>
              <w:t>-2018</w:t>
            </w:r>
            <w:r>
              <w:rPr>
                <w:rFonts w:hint="default" w:ascii="Times New Roman" w:hAnsi="Times New Roman" w:eastAsia="宋体" w:cs="Times New Roman"/>
                <w:color w:val="000000"/>
                <w:sz w:val="21"/>
                <w:szCs w:val="21"/>
              </w:rPr>
              <w:t>）中</w:t>
            </w:r>
            <w:r>
              <w:rPr>
                <w:rFonts w:hint="default" w:ascii="Times New Roman" w:hAnsi="Times New Roman" w:eastAsia="宋体" w:cs="Times New Roman"/>
                <w:color w:val="000000"/>
                <w:sz w:val="21"/>
                <w:szCs w:val="21"/>
                <w:lang w:eastAsia="zh-CN"/>
              </w:rPr>
              <w:t>表</w:t>
            </w:r>
            <w:r>
              <w:rPr>
                <w:rFonts w:hint="default" w:ascii="Times New Roman" w:hAnsi="Times New Roman" w:eastAsia="宋体" w:cs="Times New Roman"/>
                <w:color w:val="000000"/>
                <w:sz w:val="21"/>
                <w:szCs w:val="21"/>
                <w:lang w:val="en-US" w:eastAsia="zh-CN"/>
              </w:rPr>
              <w:t>1</w:t>
            </w:r>
            <w:r>
              <w:rPr>
                <w:rFonts w:hint="eastAsia" w:ascii="Times New Roman" w:hAnsi="Times New Roman" w:eastAsia="宋体" w:cs="Times New Roman"/>
                <w:color w:val="000000"/>
                <w:sz w:val="21"/>
                <w:szCs w:val="21"/>
                <w:lang w:val="en-US" w:eastAsia="zh-CN"/>
              </w:rPr>
              <w:t>、3</w:t>
            </w:r>
            <w:r>
              <w:rPr>
                <w:rFonts w:hint="default" w:ascii="Times New Roman" w:hAnsi="Times New Roman" w:eastAsia="宋体" w:cs="Times New Roman"/>
                <w:color w:val="000000"/>
                <w:sz w:val="21"/>
                <w:szCs w:val="21"/>
              </w:rPr>
              <w:t>排放限值；</w:t>
            </w:r>
          </w:p>
          <w:p>
            <w:pPr>
              <w:adjustRightInd w:val="0"/>
              <w:snapToGrid w:val="0"/>
              <w:jc w:val="center"/>
              <w:textAlignment w:val="baseline"/>
              <w:rPr>
                <w:rFonts w:hint="default" w:ascii="Times New Roman" w:hAnsi="Times New Roman" w:eastAsia="宋体" w:cs="Times New Roman"/>
                <w:b/>
                <w:bCs w:val="0"/>
                <w:color w:val="000000"/>
                <w:kern w:val="0"/>
                <w:sz w:val="21"/>
                <w:szCs w:val="21"/>
              </w:rPr>
            </w:pPr>
            <w:r>
              <w:rPr>
                <w:rFonts w:hint="default" w:ascii="Times New Roman" w:hAnsi="Times New Roman" w:eastAsia="宋体" w:cs="Times New Roman"/>
                <w:b/>
                <w:bCs w:val="0"/>
                <w:color w:val="000000"/>
                <w:sz w:val="21"/>
                <w:szCs w:val="21"/>
              </w:rPr>
              <w:t>《</w:t>
            </w:r>
            <w:r>
              <w:rPr>
                <w:rFonts w:hint="default" w:ascii="Times New Roman" w:hAnsi="Times New Roman" w:eastAsia="宋体" w:cs="Times New Roman"/>
                <w:b/>
                <w:bCs w:val="0"/>
                <w:color w:val="000000"/>
                <w:sz w:val="21"/>
                <w:szCs w:val="21"/>
                <w:highlight w:val="none"/>
                <w:lang w:val="en-US" w:eastAsia="zh-CN"/>
              </w:rPr>
              <w:t>印刷行业挥发性有机物排放标准</w:t>
            </w:r>
            <w:r>
              <w:rPr>
                <w:rFonts w:hint="default" w:ascii="Times New Roman" w:hAnsi="Times New Roman" w:eastAsia="宋体" w:cs="Times New Roman"/>
                <w:b/>
                <w:bCs w:val="0"/>
                <w:color w:val="000000"/>
                <w:sz w:val="21"/>
                <w:szCs w:val="21"/>
              </w:rPr>
              <w:t>》（DB35/178</w:t>
            </w:r>
            <w:r>
              <w:rPr>
                <w:rFonts w:hint="default" w:ascii="Times New Roman" w:hAnsi="Times New Roman" w:eastAsia="宋体" w:cs="Times New Roman"/>
                <w:b/>
                <w:bCs w:val="0"/>
                <w:color w:val="000000"/>
                <w:sz w:val="21"/>
                <w:szCs w:val="21"/>
                <w:lang w:val="en-US" w:eastAsia="zh-CN"/>
              </w:rPr>
              <w:t>4</w:t>
            </w:r>
            <w:r>
              <w:rPr>
                <w:rFonts w:hint="default" w:ascii="Times New Roman" w:hAnsi="Times New Roman" w:eastAsia="宋体" w:cs="Times New Roman"/>
                <w:b/>
                <w:bCs w:val="0"/>
                <w:color w:val="000000"/>
                <w:sz w:val="21"/>
                <w:szCs w:val="21"/>
              </w:rPr>
              <w:t>-2018）</w:t>
            </w:r>
          </w:p>
          <w:tbl>
            <w:tblPr>
              <w:tblStyle w:val="25"/>
              <w:tblW w:w="6818"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968"/>
              <w:gridCol w:w="1305"/>
              <w:gridCol w:w="1530"/>
              <w:gridCol w:w="1470"/>
              <w:gridCol w:w="1545"/>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293" w:hRule="atLeast"/>
                <w:jc w:val="center"/>
              </w:trPr>
              <w:tc>
                <w:tcPr>
                  <w:tcW w:w="709" w:type="pct"/>
                  <w:vMerge w:val="restart"/>
                  <w:noWrap w:val="0"/>
                  <w:vAlign w:val="center"/>
                </w:tcPr>
                <w:p>
                  <w:pPr>
                    <w:pStyle w:val="79"/>
                    <w:adjustRightInd w:val="0"/>
                    <w:snapToGrid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污染物</w:t>
                  </w:r>
                </w:p>
              </w:tc>
              <w:tc>
                <w:tcPr>
                  <w:tcW w:w="957" w:type="pct"/>
                  <w:vMerge w:val="restart"/>
                  <w:noWrap w:val="0"/>
                  <w:vAlign w:val="center"/>
                </w:tcPr>
                <w:p>
                  <w:pPr>
                    <w:pStyle w:val="79"/>
                    <w:adjustRightInd w:val="0"/>
                    <w:snapToGrid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最高允许排放浓度(mg/m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w:t>
                  </w:r>
                </w:p>
              </w:tc>
              <w:tc>
                <w:tcPr>
                  <w:tcW w:w="2200" w:type="pct"/>
                  <w:gridSpan w:val="2"/>
                  <w:noWrap w:val="0"/>
                  <w:vAlign w:val="center"/>
                </w:tcPr>
                <w:p>
                  <w:pPr>
                    <w:pStyle w:val="79"/>
                    <w:adjustRightInd w:val="0"/>
                    <w:snapToGrid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最高允许排放速率</w:t>
                  </w:r>
                </w:p>
              </w:tc>
              <w:tc>
                <w:tcPr>
                  <w:tcW w:w="1133" w:type="pct"/>
                  <w:vMerge w:val="restart"/>
                  <w:noWrap w:val="0"/>
                  <w:vAlign w:val="center"/>
                </w:tcPr>
                <w:p>
                  <w:pPr>
                    <w:pStyle w:val="79"/>
                    <w:adjustRightInd w:val="0"/>
                    <w:snapToGrid w:val="0"/>
                    <w:spacing w:line="240" w:lineRule="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无组织废气</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288" w:hRule="atLeast"/>
                <w:jc w:val="center"/>
              </w:trPr>
              <w:tc>
                <w:tcPr>
                  <w:tcW w:w="709" w:type="pct"/>
                  <w:vMerge w:val="continue"/>
                  <w:noWrap w:val="0"/>
                  <w:vAlign w:val="center"/>
                </w:tcPr>
                <w:p>
                  <w:pPr>
                    <w:pStyle w:val="79"/>
                    <w:adjustRightInd w:val="0"/>
                    <w:snapToGrid w:val="0"/>
                    <w:spacing w:line="240" w:lineRule="auto"/>
                    <w:rPr>
                      <w:rFonts w:hint="default" w:ascii="Times New Roman" w:hAnsi="Times New Roman" w:eastAsia="宋体" w:cs="Times New Roman"/>
                      <w:color w:val="000000"/>
                      <w:sz w:val="21"/>
                      <w:szCs w:val="21"/>
                    </w:rPr>
                  </w:pPr>
                </w:p>
              </w:tc>
              <w:tc>
                <w:tcPr>
                  <w:tcW w:w="957" w:type="pct"/>
                  <w:vMerge w:val="continue"/>
                  <w:noWrap w:val="0"/>
                  <w:vAlign w:val="center"/>
                </w:tcPr>
                <w:p>
                  <w:pPr>
                    <w:pStyle w:val="79"/>
                    <w:adjustRightInd w:val="0"/>
                    <w:snapToGrid w:val="0"/>
                    <w:spacing w:line="240" w:lineRule="auto"/>
                    <w:rPr>
                      <w:rFonts w:hint="default" w:ascii="Times New Roman" w:hAnsi="Times New Roman" w:eastAsia="宋体" w:cs="Times New Roman"/>
                      <w:color w:val="000000"/>
                      <w:sz w:val="21"/>
                      <w:szCs w:val="21"/>
                    </w:rPr>
                  </w:pPr>
                </w:p>
              </w:tc>
              <w:tc>
                <w:tcPr>
                  <w:tcW w:w="1122" w:type="pct"/>
                  <w:noWrap w:val="0"/>
                  <w:vAlign w:val="center"/>
                </w:tcPr>
                <w:p>
                  <w:pPr>
                    <w:pStyle w:val="79"/>
                    <w:adjustRightInd w:val="0"/>
                    <w:snapToGrid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排气筒高度(m)</w:t>
                  </w:r>
                </w:p>
              </w:tc>
              <w:tc>
                <w:tcPr>
                  <w:tcW w:w="1078" w:type="pct"/>
                  <w:noWrap w:val="0"/>
                  <w:vAlign w:val="center"/>
                </w:tcPr>
                <w:p>
                  <w:pPr>
                    <w:pStyle w:val="79"/>
                    <w:adjustRightInd w:val="0"/>
                    <w:snapToGrid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二级(kg/h)</w:t>
                  </w:r>
                </w:p>
              </w:tc>
              <w:tc>
                <w:tcPr>
                  <w:tcW w:w="1133" w:type="pct"/>
                  <w:vMerge w:val="continue"/>
                  <w:noWrap w:val="0"/>
                  <w:vAlign w:val="center"/>
                </w:tcPr>
                <w:p>
                  <w:pPr>
                    <w:pStyle w:val="79"/>
                    <w:adjustRightInd w:val="0"/>
                    <w:snapToGrid w:val="0"/>
                    <w:spacing w:line="240" w:lineRule="auto"/>
                    <w:rPr>
                      <w:rFonts w:hint="default" w:ascii="Times New Roman" w:hAnsi="Times New Roman" w:eastAsia="宋体" w:cs="Times New Roman"/>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06" w:hRule="atLeast"/>
                <w:jc w:val="center"/>
              </w:trPr>
              <w:tc>
                <w:tcPr>
                  <w:tcW w:w="709" w:type="pct"/>
                  <w:vMerge w:val="restart"/>
                  <w:noWrap w:val="0"/>
                  <w:vAlign w:val="center"/>
                </w:tcPr>
                <w:p>
                  <w:pPr>
                    <w:pStyle w:val="79"/>
                    <w:adjustRightInd w:val="0"/>
                    <w:snapToGrid w:val="0"/>
                    <w:spacing w:line="240" w:lineRule="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非甲烷总烃</w:t>
                  </w:r>
                </w:p>
              </w:tc>
              <w:tc>
                <w:tcPr>
                  <w:tcW w:w="957" w:type="pct"/>
                  <w:vMerge w:val="restart"/>
                  <w:noWrap w:val="0"/>
                  <w:vAlign w:val="center"/>
                </w:tcPr>
                <w:p>
                  <w:pPr>
                    <w:pStyle w:val="79"/>
                    <w:adjustRightInd w:val="0"/>
                    <w:snapToGrid w:val="0"/>
                    <w:spacing w:line="240" w:lineRule="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50</w:t>
                  </w:r>
                </w:p>
              </w:tc>
              <w:tc>
                <w:tcPr>
                  <w:tcW w:w="1122" w:type="pct"/>
                  <w:vMerge w:val="restart"/>
                  <w:noWrap w:val="0"/>
                  <w:vAlign w:val="center"/>
                </w:tcPr>
                <w:p>
                  <w:pPr>
                    <w:pStyle w:val="79"/>
                    <w:adjustRightInd w:val="0"/>
                    <w:snapToGrid w:val="0"/>
                    <w:spacing w:line="240" w:lineRule="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15</w:t>
                  </w:r>
                </w:p>
              </w:tc>
              <w:tc>
                <w:tcPr>
                  <w:tcW w:w="1078" w:type="pct"/>
                  <w:vMerge w:val="restart"/>
                  <w:noWrap w:val="0"/>
                  <w:vAlign w:val="center"/>
                </w:tcPr>
                <w:p>
                  <w:pPr>
                    <w:pStyle w:val="79"/>
                    <w:adjustRightInd w:val="0"/>
                    <w:snapToGrid w:val="0"/>
                    <w:spacing w:line="240" w:lineRule="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1.5</w:t>
                  </w:r>
                </w:p>
              </w:tc>
              <w:tc>
                <w:tcPr>
                  <w:tcW w:w="1133" w:type="pct"/>
                  <w:noWrap w:val="0"/>
                  <w:vAlign w:val="center"/>
                </w:tcPr>
                <w:p>
                  <w:pPr>
                    <w:pStyle w:val="79"/>
                    <w:adjustRightInd w:val="0"/>
                    <w:snapToGrid w:val="0"/>
                    <w:spacing w:line="240" w:lineRule="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企业边界</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44" w:hRule="atLeast"/>
                <w:jc w:val="center"/>
              </w:trPr>
              <w:tc>
                <w:tcPr>
                  <w:tcW w:w="709" w:type="pct"/>
                  <w:vMerge w:val="continue"/>
                  <w:noWrap w:val="0"/>
                  <w:vAlign w:val="center"/>
                </w:tcPr>
                <w:p>
                  <w:pPr>
                    <w:pStyle w:val="79"/>
                    <w:adjustRightInd w:val="0"/>
                    <w:snapToGrid w:val="0"/>
                    <w:spacing w:line="240" w:lineRule="auto"/>
                    <w:rPr>
                      <w:rFonts w:hint="default" w:ascii="Times New Roman" w:hAnsi="Times New Roman" w:eastAsia="宋体" w:cs="Times New Roman"/>
                      <w:color w:val="000000"/>
                      <w:sz w:val="21"/>
                      <w:szCs w:val="21"/>
                      <w:lang w:eastAsia="zh-CN"/>
                    </w:rPr>
                  </w:pPr>
                </w:p>
              </w:tc>
              <w:tc>
                <w:tcPr>
                  <w:tcW w:w="957" w:type="pct"/>
                  <w:vMerge w:val="continue"/>
                  <w:noWrap w:val="0"/>
                  <w:vAlign w:val="center"/>
                </w:tcPr>
                <w:p>
                  <w:pPr>
                    <w:pStyle w:val="79"/>
                    <w:adjustRightInd w:val="0"/>
                    <w:snapToGrid w:val="0"/>
                    <w:spacing w:line="240" w:lineRule="auto"/>
                    <w:rPr>
                      <w:rFonts w:hint="default" w:ascii="Times New Roman" w:hAnsi="Times New Roman" w:eastAsia="宋体" w:cs="Times New Roman"/>
                      <w:color w:val="000000"/>
                      <w:sz w:val="21"/>
                      <w:szCs w:val="21"/>
                      <w:lang w:val="en-US" w:eastAsia="zh-CN"/>
                    </w:rPr>
                  </w:pPr>
                </w:p>
              </w:tc>
              <w:tc>
                <w:tcPr>
                  <w:tcW w:w="1122" w:type="pct"/>
                  <w:vMerge w:val="continue"/>
                  <w:noWrap w:val="0"/>
                  <w:vAlign w:val="center"/>
                </w:tcPr>
                <w:p>
                  <w:pPr>
                    <w:pStyle w:val="79"/>
                    <w:adjustRightInd w:val="0"/>
                    <w:snapToGrid w:val="0"/>
                    <w:spacing w:line="240" w:lineRule="auto"/>
                    <w:rPr>
                      <w:rFonts w:hint="default" w:ascii="Times New Roman" w:hAnsi="Times New Roman" w:eastAsia="宋体" w:cs="Times New Roman"/>
                      <w:color w:val="000000"/>
                      <w:sz w:val="21"/>
                      <w:szCs w:val="21"/>
                      <w:highlight w:val="none"/>
                      <w:lang w:val="en-US" w:eastAsia="zh-CN"/>
                    </w:rPr>
                  </w:pPr>
                </w:p>
              </w:tc>
              <w:tc>
                <w:tcPr>
                  <w:tcW w:w="1078" w:type="pct"/>
                  <w:vMerge w:val="continue"/>
                  <w:noWrap w:val="0"/>
                  <w:vAlign w:val="center"/>
                </w:tcPr>
                <w:p>
                  <w:pPr>
                    <w:pStyle w:val="79"/>
                    <w:adjustRightInd w:val="0"/>
                    <w:snapToGrid w:val="0"/>
                    <w:spacing w:line="240" w:lineRule="auto"/>
                    <w:rPr>
                      <w:rFonts w:hint="default" w:ascii="Times New Roman" w:hAnsi="Times New Roman" w:eastAsia="宋体" w:cs="Times New Roman"/>
                      <w:color w:val="000000"/>
                      <w:sz w:val="21"/>
                      <w:szCs w:val="21"/>
                      <w:lang w:val="en-US" w:eastAsia="zh-CN"/>
                    </w:rPr>
                  </w:pPr>
                </w:p>
              </w:tc>
              <w:tc>
                <w:tcPr>
                  <w:tcW w:w="1133" w:type="pct"/>
                  <w:noWrap w:val="0"/>
                  <w:vAlign w:val="center"/>
                </w:tcPr>
                <w:p>
                  <w:pPr>
                    <w:pStyle w:val="79"/>
                    <w:adjustRightInd w:val="0"/>
                    <w:snapToGrid w:val="0"/>
                    <w:spacing w:line="240" w:lineRule="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w:t>
                  </w:r>
                </w:p>
              </w:tc>
            </w:tr>
          </w:tbl>
          <w:p>
            <w:pPr>
              <w:pStyle w:val="3"/>
              <w:keepNext/>
              <w:keepLines w:val="0"/>
              <w:pageBreakBefore w:val="0"/>
              <w:widowControl w:val="0"/>
              <w:kinsoku/>
              <w:wordWrap/>
              <w:overflowPunct w:val="0"/>
              <w:topLinePunct w:val="0"/>
              <w:autoSpaceDE/>
              <w:autoSpaceDN/>
              <w:bidi w:val="0"/>
              <w:adjustRightInd/>
              <w:snapToGrid w:val="0"/>
              <w:spacing w:before="0" w:beforeLines="0" w:after="0" w:afterLines="0"/>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3、噪声排放标准</w:t>
            </w:r>
          </w:p>
          <w:p>
            <w:pPr>
              <w:pStyle w:val="58"/>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项目</w:t>
            </w:r>
            <w:r>
              <w:rPr>
                <w:rFonts w:hint="default" w:ascii="Times New Roman" w:hAnsi="Times New Roman" w:eastAsia="宋体" w:cs="Times New Roman"/>
                <w:color w:val="000000"/>
                <w:sz w:val="21"/>
                <w:szCs w:val="21"/>
                <w:lang w:eastAsia="zh-CN"/>
              </w:rPr>
              <w:t>运营期</w:t>
            </w:r>
            <w:r>
              <w:rPr>
                <w:rFonts w:hint="default" w:ascii="Times New Roman" w:hAnsi="Times New Roman" w:eastAsia="宋体" w:cs="Times New Roman"/>
                <w:color w:val="000000"/>
                <w:sz w:val="21"/>
                <w:szCs w:val="21"/>
              </w:rPr>
              <w:t>厂界噪声排放执行《工业企业厂界环境噪声排放标准》</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GB12348-2008</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中的</w:t>
            </w:r>
            <w:r>
              <w:rPr>
                <w:rFonts w:hint="default" w:ascii="Times New Roman" w:hAnsi="Times New Roman" w:eastAsia="宋体" w:cs="Times New Roman"/>
                <w:color w:val="000000"/>
                <w:sz w:val="21"/>
                <w:szCs w:val="21"/>
                <w:lang w:eastAsia="zh-CN"/>
              </w:rPr>
              <w:t>3类</w:t>
            </w:r>
            <w:r>
              <w:rPr>
                <w:rFonts w:hint="default" w:ascii="Times New Roman" w:hAnsi="Times New Roman" w:eastAsia="宋体" w:cs="Times New Roman"/>
                <w:color w:val="000000"/>
                <w:sz w:val="21"/>
                <w:szCs w:val="21"/>
              </w:rPr>
              <w:t>标准</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见表</w:t>
            </w:r>
            <w:r>
              <w:rPr>
                <w:rFonts w:hint="default" w:ascii="Times New Roman" w:hAnsi="Times New Roman" w:eastAsia="宋体" w:cs="Times New Roman"/>
                <w:color w:val="000000"/>
                <w:sz w:val="21"/>
                <w:szCs w:val="21"/>
                <w:lang w:val="en-US" w:eastAsia="zh-CN"/>
              </w:rPr>
              <w:t>4</w:t>
            </w:r>
            <w:r>
              <w:rPr>
                <w:rFonts w:hint="default" w:ascii="Times New Roman" w:hAnsi="Times New Roman" w:eastAsia="宋体" w:cs="Times New Roman"/>
                <w:color w:val="000000"/>
                <w:sz w:val="21"/>
                <w:szCs w:val="21"/>
              </w:rPr>
              <w:t>。</w:t>
            </w:r>
          </w:p>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color w:val="000000"/>
                <w:sz w:val="21"/>
                <w:szCs w:val="21"/>
              </w:rPr>
            </w:pPr>
            <w:bookmarkStart w:id="0" w:name="_Ref482029352"/>
            <w:r>
              <w:rPr>
                <w:rFonts w:hint="default" w:ascii="Times New Roman" w:hAnsi="Times New Roman" w:eastAsia="宋体" w:cs="Times New Roman"/>
                <w:b/>
                <w:color w:val="000000"/>
                <w:sz w:val="21"/>
                <w:szCs w:val="21"/>
              </w:rPr>
              <w:t>项目噪声排放标准</w:t>
            </w:r>
            <w:bookmarkEnd w:id="0"/>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093"/>
              <w:gridCol w:w="3938"/>
              <w:gridCol w:w="716"/>
              <w:gridCol w:w="12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7" w:type="pct"/>
                  <w:tcBorders>
                    <w:tl2br w:val="nil"/>
                    <w:tr2bl w:val="nil"/>
                  </w:tcBorders>
                  <w:noWrap w:val="0"/>
                  <w:vAlign w:val="center"/>
                </w:tcPr>
                <w:p>
                  <w:pPr>
                    <w:autoSpaceDE w:val="0"/>
                    <w:autoSpaceDN w:val="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类别</w:t>
                  </w:r>
                </w:p>
              </w:tc>
              <w:tc>
                <w:tcPr>
                  <w:tcW w:w="2798" w:type="pct"/>
                  <w:tcBorders>
                    <w:tl2br w:val="nil"/>
                    <w:tr2bl w:val="nil"/>
                  </w:tcBorders>
                  <w:noWrap w:val="0"/>
                  <w:vAlign w:val="center"/>
                </w:tcPr>
                <w:p>
                  <w:pPr>
                    <w:autoSpaceDE w:val="0"/>
                    <w:autoSpaceDN w:val="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标准名称</w:t>
                  </w:r>
                </w:p>
              </w:tc>
              <w:tc>
                <w:tcPr>
                  <w:tcW w:w="509" w:type="pct"/>
                  <w:tcBorders>
                    <w:tl2br w:val="nil"/>
                    <w:tr2bl w:val="nil"/>
                  </w:tcBorders>
                  <w:noWrap w:val="0"/>
                  <w:vAlign w:val="center"/>
                </w:tcPr>
                <w:p>
                  <w:pPr>
                    <w:autoSpaceDE w:val="0"/>
                    <w:autoSpaceDN w:val="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项目</w:t>
                  </w:r>
                </w:p>
              </w:tc>
              <w:tc>
                <w:tcPr>
                  <w:tcW w:w="914" w:type="pct"/>
                  <w:tcBorders>
                    <w:tl2br w:val="nil"/>
                    <w:tr2bl w:val="nil"/>
                  </w:tcBorders>
                  <w:noWrap w:val="0"/>
                  <w:vAlign w:val="center"/>
                </w:tcPr>
                <w:p>
                  <w:pPr>
                    <w:autoSpaceDE w:val="0"/>
                    <w:autoSpaceDN w:val="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7" w:type="pct"/>
                  <w:vMerge w:val="restart"/>
                  <w:tcBorders>
                    <w:tl2br w:val="nil"/>
                    <w:tr2bl w:val="nil"/>
                  </w:tcBorders>
                  <w:noWrap w:val="0"/>
                  <w:vAlign w:val="center"/>
                </w:tcPr>
                <w:p>
                  <w:pPr>
                    <w:autoSpaceDE w:val="0"/>
                    <w:autoSpaceDN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运营期噪声</w:t>
                  </w:r>
                </w:p>
              </w:tc>
              <w:tc>
                <w:tcPr>
                  <w:tcW w:w="2798" w:type="pct"/>
                  <w:vMerge w:val="restart"/>
                  <w:tcBorders>
                    <w:tl2br w:val="nil"/>
                    <w:tr2bl w:val="nil"/>
                  </w:tcBorders>
                  <w:noWrap w:val="0"/>
                  <w:vAlign w:val="center"/>
                </w:tcPr>
                <w:p>
                  <w:pPr>
                    <w:autoSpaceDE w:val="0"/>
                    <w:autoSpaceDN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Cs/>
                      <w:color w:val="000000"/>
                      <w:sz w:val="21"/>
                      <w:szCs w:val="21"/>
                    </w:rPr>
                    <w:t>《</w:t>
                  </w:r>
                  <w:r>
                    <w:rPr>
                      <w:rFonts w:hint="default" w:ascii="Times New Roman" w:hAnsi="Times New Roman" w:eastAsia="宋体" w:cs="Times New Roman"/>
                      <w:color w:val="000000"/>
                      <w:sz w:val="21"/>
                      <w:szCs w:val="21"/>
                    </w:rPr>
                    <w:t>工业企业厂界环境噪声排放标准》中3类标准</w:t>
                  </w:r>
                </w:p>
              </w:tc>
              <w:tc>
                <w:tcPr>
                  <w:tcW w:w="509" w:type="pct"/>
                  <w:tcBorders>
                    <w:tl2br w:val="nil"/>
                    <w:tr2bl w:val="nil"/>
                  </w:tcBorders>
                  <w:noWrap w:val="0"/>
                  <w:vAlign w:val="center"/>
                </w:tcPr>
                <w:p>
                  <w:pPr>
                    <w:autoSpaceDE w:val="0"/>
                    <w:autoSpaceDN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bCs/>
                      <w:color w:val="000000"/>
                      <w:kern w:val="0"/>
                      <w:sz w:val="21"/>
                      <w:szCs w:val="21"/>
                    </w:rPr>
                    <w:t>昼间</w:t>
                  </w:r>
                </w:p>
              </w:tc>
              <w:tc>
                <w:tcPr>
                  <w:tcW w:w="914" w:type="pct"/>
                  <w:tcBorders>
                    <w:tl2br w:val="nil"/>
                    <w:tr2bl w:val="nil"/>
                  </w:tcBorders>
                  <w:noWrap w:val="0"/>
                  <w:vAlign w:val="center"/>
                </w:tcPr>
                <w:p>
                  <w:pPr>
                    <w:autoSpaceDE w:val="0"/>
                    <w:autoSpaceDN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bCs/>
                      <w:color w:val="000000"/>
                      <w:sz w:val="21"/>
                      <w:szCs w:val="21"/>
                    </w:rPr>
                    <w:t>65dB(A)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7" w:type="pct"/>
                  <w:vMerge w:val="continue"/>
                  <w:tcBorders>
                    <w:tl2br w:val="nil"/>
                    <w:tr2bl w:val="nil"/>
                  </w:tcBorders>
                  <w:noWrap w:val="0"/>
                  <w:vAlign w:val="center"/>
                </w:tcPr>
                <w:p>
                  <w:pPr>
                    <w:autoSpaceDE w:val="0"/>
                    <w:autoSpaceDN w:val="0"/>
                    <w:jc w:val="center"/>
                    <w:rPr>
                      <w:rFonts w:hint="default" w:ascii="Times New Roman" w:hAnsi="Times New Roman" w:eastAsia="宋体" w:cs="Times New Roman"/>
                      <w:color w:val="000000"/>
                      <w:sz w:val="21"/>
                      <w:szCs w:val="21"/>
                    </w:rPr>
                  </w:pPr>
                </w:p>
              </w:tc>
              <w:tc>
                <w:tcPr>
                  <w:tcW w:w="2798" w:type="pct"/>
                  <w:vMerge w:val="continue"/>
                  <w:tcBorders>
                    <w:tl2br w:val="nil"/>
                    <w:tr2bl w:val="nil"/>
                  </w:tcBorders>
                  <w:noWrap w:val="0"/>
                  <w:vAlign w:val="center"/>
                </w:tcPr>
                <w:p>
                  <w:pPr>
                    <w:autoSpaceDE w:val="0"/>
                    <w:autoSpaceDN w:val="0"/>
                    <w:jc w:val="center"/>
                    <w:rPr>
                      <w:rFonts w:hint="default" w:ascii="Times New Roman" w:hAnsi="Times New Roman" w:eastAsia="宋体" w:cs="Times New Roman"/>
                      <w:bCs/>
                      <w:color w:val="000000"/>
                      <w:sz w:val="21"/>
                      <w:szCs w:val="21"/>
                    </w:rPr>
                  </w:pPr>
                </w:p>
              </w:tc>
              <w:tc>
                <w:tcPr>
                  <w:tcW w:w="509" w:type="pct"/>
                  <w:tcBorders>
                    <w:tl2br w:val="nil"/>
                    <w:tr2bl w:val="nil"/>
                  </w:tcBorders>
                  <w:noWrap w:val="0"/>
                  <w:vAlign w:val="center"/>
                </w:tcPr>
                <w:p>
                  <w:pPr>
                    <w:autoSpaceDE w:val="0"/>
                    <w:autoSpaceDN w:val="0"/>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夜间</w:t>
                  </w:r>
                </w:p>
              </w:tc>
              <w:tc>
                <w:tcPr>
                  <w:tcW w:w="914" w:type="pct"/>
                  <w:tcBorders>
                    <w:tl2br w:val="nil"/>
                    <w:tr2bl w:val="nil"/>
                  </w:tcBorders>
                  <w:noWrap w:val="0"/>
                  <w:vAlign w:val="center"/>
                </w:tcPr>
                <w:p>
                  <w:pPr>
                    <w:autoSpaceDE w:val="0"/>
                    <w:autoSpaceDN w:val="0"/>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55dB(A)</w:t>
                  </w:r>
                </w:p>
              </w:tc>
            </w:tr>
          </w:tbl>
          <w:p>
            <w:pPr>
              <w:pStyle w:val="24"/>
              <w:numPr>
                <w:ilvl w:val="0"/>
                <w:numId w:val="0"/>
              </w:numPr>
              <w:spacing w:after="60" w:line="360" w:lineRule="auto"/>
              <w:ind w:firstLine="420" w:firstLineChars="200"/>
              <w:jc w:val="both"/>
              <w:rPr>
                <w:rFonts w:hint="eastAsia" w:ascii="Times New Roman" w:hAnsi="Times New Roman" w:eastAsia="宋体" w:cs="Times New Roman"/>
                <w:color w:val="0000FF"/>
                <w:sz w:val="21"/>
                <w:szCs w:val="21"/>
                <w:lang w:val="en-US" w:eastAsia="zh-CN" w:bidi="ar-SA"/>
              </w:rPr>
            </w:pPr>
          </w:p>
        </w:tc>
      </w:tr>
    </w:tbl>
    <w:p>
      <w:pPr>
        <w:outlineLvl w:val="0"/>
        <w:rPr>
          <w:rFonts w:ascii="Times New Roman" w:hAnsi="Times New Roman" w:eastAsia="宋体" w:cs="Times New Roman"/>
          <w:color w:val="0000FF"/>
          <w:sz w:val="21"/>
          <w:szCs w:val="21"/>
        </w:rPr>
        <w:sectPr>
          <w:footerReference r:id="rId4" w:type="default"/>
          <w:pgSz w:w="11906" w:h="16838"/>
          <w:pgMar w:top="1440" w:right="1440" w:bottom="1440" w:left="1701" w:header="709" w:footer="709" w:gutter="0"/>
          <w:pgBorders>
            <w:top w:val="none" w:sz="0" w:space="0"/>
            <w:left w:val="none" w:sz="0" w:space="0"/>
            <w:bottom w:val="none" w:sz="0" w:space="0"/>
            <w:right w:val="none" w:sz="0" w:space="0"/>
          </w:pgBorders>
          <w:pgNumType w:start="1"/>
          <w:cols w:space="0" w:num="1"/>
          <w:docGrid w:linePitch="360" w:charSpace="0"/>
        </w:sectPr>
      </w:pP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表二</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9" w:hRule="atLeast"/>
        </w:trPr>
        <w:tc>
          <w:tcPr>
            <w:tcW w:w="5000" w:type="pct"/>
          </w:tcPr>
          <w:p>
            <w:pPr>
              <w:widowControl/>
              <w:spacing w:line="360" w:lineRule="auto"/>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 xml:space="preserve">工程建设内容： </w:t>
            </w:r>
          </w:p>
          <w:p>
            <w:pPr>
              <w:widowControl/>
              <w:numPr>
                <w:ilvl w:val="0"/>
                <w:numId w:val="1"/>
              </w:numPr>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项目概况</w:t>
            </w:r>
          </w:p>
          <w:p>
            <w:pPr>
              <w:pStyle w:val="12"/>
              <w:keepNext w:val="0"/>
              <w:keepLines w:val="0"/>
              <w:pageBreakBefore w:val="0"/>
              <w:widowControl w:val="0"/>
              <w:kinsoku/>
              <w:wordWrap/>
              <w:overflowPunct/>
              <w:topLinePunct w:val="0"/>
              <w:autoSpaceDE/>
              <w:autoSpaceDN/>
              <w:bidi w:val="0"/>
              <w:adjustRightInd w:val="0"/>
              <w:snapToGrid w:val="0"/>
              <w:spacing w:line="360" w:lineRule="auto"/>
              <w:ind w:right="0" w:firstLine="448" w:firstLineChars="200"/>
              <w:jc w:val="left"/>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福建省金城伟业印刷有限公司成立于2020年12月，租用位于福建省漳州市云霄县云陵工业开发区大埔473号漳州市新盛无纺布有限公司现有厂房作为生产经营场所，租用面积2000m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，主要从事不干胶标签印刷，预计年产不干胶330t</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根据《中华人民共和国环境保护法》、《中华人民共和国环境影响评价法》和《建设项目环境保护管理条例》等有关环保法律、法规，</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福建省金城伟业印刷有限公司</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需进行环境影响评价。于</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2021年3月</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委</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福建华力翔环境技术有限公司</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编制《</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金城伟业不干胶标签印刷加工项目</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环境影响报告表》，并于</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2021年4月20日</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通过</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漳州市云霄生态环境局</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审批，批复编号为：</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漳云环审【2020】11号</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本项目实际总投资1000万元，其中环保投资25万元。实际生产能力为</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年印刷不干胶标签330t</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，年工作天数300天，每天工作8小时</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，夜间不生产</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本项目位于福建省漳州市云霄县云陵工业开发区大埔473号，</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项目北侧为福建太尔集团股份有限公司，南侧为园区绿化，西南侧为宏芯丰源电子，西侧为涌薪光电科技；东侧为停车场，东南侧约67m为大埔村</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本项目于2021年4月开工建设，2021年8月竣工，并已投入试生产。根据《建设项目环境保护管理条例》和《建设项目竣</w:t>
            </w:r>
            <w:r>
              <w:rPr>
                <w:rFonts w:ascii="Times New Roman" w:hAnsi="Times New Roman" w:eastAsia="宋体" w:cs="Times New Roman"/>
                <w:color w:val="000000" w:themeColor="text1"/>
                <w:sz w:val="24"/>
                <w:szCs w:val="24"/>
                <w14:textFill>
                  <w14:solidFill>
                    <w14:schemeClr w14:val="tx1"/>
                  </w14:solidFill>
                </w14:textFill>
              </w:rPr>
              <w:t>工环境保护验收技术指南污染影响类》等法律法规文件的要求，公司依据国家有关法规文件、技术标准及经审批后的本项目环境影响报告表并结合现场实际情况制定了本项目的环境保护验收监测方案，并于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2021年8月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eastAsia="zh-CN"/>
                <w14:textFill>
                  <w14:solidFill>
                    <w14:schemeClr w14:val="tx1"/>
                  </w14:solidFill>
                </w14:textFill>
              </w:rPr>
              <w:t>日至2021年8月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日</w:t>
            </w:r>
            <w:r>
              <w:rPr>
                <w:rFonts w:ascii="Times New Roman" w:hAnsi="Times New Roman" w:eastAsia="宋体" w:cs="Times New Roman"/>
                <w:color w:val="000000" w:themeColor="text1"/>
                <w:sz w:val="24"/>
                <w:szCs w:val="24"/>
                <w14:textFill>
                  <w14:solidFill>
                    <w14:schemeClr w14:val="tx1"/>
                  </w14:solidFill>
                </w14:textFill>
              </w:rPr>
              <w:t>委托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厦门威正</w:t>
            </w:r>
            <w:r>
              <w:rPr>
                <w:rFonts w:hint="eastAsia" w:ascii="Times New Roman" w:hAnsi="Times New Roman" w:eastAsia="宋体" w:cs="Times New Roman"/>
                <w:color w:val="000000" w:themeColor="text1"/>
                <w:sz w:val="24"/>
                <w:szCs w:val="24"/>
                <w:lang w:eastAsia="zh-CN"/>
                <w14:textFill>
                  <w14:solidFill>
                    <w14:schemeClr w14:val="tx1"/>
                  </w14:solidFill>
                </w14:textFill>
              </w:rPr>
              <w:t>检测技术有限公司</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对</w:t>
            </w:r>
            <w:r>
              <w:rPr>
                <w:rFonts w:ascii="Times New Roman" w:hAnsi="Times New Roman" w:eastAsia="宋体" w:cs="Times New Roman"/>
                <w:color w:val="000000" w:themeColor="text1"/>
                <w:sz w:val="24"/>
                <w:szCs w:val="24"/>
                <w14:textFill>
                  <w14:solidFill>
                    <w14:schemeClr w14:val="tx1"/>
                  </w14:solidFill>
                </w14:textFill>
              </w:rPr>
              <w:t>本项目开展竣工环境保护验收监测，根据现场监测情况、样品监测分析结果及现场调查情况，编制</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竣工环境保护</w:t>
            </w:r>
            <w:r>
              <w:rPr>
                <w:rFonts w:ascii="Times New Roman" w:hAnsi="Times New Roman" w:eastAsia="宋体" w:cs="Times New Roman"/>
                <w:color w:val="000000" w:themeColor="text1"/>
                <w:sz w:val="24"/>
                <w:szCs w:val="24"/>
                <w14:textFill>
                  <w14:solidFill>
                    <w14:schemeClr w14:val="tx1"/>
                  </w14:solidFill>
                </w14:textFill>
              </w:rPr>
              <w:t>验收监测报告表。</w:t>
            </w:r>
          </w:p>
          <w:p>
            <w:pPr>
              <w:pStyle w:val="36"/>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具体建设内容见下表</w:t>
            </w:r>
            <w:r>
              <w:rPr>
                <w:rFonts w:hint="eastAsia" w:ascii="Times New Roman" w:hAnsi="Times New Roman" w:cs="Times New Roman"/>
                <w:color w:val="000000" w:themeColor="text1"/>
                <w14:textFill>
                  <w14:solidFill>
                    <w14:schemeClr w14:val="tx1"/>
                  </w14:solidFill>
                </w14:textFill>
              </w:rPr>
              <w:t>2-1</w:t>
            </w:r>
            <w:r>
              <w:rPr>
                <w:rFonts w:ascii="Times New Roman" w:hAnsi="Times New Roman" w:cs="Times New Roman"/>
                <w:color w:val="000000" w:themeColor="text1"/>
                <w14:textFill>
                  <w14:solidFill>
                    <w14:schemeClr w14:val="tx1"/>
                  </w14:solidFill>
                </w14:textFill>
              </w:rPr>
              <w:t>：</w:t>
            </w:r>
          </w:p>
          <w:p>
            <w:pPr>
              <w:pStyle w:val="36"/>
              <w:spacing w:line="360" w:lineRule="auto"/>
              <w:ind w:firstLine="480" w:firstLineChars="200"/>
              <w:jc w:val="both"/>
              <w:rPr>
                <w:rFonts w:ascii="Times New Roman" w:hAnsi="Times New Roman" w:cs="Times New Roman"/>
                <w:color w:val="0000FF"/>
              </w:rPr>
            </w:pPr>
          </w:p>
          <w:p>
            <w:pPr>
              <w:pStyle w:val="36"/>
              <w:spacing w:line="360" w:lineRule="auto"/>
              <w:ind w:firstLine="480" w:firstLineChars="200"/>
              <w:jc w:val="both"/>
              <w:rPr>
                <w:rFonts w:ascii="Times New Roman" w:hAnsi="Times New Roman" w:cs="Times New Roman"/>
                <w:color w:val="0000FF"/>
              </w:rPr>
            </w:pPr>
          </w:p>
          <w:p>
            <w:pPr>
              <w:pStyle w:val="36"/>
              <w:spacing w:line="360" w:lineRule="auto"/>
              <w:ind w:firstLine="480" w:firstLineChars="200"/>
              <w:jc w:val="both"/>
              <w:rPr>
                <w:rFonts w:ascii="Times New Roman" w:hAnsi="Times New Roman" w:cs="Times New Roman"/>
                <w:color w:val="0000FF"/>
              </w:rPr>
            </w:pPr>
          </w:p>
          <w:p>
            <w:pPr>
              <w:pStyle w:val="36"/>
              <w:spacing w:line="360" w:lineRule="auto"/>
              <w:ind w:firstLine="480" w:firstLineChars="200"/>
              <w:jc w:val="both"/>
              <w:rPr>
                <w:rFonts w:ascii="Times New Roman" w:hAnsi="Times New Roman" w:cs="Times New Roman"/>
                <w:color w:val="0000FF"/>
              </w:rPr>
            </w:pPr>
          </w:p>
          <w:p>
            <w:pPr>
              <w:pStyle w:val="36"/>
              <w:spacing w:line="360" w:lineRule="auto"/>
              <w:ind w:firstLine="480" w:firstLineChars="200"/>
              <w:jc w:val="both"/>
              <w:rPr>
                <w:rFonts w:ascii="Times New Roman" w:hAnsi="Times New Roman" w:cs="Times New Roman"/>
                <w:color w:val="0000FF"/>
              </w:rPr>
            </w:pPr>
          </w:p>
          <w:p>
            <w:pPr>
              <w:pStyle w:val="36"/>
              <w:spacing w:line="360" w:lineRule="auto"/>
              <w:ind w:firstLine="480" w:firstLineChars="200"/>
              <w:jc w:val="both"/>
              <w:rPr>
                <w:rFonts w:ascii="Times New Roman" w:hAnsi="Times New Roman" w:cs="Times New Roman"/>
                <w:color w:val="0000FF"/>
              </w:rPr>
            </w:pPr>
          </w:p>
          <w:p>
            <w:pPr>
              <w:widowControl/>
              <w:numPr>
                <w:ilvl w:val="0"/>
                <w:numId w:val="1"/>
              </w:numPr>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项目建设内容</w:t>
            </w:r>
          </w:p>
          <w:p>
            <w:pPr>
              <w:pStyle w:val="24"/>
              <w:widowControl w:val="0"/>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 xml:space="preserve">表2-1 </w:t>
            </w:r>
            <w:r>
              <w:rPr>
                <w:rFonts w:ascii="Times New Roman" w:hAnsi="Times New Roman" w:eastAsia="宋体" w:cs="Times New Roman"/>
                <w:b/>
                <w:bCs/>
                <w:color w:val="000000" w:themeColor="text1"/>
                <w:sz w:val="21"/>
                <w:szCs w:val="21"/>
                <w14:textFill>
                  <w14:solidFill>
                    <w14:schemeClr w14:val="tx1"/>
                  </w14:solidFill>
                </w14:textFill>
              </w:rPr>
              <w:t>项目建设内容</w:t>
            </w:r>
            <w:r>
              <w:rPr>
                <w:rFonts w:hint="eastAsia" w:ascii="Times New Roman" w:hAnsi="Times New Roman" w:eastAsia="宋体" w:cs="Times New Roman"/>
                <w:b/>
                <w:bCs/>
                <w:color w:val="000000" w:themeColor="text1"/>
                <w:sz w:val="21"/>
                <w:szCs w:val="21"/>
                <w14:textFill>
                  <w14:solidFill>
                    <w14:schemeClr w14:val="tx1"/>
                  </w14:solidFill>
                </w14:textFill>
              </w:rPr>
              <w:t>一览表</w:t>
            </w:r>
          </w:p>
          <w:tbl>
            <w:tblPr>
              <w:tblStyle w:val="25"/>
              <w:tblW w:w="4994"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65"/>
              <w:gridCol w:w="1530"/>
              <w:gridCol w:w="1544"/>
              <w:gridCol w:w="43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3" w:hRule="exact"/>
                <w:tblHeader/>
              </w:trPr>
              <w:tc>
                <w:tcPr>
                  <w:tcW w:w="7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工程类别</w:t>
                  </w:r>
                </w:p>
              </w:tc>
              <w:tc>
                <w:tcPr>
                  <w:tcW w:w="8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组成</w:t>
                  </w:r>
                </w:p>
              </w:tc>
              <w:tc>
                <w:tcPr>
                  <w:tcW w:w="334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5" w:hRule="exact"/>
              </w:trPr>
              <w:tc>
                <w:tcPr>
                  <w:tcW w:w="7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主体工程</w:t>
                  </w:r>
                </w:p>
              </w:tc>
              <w:tc>
                <w:tcPr>
                  <w:tcW w:w="8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生产车间</w:t>
                  </w:r>
                </w:p>
              </w:tc>
              <w:tc>
                <w:tcPr>
                  <w:tcW w:w="334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val="0"/>
                      <w:color w:val="000000" w:themeColor="text1"/>
                      <w:sz w:val="21"/>
                      <w:szCs w:val="21"/>
                      <w:highlight w:val="none"/>
                      <w:lang w:eastAsia="zh-CN"/>
                      <w14:textFill>
                        <w14:solidFill>
                          <w14:schemeClr w14:val="tx1"/>
                        </w14:solidFill>
                      </w14:textFill>
                    </w:rPr>
                    <w:t>租用</w:t>
                  </w:r>
                  <w:r>
                    <w:rPr>
                      <w:rFonts w:hint="default" w:ascii="Times New Roman" w:hAnsi="Times New Roman" w:eastAsia="宋体" w:cs="Times New Roman"/>
                      <w:bCs w:val="0"/>
                      <w:color w:val="000000" w:themeColor="text1"/>
                      <w:sz w:val="21"/>
                      <w:szCs w:val="21"/>
                      <w:highlight w:val="none"/>
                      <w14:textFill>
                        <w14:solidFill>
                          <w14:schemeClr w14:val="tx1"/>
                        </w14:solidFill>
                      </w14:textFill>
                    </w:rPr>
                    <w:t>面积</w:t>
                  </w:r>
                  <w:r>
                    <w:rPr>
                      <w:rFonts w:hint="default" w:ascii="Times New Roman" w:hAnsi="Times New Roman" w:eastAsia="宋体" w:cs="Times New Roman"/>
                      <w:bCs w:val="0"/>
                      <w:color w:val="000000" w:themeColor="text1"/>
                      <w:sz w:val="21"/>
                      <w:szCs w:val="21"/>
                      <w:highlight w:val="none"/>
                      <w:lang w:val="en-US" w:eastAsia="zh-CN"/>
                      <w14:textFill>
                        <w14:solidFill>
                          <w14:schemeClr w14:val="tx1"/>
                        </w14:solidFill>
                      </w14:textFill>
                    </w:rPr>
                    <w:t>2000</w:t>
                  </w:r>
                  <w:r>
                    <w:rPr>
                      <w:rFonts w:hint="default" w:ascii="Times New Roman" w:hAnsi="Times New Roman" w:eastAsia="宋体" w:cs="Times New Roman"/>
                      <w:bCs w:val="0"/>
                      <w:color w:val="000000" w:themeColor="text1"/>
                      <w:sz w:val="21"/>
                      <w:szCs w:val="21"/>
                      <w:highlight w:val="none"/>
                      <w14:textFill>
                        <w14:solidFill>
                          <w14:schemeClr w14:val="tx1"/>
                        </w14:solidFill>
                      </w14:textFill>
                    </w:rPr>
                    <w:t>m</w:t>
                  </w:r>
                  <w:r>
                    <w:rPr>
                      <w:rFonts w:hint="default" w:ascii="Times New Roman" w:hAnsi="Times New Roman" w:eastAsia="宋体" w:cs="Times New Roman"/>
                      <w:bCs w:val="0"/>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bCs w:val="0"/>
                      <w:color w:val="000000" w:themeColor="text1"/>
                      <w:sz w:val="21"/>
                      <w:szCs w:val="21"/>
                      <w:highlight w:val="none"/>
                      <w14:textFill>
                        <w14:solidFill>
                          <w14:schemeClr w14:val="tx1"/>
                        </w14:solidFill>
                      </w14:textFill>
                    </w:rPr>
                    <w:t>，</w:t>
                  </w:r>
                  <w:r>
                    <w:rPr>
                      <w:rFonts w:hint="default" w:ascii="Times New Roman" w:hAnsi="Times New Roman" w:eastAsia="宋体" w:cs="Times New Roman"/>
                      <w:bCs w:val="0"/>
                      <w:color w:val="000000" w:themeColor="text1"/>
                      <w:sz w:val="21"/>
                      <w:szCs w:val="21"/>
                      <w:highlight w:val="none"/>
                      <w:lang w:eastAsia="zh-CN"/>
                      <w14:textFill>
                        <w14:solidFill>
                          <w14:schemeClr w14:val="tx1"/>
                        </w14:solidFill>
                      </w14:textFill>
                    </w:rPr>
                    <w:t>位于厂房</w:t>
                  </w:r>
                  <w:r>
                    <w:rPr>
                      <w:rFonts w:hint="default" w:ascii="Times New Roman" w:hAnsi="Times New Roman" w:eastAsia="宋体" w:cs="Times New Roman"/>
                      <w:bCs w:val="0"/>
                      <w:color w:val="000000" w:themeColor="text1"/>
                      <w:sz w:val="21"/>
                      <w:szCs w:val="21"/>
                      <w:highlight w:val="none"/>
                      <w:lang w:val="en-US" w:eastAsia="zh-CN"/>
                      <w14:textFill>
                        <w14:solidFill>
                          <w14:schemeClr w14:val="tx1"/>
                        </w14:solidFill>
                      </w14:textFill>
                    </w:rPr>
                    <w:t>1F，</w:t>
                  </w:r>
                  <w:r>
                    <w:rPr>
                      <w:rFonts w:hint="default" w:ascii="Times New Roman" w:hAnsi="Times New Roman" w:eastAsia="宋体" w:cs="Times New Roman"/>
                      <w:color w:val="000000" w:themeColor="text1"/>
                      <w:sz w:val="21"/>
                      <w:szCs w:val="21"/>
                      <w:highlight w:val="none"/>
                      <w14:textFill>
                        <w14:solidFill>
                          <w14:schemeClr w14:val="tx1"/>
                        </w14:solidFill>
                      </w14:textFill>
                    </w:rPr>
                    <w:t>内</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设</w:t>
                  </w:r>
                  <w:r>
                    <w:rPr>
                      <w:rFonts w:hint="default" w:ascii="Times New Roman" w:hAnsi="Times New Roman" w:eastAsia="宋体" w:cs="Times New Roman"/>
                      <w:color w:val="000000" w:themeColor="text1"/>
                      <w:sz w:val="21"/>
                      <w:szCs w:val="21"/>
                      <w:highlight w:val="none"/>
                      <w14:textFill>
                        <w14:solidFill>
                          <w14:schemeClr w14:val="tx1"/>
                        </w14:solidFill>
                      </w14:textFill>
                    </w:rPr>
                    <w:t>有</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印刷机、模切机等机械设备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2" w:hRule="exact"/>
              </w:trPr>
              <w:tc>
                <w:tcPr>
                  <w:tcW w:w="7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储运工程</w:t>
                  </w:r>
                </w:p>
              </w:tc>
              <w:tc>
                <w:tcPr>
                  <w:tcW w:w="8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原料</w:t>
                  </w:r>
                  <w:r>
                    <w:rPr>
                      <w:rFonts w:hint="default" w:ascii="Times New Roman" w:hAnsi="Times New Roman" w:eastAsia="宋体" w:cs="Times New Roman"/>
                      <w:color w:val="000000" w:themeColor="text1"/>
                      <w:sz w:val="21"/>
                      <w:szCs w:val="21"/>
                      <w14:textFill>
                        <w14:solidFill>
                          <w14:schemeClr w14:val="tx1"/>
                        </w14:solidFill>
                      </w14:textFill>
                    </w:rPr>
                    <w:t>仓库</w:t>
                  </w:r>
                </w:p>
              </w:tc>
              <w:tc>
                <w:tcPr>
                  <w:tcW w:w="334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建筑面积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，位于车间西侧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exact"/>
              </w:trPr>
              <w:tc>
                <w:tcPr>
                  <w:tcW w:w="78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公用工程</w:t>
                  </w:r>
                </w:p>
              </w:tc>
              <w:tc>
                <w:tcPr>
                  <w:tcW w:w="8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给水系统</w:t>
                  </w:r>
                </w:p>
              </w:tc>
              <w:tc>
                <w:tcPr>
                  <w:tcW w:w="334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由市政供水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exact"/>
              </w:trPr>
              <w:tc>
                <w:tcPr>
                  <w:tcW w:w="78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电力</w:t>
                  </w:r>
                </w:p>
              </w:tc>
              <w:tc>
                <w:tcPr>
                  <w:tcW w:w="334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区域电网供应</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4" w:hRule="exact"/>
              </w:trPr>
              <w:tc>
                <w:tcPr>
                  <w:tcW w:w="78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运输</w:t>
                  </w:r>
                </w:p>
              </w:tc>
              <w:tc>
                <w:tcPr>
                  <w:tcW w:w="334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公路运输为主，全部委托当地专业运输单位承运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5" w:hRule="exact"/>
              </w:trPr>
              <w:tc>
                <w:tcPr>
                  <w:tcW w:w="78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环保工程</w:t>
                  </w:r>
                </w:p>
              </w:tc>
              <w:tc>
                <w:tcPr>
                  <w:tcW w:w="8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w:t>
                  </w:r>
                </w:p>
              </w:tc>
              <w:tc>
                <w:tcPr>
                  <w:tcW w:w="883" w:type="pct"/>
                  <w:tcBorders>
                    <w:right w:val="single" w:color="000000"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擦拭废气和印刷废气</w:t>
                  </w:r>
                </w:p>
              </w:tc>
              <w:tc>
                <w:tcPr>
                  <w:tcW w:w="2460" w:type="pct"/>
                  <w:tcBorders>
                    <w:left w:val="single" w:color="000000"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活性炭吸附装置+</w:t>
                  </w:r>
                  <w:r>
                    <w:rPr>
                      <w:rFonts w:hint="default" w:ascii="Times New Roman" w:hAnsi="Times New Roman" w:eastAsia="宋体" w:cs="Times New Roman"/>
                      <w:color w:val="000000" w:themeColor="text1"/>
                      <w:sz w:val="21"/>
                      <w:szCs w:val="21"/>
                      <w14:textFill>
                        <w14:solidFill>
                          <w14:schemeClr w14:val="tx1"/>
                        </w14:solidFill>
                      </w14:textFill>
                    </w:rPr>
                    <w:t>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14:textFill>
                        <w14:solidFill>
                          <w14:schemeClr w14:val="tx1"/>
                        </w14:solidFill>
                      </w14:textFill>
                    </w:rPr>
                    <w:t>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5" w:hRule="exact"/>
              </w:trPr>
              <w:tc>
                <w:tcPr>
                  <w:tcW w:w="78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废水</w:t>
                  </w:r>
                </w:p>
              </w:tc>
              <w:tc>
                <w:tcPr>
                  <w:tcW w:w="883" w:type="pct"/>
                  <w:tcBorders>
                    <w:right w:val="single" w:color="000000"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生活污水</w:t>
                  </w:r>
                </w:p>
              </w:tc>
              <w:tc>
                <w:tcPr>
                  <w:tcW w:w="2460" w:type="pct"/>
                  <w:tcBorders>
                    <w:left w:val="single" w:color="000000"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化粪池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exact"/>
              </w:trPr>
              <w:tc>
                <w:tcPr>
                  <w:tcW w:w="78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w:t>
                  </w:r>
                </w:p>
              </w:tc>
              <w:tc>
                <w:tcPr>
                  <w:tcW w:w="334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隔声减震、墙体隔音、加强管理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8" w:hRule="exact"/>
              </w:trPr>
              <w:tc>
                <w:tcPr>
                  <w:tcW w:w="78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固体废物</w:t>
                  </w:r>
                </w:p>
              </w:tc>
              <w:tc>
                <w:tcPr>
                  <w:tcW w:w="334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一般固废规范化贮存场所1处、危险废物贮存间1处、垃圾收集桶等 </w:t>
                  </w:r>
                </w:p>
              </w:tc>
            </w:tr>
          </w:tbl>
          <w:p>
            <w:pPr>
              <w:pStyle w:val="36"/>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 xml:space="preserve">表2-2 </w:t>
            </w:r>
            <w:r>
              <w:rPr>
                <w:rFonts w:ascii="Times New Roman" w:hAnsi="Times New Roman" w:cs="Times New Roman"/>
                <w:b/>
                <w:bCs/>
                <w:color w:val="000000" w:themeColor="text1"/>
                <w:sz w:val="21"/>
                <w:szCs w:val="21"/>
                <w14:textFill>
                  <w14:solidFill>
                    <w14:schemeClr w14:val="tx1"/>
                  </w14:solidFill>
                </w14:textFill>
              </w:rPr>
              <w:t>项目</w:t>
            </w:r>
            <w:r>
              <w:rPr>
                <w:rFonts w:hint="eastAsia" w:ascii="Times New Roman" w:hAnsi="Times New Roman" w:cs="Times New Roman"/>
                <w:b/>
                <w:bCs/>
                <w:color w:val="000000" w:themeColor="text1"/>
                <w:sz w:val="21"/>
                <w:szCs w:val="21"/>
                <w14:textFill>
                  <w14:solidFill>
                    <w14:schemeClr w14:val="tx1"/>
                  </w14:solidFill>
                </w14:textFill>
              </w:rPr>
              <w:t>产品方案</w:t>
            </w:r>
          </w:p>
          <w:tbl>
            <w:tblPr>
              <w:tblStyle w:val="25"/>
              <w:tblW w:w="4840"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1286"/>
              <w:gridCol w:w="1286"/>
              <w:gridCol w:w="1758"/>
              <w:gridCol w:w="2350"/>
              <w:gridCol w:w="1790"/>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trHeight w:val="352" w:hRule="atLeast"/>
                <w:jc w:val="center"/>
              </w:trPr>
              <w:tc>
                <w:tcPr>
                  <w:tcW w:w="759"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产品名称</w:t>
                  </w:r>
                </w:p>
              </w:tc>
              <w:tc>
                <w:tcPr>
                  <w:tcW w:w="759"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序号</w:t>
                  </w:r>
                </w:p>
              </w:tc>
              <w:tc>
                <w:tcPr>
                  <w:tcW w:w="1037"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原辅材料名称</w:t>
                  </w:r>
                </w:p>
              </w:tc>
              <w:tc>
                <w:tcPr>
                  <w:tcW w:w="1387"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环评</w:t>
                  </w:r>
                  <w:r>
                    <w:rPr>
                      <w:rFonts w:hint="default" w:ascii="Times New Roman" w:hAnsi="Times New Roman" w:eastAsia="宋体" w:cs="Times New Roman"/>
                      <w:color w:val="000000" w:themeColor="text1"/>
                      <w:sz w:val="21"/>
                      <w:szCs w:val="21"/>
                      <w:highlight w:val="none"/>
                      <w14:textFill>
                        <w14:solidFill>
                          <w14:schemeClr w14:val="tx1"/>
                        </w14:solidFill>
                      </w14:textFill>
                    </w:rPr>
                    <w:t>年用量</w:t>
                  </w:r>
                </w:p>
              </w:tc>
              <w:tc>
                <w:tcPr>
                  <w:tcW w:w="1056" w:type="pct"/>
                  <w:tcBorders>
                    <w:tl2br w:val="nil"/>
                    <w:tr2bl w:val="nil"/>
                  </w:tcBorders>
                  <w:noWrap w:val="0"/>
                  <w:vAlign w:val="center"/>
                </w:tcPr>
                <w:p>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实际年用量</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759" w:type="pct"/>
                  <w:vMerge w:val="restar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不干胶标签</w:t>
                  </w:r>
                </w:p>
              </w:tc>
              <w:tc>
                <w:tcPr>
                  <w:tcW w:w="759"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037"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不干胶纸</w:t>
                  </w:r>
                </w:p>
              </w:tc>
              <w:tc>
                <w:tcPr>
                  <w:tcW w:w="1387"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330t</w:t>
                  </w:r>
                </w:p>
              </w:tc>
              <w:tc>
                <w:tcPr>
                  <w:tcW w:w="1056"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330t</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759" w:type="pct"/>
                  <w:vMerge w:val="continue"/>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59"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037"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UV油墨</w:t>
                  </w:r>
                </w:p>
              </w:tc>
              <w:tc>
                <w:tcPr>
                  <w:tcW w:w="1387"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0.65t</w:t>
                  </w:r>
                </w:p>
              </w:tc>
              <w:tc>
                <w:tcPr>
                  <w:tcW w:w="1056"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0.65t</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759" w:type="pct"/>
                  <w:vMerge w:val="continue"/>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59"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1037"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酒精</w:t>
                  </w:r>
                </w:p>
              </w:tc>
              <w:tc>
                <w:tcPr>
                  <w:tcW w:w="1387"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0.65t</w:t>
                  </w:r>
                </w:p>
              </w:tc>
              <w:tc>
                <w:tcPr>
                  <w:tcW w:w="1056"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0.65t</w:t>
                  </w:r>
                </w:p>
              </w:tc>
            </w:tr>
          </w:tbl>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UV油墨：</w:t>
            </w:r>
            <w:r>
              <w:rPr>
                <w:rFonts w:hint="default" w:ascii="Times New Roman" w:hAnsi="Times New Roman" w:eastAsia="TimesNewRomanPSMT" w:cs="Times New Roman"/>
                <w:color w:val="000000" w:themeColor="text1"/>
                <w:sz w:val="24"/>
                <w:szCs w:val="24"/>
                <w14:textFill>
                  <w14:solidFill>
                    <w14:schemeClr w14:val="tx1"/>
                  </w14:solidFill>
                </w14:textFill>
              </w:rPr>
              <w:t xml:space="preserve">UV </w:t>
            </w:r>
            <w:r>
              <w:rPr>
                <w:rFonts w:hint="default" w:ascii="Times New Roman" w:hAnsi="Times New Roman" w:eastAsia="宋体" w:cs="Times New Roman"/>
                <w:color w:val="000000" w:themeColor="text1"/>
                <w:sz w:val="24"/>
                <w:szCs w:val="24"/>
                <w14:textFill>
                  <w14:solidFill>
                    <w14:schemeClr w14:val="tx1"/>
                  </w14:solidFill>
                </w14:textFill>
              </w:rPr>
              <w:t>油墨是一种不用溶剂，干燥速度快，光泽好，色彩鲜</w:t>
            </w:r>
            <w:r>
              <w:rPr>
                <w:rFonts w:hint="default" w:ascii="Times New Roman" w:hAnsi="Times New Roman" w:eastAsia="宋体" w:cs="Times New Roman"/>
                <w:color w:val="000000"/>
                <w:sz w:val="24"/>
                <w:szCs w:val="24"/>
              </w:rPr>
              <w:t>艳，耐水、耐溶剂、耐磨性好的油墨。主要成分为：预聚物</w:t>
            </w:r>
            <w:r>
              <w:rPr>
                <w:rFonts w:hint="default" w:ascii="Times New Roman" w:hAnsi="Times New Roman" w:eastAsia="TimesNewRomanPSMT" w:cs="Times New Roman"/>
                <w:color w:val="000000"/>
                <w:sz w:val="24"/>
                <w:szCs w:val="24"/>
              </w:rPr>
              <w:t>15~25%</w:t>
            </w:r>
            <w:r>
              <w:rPr>
                <w:rFonts w:hint="default" w:ascii="Times New Roman" w:hAnsi="Times New Roman" w:eastAsia="宋体" w:cs="Times New Roman"/>
                <w:color w:val="000000"/>
                <w:sz w:val="24"/>
                <w:szCs w:val="24"/>
              </w:rPr>
              <w:t>、聚合树脂</w:t>
            </w:r>
            <w:r>
              <w:rPr>
                <w:rFonts w:hint="default" w:ascii="Times New Roman" w:hAnsi="Times New Roman" w:eastAsia="TimesNewRomanPSMT" w:cs="Times New Roman"/>
                <w:color w:val="000000"/>
                <w:sz w:val="24"/>
                <w:szCs w:val="24"/>
              </w:rPr>
              <w:t>5~15%</w:t>
            </w:r>
            <w:r>
              <w:rPr>
                <w:rFonts w:hint="default" w:ascii="Times New Roman" w:hAnsi="Times New Roman" w:eastAsia="宋体" w:cs="Times New Roman"/>
                <w:color w:val="000000"/>
                <w:sz w:val="24"/>
                <w:szCs w:val="24"/>
              </w:rPr>
              <w:t>、丙烯酸单体</w:t>
            </w:r>
            <w:r>
              <w:rPr>
                <w:rFonts w:hint="default" w:ascii="Times New Roman" w:hAnsi="Times New Roman" w:eastAsia="TimesNewRomanPSMT" w:cs="Times New Roman"/>
                <w:color w:val="000000"/>
                <w:sz w:val="24"/>
                <w:szCs w:val="24"/>
              </w:rPr>
              <w:t>A20~30%</w:t>
            </w:r>
            <w:r>
              <w:rPr>
                <w:rFonts w:hint="default" w:ascii="Times New Roman" w:hAnsi="Times New Roman" w:eastAsia="宋体" w:cs="Times New Roman"/>
                <w:color w:val="000000"/>
                <w:sz w:val="24"/>
                <w:szCs w:val="24"/>
              </w:rPr>
              <w:t>、丙烯酸单体</w:t>
            </w:r>
            <w:r>
              <w:rPr>
                <w:rFonts w:hint="default" w:ascii="Times New Roman" w:hAnsi="Times New Roman" w:eastAsia="TimesNewRomanPSMT" w:cs="Times New Roman"/>
                <w:color w:val="000000"/>
                <w:sz w:val="24"/>
                <w:szCs w:val="24"/>
              </w:rPr>
              <w:t>B10~20%</w:t>
            </w:r>
            <w:r>
              <w:rPr>
                <w:rFonts w:hint="default" w:ascii="Times New Roman" w:hAnsi="Times New Roman" w:eastAsia="宋体" w:cs="Times New Roman"/>
                <w:color w:val="000000"/>
                <w:sz w:val="24"/>
                <w:szCs w:val="24"/>
              </w:rPr>
              <w:t>、光引发剂</w:t>
            </w:r>
            <w:r>
              <w:rPr>
                <w:rFonts w:hint="default" w:ascii="Times New Roman" w:hAnsi="Times New Roman" w:eastAsia="TimesNewRomanPSMT" w:cs="Times New Roman"/>
                <w:color w:val="000000"/>
                <w:sz w:val="24"/>
                <w:szCs w:val="24"/>
              </w:rPr>
              <w:t>0~5%</w:t>
            </w:r>
            <w:r>
              <w:rPr>
                <w:rFonts w:hint="default" w:ascii="Times New Roman" w:hAnsi="Times New Roman" w:eastAsia="宋体" w:cs="Times New Roman"/>
                <w:color w:val="000000"/>
                <w:sz w:val="24"/>
                <w:szCs w:val="24"/>
              </w:rPr>
              <w:t>、颜料</w:t>
            </w:r>
            <w:r>
              <w:rPr>
                <w:rFonts w:hint="default" w:ascii="Times New Roman" w:hAnsi="Times New Roman" w:eastAsia="TimesNewRomanPSMT" w:cs="Times New Roman"/>
                <w:color w:val="000000"/>
                <w:sz w:val="24"/>
                <w:szCs w:val="24"/>
              </w:rPr>
              <w:t>0~45%</w:t>
            </w:r>
            <w:r>
              <w:rPr>
                <w:rFonts w:hint="default" w:ascii="Times New Roman" w:hAnsi="Times New Roman" w:eastAsia="宋体" w:cs="Times New Roman"/>
                <w:color w:val="000000"/>
                <w:sz w:val="24"/>
                <w:szCs w:val="24"/>
              </w:rPr>
              <w:t>、助剂</w:t>
            </w:r>
            <w:r>
              <w:rPr>
                <w:rFonts w:hint="default" w:ascii="Times New Roman" w:hAnsi="Times New Roman" w:eastAsia="TimesNewRomanPSMT" w:cs="Times New Roman"/>
                <w:color w:val="000000"/>
                <w:sz w:val="24"/>
                <w:szCs w:val="24"/>
              </w:rPr>
              <w:t>1~5%</w:t>
            </w:r>
            <w:r>
              <w:rPr>
                <w:rFonts w:hint="default" w:ascii="Times New Roman" w:hAnsi="Times New Roman" w:eastAsia="宋体" w:cs="Times New Roman"/>
                <w:color w:val="000000"/>
                <w:sz w:val="24"/>
                <w:szCs w:val="24"/>
              </w:rPr>
              <w:t>。</w:t>
            </w:r>
          </w:p>
          <w:p>
            <w:pPr>
              <w:pStyle w:val="91"/>
              <w:keepNext w:val="0"/>
              <w:keepLines w:val="0"/>
              <w:pageBreakBefore w:val="0"/>
              <w:widowControl w:val="0"/>
              <w:kinsoku/>
              <w:wordWrap/>
              <w:overflowPunct/>
              <w:topLinePunct w:val="0"/>
              <w:autoSpaceDE/>
              <w:autoSpaceDN/>
              <w:bidi w:val="0"/>
              <w:adjustRightInd/>
              <w:snapToGrid w:val="0"/>
              <w:spacing w:line="360" w:lineRule="auto"/>
              <w:ind w:firstLine="0" w:firstLineChars="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sz w:val="24"/>
                <w:szCs w:val="24"/>
                <w:lang w:val="en-US" w:eastAsia="zh-CN"/>
              </w:rPr>
              <w:t>酒精：</w:t>
            </w:r>
            <w:r>
              <w:rPr>
                <w:rFonts w:hint="default" w:ascii="Times New Roman" w:hAnsi="Times New Roman" w:eastAsia="宋体" w:cs="Times New Roman"/>
                <w:color w:val="000000"/>
                <w:sz w:val="24"/>
                <w:szCs w:val="24"/>
              </w:rPr>
              <w:t>乙醇（结构简式</w:t>
            </w:r>
            <w:r>
              <w:rPr>
                <w:rFonts w:hint="default" w:ascii="Times New Roman" w:hAnsi="Times New Roman" w:eastAsia="TimesNewRomanPSMT" w:cs="Times New Roman"/>
                <w:color w:val="000000"/>
                <w:sz w:val="24"/>
                <w:szCs w:val="24"/>
              </w:rPr>
              <w:t>CH</w:t>
            </w:r>
            <w:r>
              <w:rPr>
                <w:rFonts w:hint="default" w:ascii="Times New Roman" w:hAnsi="Times New Roman" w:eastAsia="TimesNewRomanPSMT" w:cs="Times New Roman"/>
                <w:color w:val="000000"/>
                <w:sz w:val="24"/>
                <w:szCs w:val="24"/>
                <w:vertAlign w:val="subscript"/>
              </w:rPr>
              <w:t>3</w:t>
            </w:r>
            <w:r>
              <w:rPr>
                <w:rFonts w:hint="default" w:ascii="Times New Roman" w:hAnsi="Times New Roman" w:eastAsia="TimesNewRomanPSMT" w:cs="Times New Roman"/>
                <w:color w:val="000000"/>
                <w:sz w:val="24"/>
                <w:szCs w:val="24"/>
              </w:rPr>
              <w:t>CH</w:t>
            </w:r>
            <w:r>
              <w:rPr>
                <w:rFonts w:hint="default" w:ascii="Times New Roman" w:hAnsi="Times New Roman" w:eastAsia="TimesNewRomanPSMT" w:cs="Times New Roman"/>
                <w:color w:val="000000"/>
                <w:sz w:val="24"/>
                <w:szCs w:val="24"/>
                <w:vertAlign w:val="subscript"/>
              </w:rPr>
              <w:t>2</w:t>
            </w:r>
            <w:r>
              <w:rPr>
                <w:rFonts w:hint="default" w:ascii="Times New Roman" w:hAnsi="Times New Roman" w:eastAsia="TimesNewRomanPSMT" w:cs="Times New Roman"/>
                <w:color w:val="000000"/>
                <w:sz w:val="24"/>
                <w:szCs w:val="24"/>
              </w:rPr>
              <w:t xml:space="preserve">OH </w:t>
            </w:r>
            <w:r>
              <w:rPr>
                <w:rFonts w:hint="default" w:ascii="Times New Roman" w:hAnsi="Times New Roman" w:eastAsia="宋体" w:cs="Times New Roman"/>
                <w:color w:val="000000"/>
                <w:sz w:val="24"/>
                <w:szCs w:val="24"/>
              </w:rPr>
              <w:t>或</w:t>
            </w:r>
            <w:r>
              <w:rPr>
                <w:rFonts w:hint="default" w:ascii="Times New Roman" w:hAnsi="Times New Roman" w:eastAsia="TimesNewRomanPSMT" w:cs="Times New Roman"/>
                <w:color w:val="000000"/>
                <w:sz w:val="24"/>
                <w:szCs w:val="24"/>
              </w:rPr>
              <w:t>C</w:t>
            </w:r>
            <w:r>
              <w:rPr>
                <w:rFonts w:hint="default" w:ascii="Times New Roman" w:hAnsi="Times New Roman" w:eastAsia="TimesNewRomanPSMT" w:cs="Times New Roman"/>
                <w:color w:val="000000"/>
                <w:sz w:val="24"/>
                <w:szCs w:val="24"/>
                <w:vertAlign w:val="subscript"/>
              </w:rPr>
              <w:t>2</w:t>
            </w:r>
            <w:r>
              <w:rPr>
                <w:rFonts w:hint="default" w:ascii="Times New Roman" w:hAnsi="Times New Roman" w:eastAsia="TimesNewRomanPSMT" w:cs="Times New Roman"/>
                <w:color w:val="000000"/>
                <w:sz w:val="24"/>
                <w:szCs w:val="24"/>
              </w:rPr>
              <w:t>H</w:t>
            </w:r>
            <w:r>
              <w:rPr>
                <w:rFonts w:hint="default" w:ascii="Times New Roman" w:hAnsi="Times New Roman" w:eastAsia="TimesNewRomanPSMT" w:cs="Times New Roman"/>
                <w:color w:val="000000"/>
                <w:sz w:val="24"/>
                <w:szCs w:val="24"/>
                <w:vertAlign w:val="subscript"/>
              </w:rPr>
              <w:t>5</w:t>
            </w:r>
            <w:r>
              <w:rPr>
                <w:rFonts w:hint="default" w:ascii="Times New Roman" w:hAnsi="Times New Roman" w:eastAsia="TimesNewRomanPSMT" w:cs="Times New Roman"/>
                <w:color w:val="000000"/>
                <w:sz w:val="24"/>
                <w:szCs w:val="24"/>
              </w:rPr>
              <w:t>OH</w:t>
            </w:r>
            <w:r>
              <w:rPr>
                <w:rFonts w:hint="default" w:ascii="Times New Roman" w:hAnsi="Times New Roman" w:eastAsia="宋体" w:cs="Times New Roman"/>
                <w:color w:val="000000"/>
                <w:sz w:val="24"/>
                <w:szCs w:val="24"/>
              </w:rPr>
              <w:t>），有机化合物，俗称酒精，是最常见的一元醇，主要成分为乙醇，约含</w:t>
            </w:r>
            <w:r>
              <w:rPr>
                <w:rFonts w:hint="default" w:ascii="Times New Roman" w:hAnsi="Times New Roman" w:eastAsia="TimesNewRomanPSMT" w:cs="Times New Roman"/>
                <w:color w:val="000000"/>
                <w:sz w:val="24"/>
                <w:szCs w:val="24"/>
              </w:rPr>
              <w:t>95%</w:t>
            </w:r>
            <w:r>
              <w:rPr>
                <w:rFonts w:hint="default" w:ascii="Times New Roman" w:hAnsi="Times New Roman" w:eastAsia="宋体" w:cs="Times New Roman"/>
                <w:color w:val="000000"/>
                <w:sz w:val="24"/>
                <w:szCs w:val="24"/>
              </w:rPr>
              <w:t>。其在常温常压下是一种易燃、易挥发的无色透明液体，低毒，纯液体不可直接饮用，具有特殊香味（略带刺激），微甘（伴有刺激的辛辣滋味），易燃，其蒸气能与空气形成爆炸性混合物，能与水以任意比互溶，也能与氯仿、乙醚、甲醇、丙酮和其他多数有机溶剂混溶。其与甲醚是同分异构体</w:t>
            </w:r>
            <w:r>
              <w:rPr>
                <w:rFonts w:hint="default" w:ascii="Times New Roman" w:hAnsi="Times New Roman" w:eastAsia="宋体" w:cs="Times New Roman"/>
                <w:color w:val="000000"/>
                <w:sz w:val="21"/>
              </w:rPr>
              <w:t>。</w:t>
            </w:r>
          </w:p>
          <w:p>
            <w:pPr>
              <w:pStyle w:val="36"/>
              <w:keepNext w:val="0"/>
              <w:keepLines w:val="0"/>
              <w:pageBreakBefore w:val="0"/>
              <w:kinsoku/>
              <w:wordWrap/>
              <w:overflowPunct/>
              <w:topLinePunct w:val="0"/>
              <w:bidi w:val="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表2-3 主要生产设备一览表</w:t>
            </w:r>
          </w:p>
          <w:tbl>
            <w:tblPr>
              <w:tblStyle w:val="25"/>
              <w:tblW w:w="4976"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550"/>
              <w:gridCol w:w="2707"/>
              <w:gridCol w:w="1767"/>
              <w:gridCol w:w="1292"/>
              <w:gridCol w:w="1339"/>
              <w:gridCol w:w="105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5" w:type="pct"/>
                  <w:vMerge w:val="restart"/>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序号</w:t>
                  </w:r>
                </w:p>
              </w:tc>
              <w:tc>
                <w:tcPr>
                  <w:tcW w:w="1554" w:type="pct"/>
                  <w:vMerge w:val="restart"/>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设备名称</w:t>
                  </w:r>
                </w:p>
              </w:tc>
              <w:tc>
                <w:tcPr>
                  <w:tcW w:w="3129" w:type="pct"/>
                  <w:gridSpan w:val="4"/>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数量</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15" w:type="pct"/>
                  <w:vMerge w:val="continue"/>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554" w:type="pct"/>
                  <w:vMerge w:val="continue"/>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14" w:type="pct"/>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型号</w:t>
                  </w:r>
                </w:p>
              </w:tc>
              <w:tc>
                <w:tcPr>
                  <w:tcW w:w="741" w:type="pct"/>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环评数量</w:t>
                  </w:r>
                </w:p>
              </w:tc>
              <w:tc>
                <w:tcPr>
                  <w:tcW w:w="768" w:type="pct"/>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实际数量</w:t>
                  </w:r>
                </w:p>
              </w:tc>
              <w:tc>
                <w:tcPr>
                  <w:tcW w:w="604" w:type="pct"/>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备注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15" w:type="pct"/>
                  <w:tcBorders>
                    <w:tl2br w:val="nil"/>
                    <w:tr2bl w:val="nil"/>
                  </w:tcBorders>
                  <w:noWrap w:val="0"/>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554"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全轮转8色凸版商标印刷机</w:t>
                  </w:r>
                </w:p>
              </w:tc>
              <w:tc>
                <w:tcPr>
                  <w:tcW w:w="1014"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YTP-330R8C+1</w:t>
                  </w:r>
                </w:p>
              </w:tc>
              <w:tc>
                <w:tcPr>
                  <w:tcW w:w="741"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w:t>
                  </w:r>
                </w:p>
              </w:tc>
              <w:tc>
                <w:tcPr>
                  <w:tcW w:w="768"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15" w:type="pct"/>
                  <w:tcBorders>
                    <w:tl2br w:val="nil"/>
                    <w:tr2bl w:val="nil"/>
                  </w:tcBorders>
                  <w:noWrap w:val="0"/>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554"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7色+1PS版轮转不干胶印刷机</w:t>
                  </w:r>
                </w:p>
              </w:tc>
              <w:tc>
                <w:tcPr>
                  <w:tcW w:w="1014"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ZTJ-330</w:t>
                  </w:r>
                </w:p>
              </w:tc>
              <w:tc>
                <w:tcPr>
                  <w:tcW w:w="741"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w:t>
                  </w:r>
                </w:p>
              </w:tc>
              <w:tc>
                <w:tcPr>
                  <w:tcW w:w="768"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15" w:type="pct"/>
                  <w:tcBorders>
                    <w:tl2br w:val="nil"/>
                    <w:tr2bl w:val="nil"/>
                  </w:tcBorders>
                  <w:noWrap w:val="0"/>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554"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商标分条机</w:t>
                  </w:r>
                </w:p>
              </w:tc>
              <w:tc>
                <w:tcPr>
                  <w:tcW w:w="1014"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FX320</w:t>
                  </w:r>
                </w:p>
              </w:tc>
              <w:tc>
                <w:tcPr>
                  <w:tcW w:w="741"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w:t>
                  </w:r>
                </w:p>
              </w:tc>
              <w:tc>
                <w:tcPr>
                  <w:tcW w:w="768"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15" w:type="pct"/>
                  <w:tcBorders>
                    <w:tl2br w:val="nil"/>
                    <w:tr2bl w:val="nil"/>
                  </w:tcBorders>
                  <w:noWrap w:val="0"/>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554"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双座高速模切机</w:t>
                  </w:r>
                </w:p>
              </w:tc>
              <w:tc>
                <w:tcPr>
                  <w:tcW w:w="1014"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RBJ-330B</w:t>
                  </w:r>
                </w:p>
              </w:tc>
              <w:tc>
                <w:tcPr>
                  <w:tcW w:w="741"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w:t>
                  </w:r>
                </w:p>
              </w:tc>
              <w:tc>
                <w:tcPr>
                  <w:tcW w:w="768"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15" w:type="pct"/>
                  <w:tcBorders>
                    <w:tl2br w:val="nil"/>
                    <w:tr2bl w:val="nil"/>
                  </w:tcBorders>
                  <w:noWrap w:val="0"/>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554"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柔版计算机直接制版机</w:t>
                  </w:r>
                </w:p>
              </w:tc>
              <w:tc>
                <w:tcPr>
                  <w:tcW w:w="1014"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Aura 600E</w:t>
                  </w:r>
                </w:p>
              </w:tc>
              <w:tc>
                <w:tcPr>
                  <w:tcW w:w="741"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w:t>
                  </w:r>
                </w:p>
              </w:tc>
              <w:tc>
                <w:tcPr>
                  <w:tcW w:w="768"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15" w:type="pct"/>
                  <w:tcBorders>
                    <w:tl2br w:val="nil"/>
                    <w:tr2bl w:val="nil"/>
                  </w:tcBorders>
                  <w:noWrap w:val="0"/>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1554"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350单色双灯uv丝印机</w:t>
                  </w:r>
                </w:p>
              </w:tc>
              <w:tc>
                <w:tcPr>
                  <w:tcW w:w="1014"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CLD350</w:t>
                  </w:r>
                </w:p>
              </w:tc>
              <w:tc>
                <w:tcPr>
                  <w:tcW w:w="741"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w:t>
                  </w:r>
                </w:p>
              </w:tc>
              <w:tc>
                <w:tcPr>
                  <w:tcW w:w="768"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15" w:type="pct"/>
                  <w:tcBorders>
                    <w:tl2br w:val="nil"/>
                    <w:tr2bl w:val="nil"/>
                  </w:tcBorders>
                  <w:noWrap w:val="0"/>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1554"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分切机（商标分条机）</w:t>
                  </w:r>
                </w:p>
              </w:tc>
              <w:tc>
                <w:tcPr>
                  <w:tcW w:w="1014"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LX320</w:t>
                  </w:r>
                </w:p>
              </w:tc>
              <w:tc>
                <w:tcPr>
                  <w:tcW w:w="741"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w:t>
                  </w:r>
                </w:p>
              </w:tc>
              <w:tc>
                <w:tcPr>
                  <w:tcW w:w="768"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15" w:type="pct"/>
                  <w:tcBorders>
                    <w:tl2br w:val="nil"/>
                    <w:tr2bl w:val="nil"/>
                  </w:tcBorders>
                  <w:noWrap w:val="0"/>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1554"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树脂版制版机（洗版机）</w:t>
                  </w:r>
                </w:p>
              </w:tc>
              <w:tc>
                <w:tcPr>
                  <w:tcW w:w="1014"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A2</w:t>
                  </w:r>
                </w:p>
              </w:tc>
              <w:tc>
                <w:tcPr>
                  <w:tcW w:w="741"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w:t>
                  </w:r>
                </w:p>
              </w:tc>
              <w:tc>
                <w:tcPr>
                  <w:tcW w:w="768"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15" w:type="pct"/>
                  <w:tcBorders>
                    <w:tl2br w:val="nil"/>
                    <w:tr2bl w:val="nil"/>
                  </w:tcBorders>
                  <w:noWrap w:val="0"/>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1554"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切管机</w:t>
                  </w:r>
                </w:p>
              </w:tc>
              <w:tc>
                <w:tcPr>
                  <w:tcW w:w="1014"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320</w:t>
                  </w:r>
                </w:p>
              </w:tc>
              <w:tc>
                <w:tcPr>
                  <w:tcW w:w="741"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w:t>
                  </w:r>
                </w:p>
              </w:tc>
              <w:tc>
                <w:tcPr>
                  <w:tcW w:w="768"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15" w:type="pct"/>
                  <w:tcBorders>
                    <w:tl2br w:val="nil"/>
                    <w:tr2bl w:val="nil"/>
                  </w:tcBorders>
                  <w:noWrap w:val="0"/>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554"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品检机（气涨轴版）</w:t>
                  </w:r>
                </w:p>
              </w:tc>
              <w:tc>
                <w:tcPr>
                  <w:tcW w:w="1014"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320</w:t>
                  </w:r>
                </w:p>
              </w:tc>
              <w:tc>
                <w:tcPr>
                  <w:tcW w:w="741"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w:t>
                  </w:r>
                </w:p>
              </w:tc>
              <w:tc>
                <w:tcPr>
                  <w:tcW w:w="768"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一致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0" w:type="auto"/>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1554" w:type="pct"/>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eastAsia" w:ascii="Times New Roman" w:hAnsi="Times New Roman" w:eastAsia="宋体" w:cs="Times New Roman"/>
                      <w:i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电化铝分切机</w:t>
                  </w:r>
                </w:p>
              </w:tc>
              <w:tc>
                <w:tcPr>
                  <w:tcW w:w="1014" w:type="pct"/>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外经110MM</w:t>
                  </w:r>
                </w:p>
              </w:tc>
              <w:tc>
                <w:tcPr>
                  <w:tcW w:w="741" w:type="pct"/>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w:t>
                  </w:r>
                </w:p>
              </w:tc>
              <w:tc>
                <w:tcPr>
                  <w:tcW w:w="768" w:type="pct"/>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一致</w:t>
                  </w:r>
                </w:p>
              </w:tc>
            </w:tr>
          </w:tbl>
          <w:p>
            <w:pPr>
              <w:pStyle w:val="36"/>
              <w:spacing w:before="200" w:line="360" w:lineRule="auto"/>
              <w:ind w:left="440" w:leftChars="200"/>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3、验收范围</w:t>
            </w:r>
          </w:p>
          <w:p>
            <w:pPr>
              <w:pStyle w:val="36"/>
              <w:spacing w:line="360" w:lineRule="auto"/>
              <w:ind w:firstLine="480" w:firstLineChars="200"/>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eastAsia" w:ascii="Times New Roman"/>
                <w:color w:val="000000" w:themeColor="text1"/>
                <w:sz w:val="24"/>
                <w:szCs w:val="24"/>
                <w:lang w:eastAsia="zh-CN"/>
                <w14:textFill>
                  <w14:solidFill>
                    <w14:schemeClr w14:val="tx1"/>
                  </w14:solidFill>
                </w14:textFill>
              </w:rPr>
              <w:t>福建省金城伟业印刷有限公司金城伟业不干胶标签印刷加工项目</w:t>
            </w:r>
            <w:r>
              <w:rPr>
                <w:rFonts w:hint="eastAsia" w:ascii="Times New Roman" w:eastAsia="宋体"/>
                <w:color w:val="000000" w:themeColor="text1"/>
                <w:sz w:val="24"/>
                <w:szCs w:val="24"/>
                <w:lang w:val="en-US" w:eastAsia="zh-CN"/>
                <w14:textFill>
                  <w14:solidFill>
                    <w14:schemeClr w14:val="tx1"/>
                  </w14:solidFill>
                </w14:textFill>
              </w:rPr>
              <w:t>选址于</w:t>
            </w:r>
            <w:r>
              <w:rPr>
                <w:rFonts w:hint="eastAsia" w:ascii="Times New Roman"/>
                <w:color w:val="000000" w:themeColor="text1"/>
                <w:sz w:val="24"/>
                <w:szCs w:val="24"/>
                <w:lang w:eastAsia="zh-CN"/>
                <w14:textFill>
                  <w14:solidFill>
                    <w14:schemeClr w14:val="tx1"/>
                  </w14:solidFill>
                </w14:textFill>
              </w:rPr>
              <w:t>福建省漳州市云霄县云陵工业开发区大埔473号</w:t>
            </w:r>
            <w:r>
              <w:rPr>
                <w:rFonts w:hint="eastAsia" w:ascii="Times New Roman" w:eastAsia="宋体"/>
                <w:color w:val="000000" w:themeColor="text1"/>
                <w:sz w:val="24"/>
                <w:szCs w:val="24"/>
                <w:lang w:val="en-US" w:eastAsia="zh-CN"/>
                <w14:textFill>
                  <w14:solidFill>
                    <w14:schemeClr w14:val="tx1"/>
                  </w14:solidFill>
                </w14:textFill>
              </w:rPr>
              <w:t>，</w:t>
            </w:r>
            <w:r>
              <w:rPr>
                <w:rFonts w:hint="default" w:ascii="Times New Roman" w:eastAsia="宋体"/>
                <w:color w:val="000000" w:themeColor="text1"/>
                <w:sz w:val="24"/>
                <w:szCs w:val="24"/>
                <w:lang w:val="en-US" w:eastAsia="zh-CN"/>
                <w14:textFill>
                  <w14:solidFill>
                    <w14:schemeClr w14:val="tx1"/>
                  </w14:solidFill>
                </w14:textFill>
              </w:rPr>
              <w:t>目前</w:t>
            </w:r>
            <w:r>
              <w:rPr>
                <w:rFonts w:hint="eastAsia" w:ascii="Times New Roman" w:eastAsia="宋体"/>
                <w:color w:val="000000" w:themeColor="text1"/>
                <w:sz w:val="24"/>
                <w:szCs w:val="24"/>
                <w:lang w:val="en-US" w:eastAsia="zh-CN"/>
                <w14:textFill>
                  <w14:solidFill>
                    <w14:schemeClr w14:val="tx1"/>
                  </w14:solidFill>
                </w14:textFill>
              </w:rPr>
              <w:t>本</w:t>
            </w:r>
            <w:r>
              <w:rPr>
                <w:rFonts w:hint="default" w:ascii="Times New Roman" w:eastAsia="宋体"/>
                <w:color w:val="000000" w:themeColor="text1"/>
                <w:sz w:val="24"/>
                <w:szCs w:val="24"/>
                <w:lang w:val="en-US" w:eastAsia="zh-CN"/>
                <w14:textFill>
                  <w14:solidFill>
                    <w14:schemeClr w14:val="tx1"/>
                  </w14:solidFill>
                </w14:textFill>
              </w:rPr>
              <w:t>项目</w:t>
            </w:r>
            <w:r>
              <w:rPr>
                <w:rFonts w:hint="eastAsia" w:ascii="Times New Roman"/>
                <w:color w:val="000000" w:themeColor="text1"/>
                <w:sz w:val="24"/>
                <w:szCs w:val="24"/>
                <w:lang w:val="en-US" w:eastAsia="zh-CN"/>
                <w14:textFill>
                  <w14:solidFill>
                    <w14:schemeClr w14:val="tx1"/>
                  </w14:solidFill>
                </w14:textFill>
              </w:rPr>
              <w:t>已建成并投入试生产</w:t>
            </w:r>
            <w:r>
              <w:rPr>
                <w:rFonts w:hint="eastAsia" w:ascii="Times New Roman" w:eastAsia="宋体"/>
                <w:color w:val="000000" w:themeColor="text1"/>
                <w:sz w:val="24"/>
                <w:szCs w:val="24"/>
                <w:lang w:val="en-US" w:eastAsia="zh-CN"/>
                <w14:textFill>
                  <w14:solidFill>
                    <w14:schemeClr w14:val="tx1"/>
                  </w14:solidFill>
                </w14:textFill>
              </w:rPr>
              <w:t>，故本次验收针对</w:t>
            </w:r>
            <w:r>
              <w:rPr>
                <w:rFonts w:hint="eastAsia" w:ascii="Times New Roman"/>
                <w:color w:val="000000" w:themeColor="text1"/>
                <w:sz w:val="24"/>
                <w:szCs w:val="24"/>
                <w:lang w:eastAsia="zh-CN"/>
                <w14:textFill>
                  <w14:solidFill>
                    <w14:schemeClr w14:val="tx1"/>
                  </w14:solidFill>
                </w14:textFill>
              </w:rPr>
              <w:t>福建省金城伟业印刷有限公司金城伟业不干胶标签印刷加工项目</w:t>
            </w:r>
            <w:r>
              <w:rPr>
                <w:rFonts w:hint="eastAsia" w:ascii="Times New Roman" w:eastAsia="宋体"/>
                <w:color w:val="000000" w:themeColor="text1"/>
                <w:sz w:val="24"/>
                <w:szCs w:val="24"/>
                <w:lang w:val="en-US" w:eastAsia="zh-CN"/>
                <w14:textFill>
                  <w14:solidFill>
                    <w14:schemeClr w14:val="tx1"/>
                  </w14:solidFill>
                </w14:textFill>
              </w:rPr>
              <w:t>进行</w:t>
            </w:r>
            <w:r>
              <w:rPr>
                <w:rFonts w:hint="eastAsia" w:ascii="Times New Roman"/>
                <w:color w:val="000000" w:themeColor="text1"/>
                <w:sz w:val="24"/>
                <w:szCs w:val="24"/>
                <w:lang w:val="en-US" w:eastAsia="zh-CN"/>
                <w14:textFill>
                  <w14:solidFill>
                    <w14:schemeClr w14:val="tx1"/>
                  </w14:solidFill>
                </w14:textFill>
              </w:rPr>
              <w:t>整体</w:t>
            </w:r>
            <w:r>
              <w:rPr>
                <w:rFonts w:hint="eastAsia" w:ascii="Times New Roman" w:eastAsia="宋体"/>
                <w:color w:val="000000" w:themeColor="text1"/>
                <w:sz w:val="24"/>
                <w:szCs w:val="24"/>
                <w:lang w:val="en-US" w:eastAsia="zh-CN"/>
                <w14:textFill>
                  <w14:solidFill>
                    <w14:schemeClr w14:val="tx1"/>
                  </w14:solidFill>
                </w14:textFill>
              </w:rPr>
              <w:t>验收</w:t>
            </w:r>
            <w:r>
              <w:rPr>
                <w:rFonts w:hint="default" w:ascii="Times New Roman" w:eastAsia="宋体"/>
                <w:color w:val="000000" w:themeColor="text1"/>
                <w:sz w:val="24"/>
                <w:szCs w:val="24"/>
                <w:lang w:val="en-US" w:eastAsia="zh-CN"/>
                <w14:textFill>
                  <w14:solidFill>
                    <w14:schemeClr w14:val="tx1"/>
                  </w14:solidFill>
                </w14:textFill>
              </w:rPr>
              <w:t>。</w:t>
            </w:r>
          </w:p>
          <w:p>
            <w:pPr>
              <w:pStyle w:val="36"/>
              <w:spacing w:line="360" w:lineRule="auto"/>
              <w:ind w:firstLine="482" w:firstLineChars="200"/>
              <w:jc w:val="left"/>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4、工程变动情况</w:t>
            </w:r>
          </w:p>
          <w:p>
            <w:pPr>
              <w:pStyle w:val="36"/>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表2-</w:t>
            </w:r>
            <w:r>
              <w:rPr>
                <w:rFonts w:hint="eastAsia" w:ascii="Times New Roman" w:hAnsi="Times New Roman" w:cs="Times New Roman"/>
                <w:b/>
                <w:bCs/>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工程变动情况一览表</w:t>
            </w:r>
          </w:p>
          <w:tbl>
            <w:tblPr>
              <w:tblStyle w:val="26"/>
              <w:tblW w:w="820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3"/>
              <w:gridCol w:w="2988"/>
              <w:gridCol w:w="3135"/>
              <w:gridCol w:w="129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项目</w:t>
                  </w:r>
                </w:p>
              </w:tc>
              <w:tc>
                <w:tcPr>
                  <w:tcW w:w="2988"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环评阶段</w:t>
                  </w:r>
                </w:p>
              </w:tc>
              <w:tc>
                <w:tcPr>
                  <w:tcW w:w="3135"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实际建设</w:t>
                  </w:r>
                </w:p>
              </w:tc>
              <w:tc>
                <w:tcPr>
                  <w:tcW w:w="1292"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变更项目及原因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793"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性质</w:t>
                  </w:r>
                </w:p>
              </w:tc>
              <w:tc>
                <w:tcPr>
                  <w:tcW w:w="2988"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新建</w:t>
                  </w:r>
                </w:p>
              </w:tc>
              <w:tc>
                <w:tcPr>
                  <w:tcW w:w="3135"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新建</w:t>
                  </w:r>
                </w:p>
              </w:tc>
              <w:tc>
                <w:tcPr>
                  <w:tcW w:w="1292"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规模</w:t>
                  </w:r>
                </w:p>
              </w:tc>
              <w:tc>
                <w:tcPr>
                  <w:tcW w:w="2988"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年印刷不干胶标签330t</w:t>
                  </w:r>
                </w:p>
              </w:tc>
              <w:tc>
                <w:tcPr>
                  <w:tcW w:w="3135"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ind w:left="0" w:lef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年印刷不干胶标签330t</w:t>
                  </w:r>
                </w:p>
              </w:tc>
              <w:tc>
                <w:tcPr>
                  <w:tcW w:w="1292"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地点</w:t>
                  </w:r>
                </w:p>
              </w:tc>
              <w:tc>
                <w:tcPr>
                  <w:tcW w:w="2988"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福建省漳州市云霄县云陵工业开发区大埔473号</w:t>
                  </w:r>
                </w:p>
              </w:tc>
              <w:tc>
                <w:tcPr>
                  <w:tcW w:w="3135"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福建省漳州市云霄县云陵工业开发区大埔473号</w:t>
                  </w:r>
                </w:p>
              </w:tc>
              <w:tc>
                <w:tcPr>
                  <w:tcW w:w="1292"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793"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生产工艺</w:t>
                  </w:r>
                </w:p>
              </w:tc>
              <w:tc>
                <w:tcPr>
                  <w:tcW w:w="2988" w:type="dxa"/>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textAlignment w:val="auto"/>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不干胶纸→印刷→模切→品检→分条→包装→成品</w:t>
                  </w:r>
                </w:p>
              </w:tc>
              <w:tc>
                <w:tcPr>
                  <w:tcW w:w="3135"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不干胶纸→印刷→模切→品检→分条→包装→成品</w:t>
                  </w:r>
                </w:p>
              </w:tc>
              <w:tc>
                <w:tcPr>
                  <w:tcW w:w="1292"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vMerge w:val="restar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环保措施</w:t>
                  </w:r>
                </w:p>
              </w:tc>
              <w:tc>
                <w:tcPr>
                  <w:tcW w:w="2988"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废水</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lang w:val="zh-CN" w:eastAsia="zh-CN" w:bidi="ar-SA"/>
                      <w14:textFill>
                        <w14:solidFill>
                          <w14:schemeClr w14:val="tx1"/>
                        </w14:solidFill>
                      </w14:textFill>
                    </w:rPr>
                    <w:t>生活污水经化粪池处理后经污水管网进入</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云霄经济开发区污水处理厂</w:t>
                  </w:r>
                </w:p>
              </w:tc>
              <w:tc>
                <w:tcPr>
                  <w:tcW w:w="3135"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废水：</w:t>
                  </w:r>
                  <w:r>
                    <w:rPr>
                      <w:rFonts w:hint="default" w:ascii="Times New Roman" w:hAnsi="Times New Roman" w:eastAsia="宋体" w:cs="Times New Roman"/>
                      <w:color w:val="000000" w:themeColor="text1"/>
                      <w:kern w:val="0"/>
                      <w:sz w:val="21"/>
                      <w:szCs w:val="21"/>
                      <w:lang w:val="zh-CN" w:eastAsia="zh-CN" w:bidi="ar-SA"/>
                      <w14:textFill>
                        <w14:solidFill>
                          <w14:schemeClr w14:val="tx1"/>
                        </w14:solidFill>
                      </w14:textFill>
                    </w:rPr>
                    <w:t>生活污水经化粪池处理后经污水管网进入</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云霄经济开发区污水处理厂</w:t>
                  </w:r>
                </w:p>
              </w:tc>
              <w:tc>
                <w:tcPr>
                  <w:tcW w:w="1292" w:type="dxa"/>
                  <w:vMerge w:val="restar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color w:val="000000" w:themeColor="text1"/>
                      <w14:textFill>
                        <w14:solidFill>
                          <w14:schemeClr w14:val="tx1"/>
                        </w14:solidFill>
                      </w14:textFill>
                    </w:rPr>
                  </w:pPr>
                </w:p>
              </w:tc>
              <w:tc>
                <w:tcPr>
                  <w:tcW w:w="2988"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废气：</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在产生有机废气的生产设备上设置集气罩，废气经统一收集后由10000m3/h 的风机引至“活性炭吸附装置”处理后由1 根15m高排气筒排放，未收集部分呈无组织形式排放。</w:t>
                  </w:r>
                </w:p>
              </w:tc>
              <w:tc>
                <w:tcPr>
                  <w:tcW w:w="3135"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废气：</w:t>
                  </w:r>
                  <w:r>
                    <w:rPr>
                      <w:rFonts w:hint="default" w:ascii="Times New Roman" w:hAnsi="Times New Roman" w:eastAsia="宋体" w:cs="Times New Roman"/>
                      <w:color w:val="000000" w:themeColor="text1"/>
                      <w:kern w:val="0"/>
                      <w:sz w:val="21"/>
                      <w:szCs w:val="21"/>
                      <w:lang w:val="zh-CN" w:eastAsia="zh-CN" w:bidi="ar-SA"/>
                      <w14:textFill>
                        <w14:solidFill>
                          <w14:schemeClr w14:val="tx1"/>
                        </w14:solidFill>
                      </w14:textFill>
                    </w:rPr>
                    <w:t>在产生有机废气的生产设备上设置集气罩，废气经统一收集后由“活性炭吸附装置”处理后由1 根</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15</w:t>
                  </w:r>
                  <w:r>
                    <w:rPr>
                      <w:rFonts w:hint="default" w:ascii="Times New Roman" w:hAnsi="Times New Roman" w:eastAsia="宋体" w:cs="Times New Roman"/>
                      <w:color w:val="000000" w:themeColor="text1"/>
                      <w:kern w:val="0"/>
                      <w:sz w:val="21"/>
                      <w:szCs w:val="21"/>
                      <w:lang w:val="zh-CN" w:eastAsia="zh-CN" w:bidi="ar-SA"/>
                      <w14:textFill>
                        <w14:solidFill>
                          <w14:schemeClr w14:val="tx1"/>
                        </w14:solidFill>
                      </w14:textFill>
                    </w:rPr>
                    <w:t>m高排气筒排放，未收集部分呈无组织形式排放。</w:t>
                  </w:r>
                </w:p>
              </w:tc>
              <w:tc>
                <w:tcPr>
                  <w:tcW w:w="12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0000FF"/>
                      <w:kern w:val="0"/>
                      <w:sz w:val="21"/>
                      <w:szCs w:val="21"/>
                      <w:lang w:val="en-US" w:eastAsia="zh-CN" w:bidi="ar-SA"/>
                    </w:rPr>
                  </w:pPr>
                </w:p>
              </w:tc>
              <w:tc>
                <w:tcPr>
                  <w:tcW w:w="2988"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噪声：</w:t>
                  </w:r>
                  <w:r>
                    <w:rPr>
                      <w:bCs/>
                      <w:color w:val="000000" w:themeColor="text1"/>
                      <w:spacing w:val="-6"/>
                      <w:sz w:val="21"/>
                      <w:szCs w:val="21"/>
                      <w:highlight w:val="none"/>
                      <w14:textFill>
                        <w14:solidFill>
                          <w14:schemeClr w14:val="tx1"/>
                        </w14:solidFill>
                      </w14:textFill>
                    </w:rPr>
                    <w:t>采用减振、墙体隔声及距离衰减</w:t>
                  </w:r>
                </w:p>
              </w:tc>
              <w:tc>
                <w:tcPr>
                  <w:tcW w:w="3135"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噪声：</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通过合理布局，使高噪声设备远离厂界；对噪声值较高的设备基座底部安装减振垫等；定期检查并调整好运动机器部件的静平衡与动平衡的动力，加强设备维护，使其处于良好运行状态，以此来降低环境噪声污染</w:t>
                  </w: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w:t>
                  </w:r>
                </w:p>
              </w:tc>
              <w:tc>
                <w:tcPr>
                  <w:tcW w:w="12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0000FF"/>
                      <w:kern w:val="0"/>
                      <w:sz w:val="21"/>
                      <w:szCs w:val="21"/>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0000FF"/>
                      <w:kern w:val="0"/>
                      <w:sz w:val="21"/>
                      <w:szCs w:val="21"/>
                      <w:lang w:val="en-US" w:eastAsia="zh-CN" w:bidi="ar-SA"/>
                    </w:rPr>
                  </w:pPr>
                </w:p>
              </w:tc>
              <w:tc>
                <w:tcPr>
                  <w:tcW w:w="2988" w:type="dxa"/>
                  <w:tcBorders>
                    <w:tl2br w:val="nil"/>
                    <w:tr2bl w:val="nil"/>
                  </w:tcBorders>
                  <w:vAlign w:val="center"/>
                </w:tcPr>
                <w:p>
                  <w:pPr>
                    <w:pStyle w:val="7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Times New Roman" w:hAnsi="Times New Roman" w:eastAsia="宋体" w:cs="Times New Roman"/>
                      <w:snapToGrid/>
                      <w:color w:val="000000" w:themeColor="text1"/>
                      <w:kern w:val="0"/>
                      <w:sz w:val="21"/>
                      <w:szCs w:val="21"/>
                      <w:lang w:val="en-GB" w:eastAsia="zh-CN" w:bidi="ar-SA"/>
                      <w14:textFill>
                        <w14:solidFill>
                          <w14:schemeClr w14:val="tx1"/>
                        </w14:solidFill>
                      </w14:textFill>
                    </w:rPr>
                  </w:pPr>
                  <w:r>
                    <w:rPr>
                      <w:rFonts w:hint="default" w:ascii="Times New Roman" w:hAnsi="Times New Roman" w:eastAsia="宋体" w:cs="Times New Roman"/>
                      <w:b/>
                      <w:bCs/>
                      <w:snapToGrid/>
                      <w:color w:val="000000" w:themeColor="text1"/>
                      <w:kern w:val="0"/>
                      <w:sz w:val="21"/>
                      <w:szCs w:val="21"/>
                      <w:lang w:val="en-US" w:eastAsia="zh-CN" w:bidi="ar-SA"/>
                      <w14:textFill>
                        <w14:solidFill>
                          <w14:schemeClr w14:val="tx1"/>
                        </w14:solidFill>
                      </w14:textFill>
                    </w:rPr>
                    <w:t>固废：</w:t>
                  </w:r>
                  <w:r>
                    <w:rPr>
                      <w:rFonts w:hint="default" w:ascii="Times New Roman" w:hAnsi="Times New Roman" w:eastAsia="宋体" w:cs="Times New Roman"/>
                      <w:snapToGrid/>
                      <w:color w:val="000000" w:themeColor="text1"/>
                      <w:kern w:val="0"/>
                      <w:sz w:val="21"/>
                      <w:szCs w:val="21"/>
                      <w:lang w:val="en-GB" w:eastAsia="zh-CN" w:bidi="ar-SA"/>
                      <w14:textFill>
                        <w14:solidFill>
                          <w14:schemeClr w14:val="tx1"/>
                        </w14:solidFill>
                      </w14:textFill>
                    </w:rPr>
                    <w:t>项目职工</w:t>
                  </w:r>
                  <w:r>
                    <w:rPr>
                      <w:rFonts w:hint="default" w:ascii="Times New Roman" w:hAnsi="Times New Roman" w:eastAsia="宋体" w:cs="Times New Roman"/>
                      <w:snapToGrid/>
                      <w:color w:val="000000" w:themeColor="text1"/>
                      <w:kern w:val="0"/>
                      <w:sz w:val="21"/>
                      <w:szCs w:val="21"/>
                      <w:lang w:val="en-US" w:eastAsia="zh-CN" w:bidi="ar-SA"/>
                      <w14:textFill>
                        <w14:solidFill>
                          <w14:schemeClr w14:val="tx1"/>
                        </w14:solidFill>
                      </w14:textFill>
                    </w:rPr>
                    <w:t>15</w:t>
                  </w:r>
                  <w:r>
                    <w:rPr>
                      <w:rFonts w:hint="default" w:ascii="Times New Roman" w:hAnsi="Times New Roman" w:eastAsia="宋体" w:cs="Times New Roman"/>
                      <w:snapToGrid/>
                      <w:color w:val="000000" w:themeColor="text1"/>
                      <w:kern w:val="0"/>
                      <w:sz w:val="21"/>
                      <w:szCs w:val="21"/>
                      <w:lang w:val="en-GB" w:eastAsia="zh-CN" w:bidi="ar-SA"/>
                      <w14:textFill>
                        <w14:solidFill>
                          <w14:schemeClr w14:val="tx1"/>
                        </w14:solidFill>
                      </w14:textFill>
                    </w:rPr>
                    <w:t>人，不住厂员工生活垃圾产生量按照每人0.5kg/d，年工作300d，则年产生量约为</w:t>
                  </w:r>
                  <w:r>
                    <w:rPr>
                      <w:rFonts w:hint="default" w:ascii="Times New Roman" w:hAnsi="Times New Roman" w:eastAsia="宋体" w:cs="Times New Roman"/>
                      <w:snapToGrid/>
                      <w:color w:val="000000" w:themeColor="text1"/>
                      <w:kern w:val="0"/>
                      <w:sz w:val="21"/>
                      <w:szCs w:val="21"/>
                      <w:lang w:val="en-US" w:eastAsia="zh-CN" w:bidi="ar-SA"/>
                      <w14:textFill>
                        <w14:solidFill>
                          <w14:schemeClr w14:val="tx1"/>
                        </w14:solidFill>
                      </w14:textFill>
                    </w:rPr>
                    <w:t>2.25</w:t>
                  </w:r>
                  <w:r>
                    <w:rPr>
                      <w:rFonts w:hint="default" w:ascii="Times New Roman" w:hAnsi="Times New Roman" w:eastAsia="宋体" w:cs="Times New Roman"/>
                      <w:snapToGrid/>
                      <w:color w:val="000000" w:themeColor="text1"/>
                      <w:kern w:val="0"/>
                      <w:sz w:val="21"/>
                      <w:szCs w:val="21"/>
                      <w:lang w:val="en-GB" w:eastAsia="zh-CN" w:bidi="ar-SA"/>
                      <w14:textFill>
                        <w14:solidFill>
                          <w14:schemeClr w14:val="tx1"/>
                        </w14:solidFill>
                      </w14:textFill>
                    </w:rPr>
                    <w:t>t/a，生活垃圾分类收集后统一交由环卫部门清运处置。项目模切、品检、分条过程会产生边角料和不合格品，产生量约为13t/</w:t>
                  </w:r>
                  <w:r>
                    <w:rPr>
                      <w:rFonts w:hint="default" w:ascii="Times New Roman" w:hAnsi="Times New Roman" w:eastAsia="宋体" w:cs="Times New Roman"/>
                      <w:snapToGrid/>
                      <w:color w:val="000000" w:themeColor="text1"/>
                      <w:kern w:val="0"/>
                      <w:sz w:val="21"/>
                      <w:szCs w:val="21"/>
                      <w:lang w:val="en-US" w:eastAsia="zh-CN" w:bidi="ar-SA"/>
                      <w14:textFill>
                        <w14:solidFill>
                          <w14:schemeClr w14:val="tx1"/>
                        </w14:solidFill>
                      </w14:textFill>
                    </w:rPr>
                    <w:t>a</w:t>
                  </w:r>
                  <w:r>
                    <w:rPr>
                      <w:rFonts w:hint="default" w:ascii="Times New Roman" w:hAnsi="Times New Roman" w:eastAsia="宋体" w:cs="Times New Roman"/>
                      <w:snapToGrid/>
                      <w:color w:val="000000" w:themeColor="text1"/>
                      <w:kern w:val="0"/>
                      <w:sz w:val="21"/>
                      <w:szCs w:val="21"/>
                      <w:lang w:val="en-GB" w:eastAsia="zh-CN" w:bidi="ar-SA"/>
                      <w14:textFill>
                        <w14:solidFill>
                          <w14:schemeClr w14:val="tx1"/>
                        </w14:solidFill>
                      </w14:textFill>
                    </w:rPr>
                    <w:t>，交由相关物资回收部门回收。</w:t>
                  </w:r>
                  <w:r>
                    <w:rPr>
                      <w:rFonts w:hint="default" w:ascii="Times New Roman" w:hAnsi="Times New Roman" w:eastAsia="宋体" w:cs="Times New Roman"/>
                      <w:snapToGrid/>
                      <w:color w:val="000000" w:themeColor="text1"/>
                      <w:kern w:val="0"/>
                      <w:sz w:val="21"/>
                      <w:szCs w:val="21"/>
                      <w:lang w:val="en-US" w:eastAsia="zh-CN" w:bidi="ar-SA"/>
                      <w14:textFill>
                        <w14:solidFill>
                          <w14:schemeClr w14:val="tx1"/>
                        </w14:solidFill>
                      </w14:textFill>
                    </w:rPr>
                    <w:t>废酒精抹布：</w:t>
                  </w:r>
                  <w:r>
                    <w:rPr>
                      <w:rFonts w:hint="default" w:ascii="Times New Roman" w:hAnsi="Times New Roman" w:eastAsia="宋体" w:cs="Times New Roman"/>
                      <w:snapToGrid/>
                      <w:color w:val="000000" w:themeColor="text1"/>
                      <w:kern w:val="0"/>
                      <w:sz w:val="21"/>
                      <w:szCs w:val="21"/>
                      <w:lang w:val="en-GB" w:eastAsia="zh-CN" w:bidi="ar-SA"/>
                      <w14:textFill>
                        <w14:solidFill>
                          <w14:schemeClr w14:val="tx1"/>
                        </w14:solidFill>
                      </w14:textFill>
                    </w:rPr>
                    <w:t>项目运营期机台擦拭过程产生的沾有废酒精抹布，属于危险废物，废物类别为HW49其他废物，废物代码为900-041-49，产生量约为0.1t/a，集中收集后委托有资质的单位处理。</w:t>
                  </w:r>
                </w:p>
                <w:p>
                  <w:pPr>
                    <w:pStyle w:val="7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Times New Roman" w:hAnsi="Times New Roman" w:eastAsia="宋体" w:cs="Times New Roman"/>
                      <w:snapToGrid/>
                      <w:color w:val="000000" w:themeColor="text1"/>
                      <w:kern w:val="0"/>
                      <w:sz w:val="21"/>
                      <w:szCs w:val="21"/>
                      <w:lang w:val="en-GB" w:eastAsia="zh-CN" w:bidi="ar-SA"/>
                      <w14:textFill>
                        <w14:solidFill>
                          <w14:schemeClr w14:val="tx1"/>
                        </w14:solidFill>
                      </w14:textFill>
                    </w:rPr>
                  </w:pPr>
                  <w:r>
                    <w:rPr>
                      <w:rFonts w:hint="default" w:ascii="Times New Roman" w:hAnsi="Times New Roman" w:eastAsia="宋体" w:cs="Times New Roman"/>
                      <w:snapToGrid/>
                      <w:color w:val="000000" w:themeColor="text1"/>
                      <w:kern w:val="0"/>
                      <w:sz w:val="21"/>
                      <w:szCs w:val="21"/>
                      <w:lang w:val="en-GB" w:eastAsia="zh-CN" w:bidi="ar-SA"/>
                      <w14:textFill>
                        <w14:solidFill>
                          <w14:schemeClr w14:val="tx1"/>
                        </w14:solidFill>
                      </w14:textFill>
                    </w:rPr>
                    <w:t>废活性炭：项目挥发性有机废气采用活性炭吸附装置处理，活性炭需定期更换，本项目全年废活性炭年产生量约</w:t>
                  </w:r>
                  <w:r>
                    <w:rPr>
                      <w:rFonts w:hint="default" w:ascii="Times New Roman" w:hAnsi="Times New Roman" w:eastAsia="宋体" w:cs="Times New Roman"/>
                      <w:snapToGrid/>
                      <w:color w:val="000000" w:themeColor="text1"/>
                      <w:kern w:val="0"/>
                      <w:sz w:val="21"/>
                      <w:szCs w:val="21"/>
                      <w:lang w:val="en-US" w:eastAsia="zh-CN" w:bidi="ar-SA"/>
                      <w14:textFill>
                        <w14:solidFill>
                          <w14:schemeClr w14:val="tx1"/>
                        </w14:solidFill>
                      </w14:textFill>
                    </w:rPr>
                    <w:t>2.0</w:t>
                  </w:r>
                  <w:r>
                    <w:rPr>
                      <w:rFonts w:hint="default" w:ascii="Times New Roman" w:hAnsi="Times New Roman" w:eastAsia="宋体" w:cs="Times New Roman"/>
                      <w:snapToGrid/>
                      <w:color w:val="000000" w:themeColor="text1"/>
                      <w:kern w:val="0"/>
                      <w:sz w:val="21"/>
                      <w:szCs w:val="21"/>
                      <w:lang w:val="en-GB" w:eastAsia="zh-CN" w:bidi="ar-SA"/>
                      <w14:textFill>
                        <w14:solidFill>
                          <w14:schemeClr w14:val="tx1"/>
                        </w14:solidFill>
                      </w14:textFill>
                    </w:rPr>
                    <w:t>t(含吸附的挥发性有机废气量)，废活性炭属于危险废物，危废编号为HW</w:t>
                  </w:r>
                  <w:r>
                    <w:rPr>
                      <w:rFonts w:hint="default" w:ascii="Times New Roman" w:hAnsi="Times New Roman" w:eastAsia="宋体" w:cs="Times New Roman"/>
                      <w:snapToGrid/>
                      <w:color w:val="000000" w:themeColor="text1"/>
                      <w:kern w:val="0"/>
                      <w:sz w:val="21"/>
                      <w:szCs w:val="21"/>
                      <w:lang w:val="en-US" w:eastAsia="zh-CN" w:bidi="ar-SA"/>
                      <w14:textFill>
                        <w14:solidFill>
                          <w14:schemeClr w14:val="tx1"/>
                        </w14:solidFill>
                      </w14:textFill>
                    </w:rPr>
                    <w:t>49</w:t>
                  </w:r>
                  <w:r>
                    <w:rPr>
                      <w:rFonts w:hint="default" w:ascii="Times New Roman" w:hAnsi="Times New Roman" w:eastAsia="宋体" w:cs="Times New Roman"/>
                      <w:snapToGrid/>
                      <w:color w:val="000000" w:themeColor="text1"/>
                      <w:kern w:val="0"/>
                      <w:sz w:val="21"/>
                      <w:szCs w:val="21"/>
                      <w:lang w:val="en-GB" w:eastAsia="zh-CN" w:bidi="ar-SA"/>
                      <w14:textFill>
                        <w14:solidFill>
                          <w14:schemeClr w14:val="tx1"/>
                        </w14:solidFill>
                      </w14:textFill>
                    </w:rPr>
                    <w:t>，代码为：900-0</w:t>
                  </w:r>
                  <w:r>
                    <w:rPr>
                      <w:rFonts w:hint="default" w:ascii="Times New Roman" w:hAnsi="Times New Roman" w:eastAsia="宋体" w:cs="Times New Roman"/>
                      <w:snapToGrid/>
                      <w:color w:val="000000" w:themeColor="text1"/>
                      <w:kern w:val="0"/>
                      <w:sz w:val="21"/>
                      <w:szCs w:val="21"/>
                      <w:lang w:val="en-US" w:eastAsia="zh-CN" w:bidi="ar-SA"/>
                      <w14:textFill>
                        <w14:solidFill>
                          <w14:schemeClr w14:val="tx1"/>
                        </w14:solidFill>
                      </w14:textFill>
                    </w:rPr>
                    <w:t>39</w:t>
                  </w:r>
                  <w:r>
                    <w:rPr>
                      <w:rFonts w:hint="default" w:ascii="Times New Roman" w:hAnsi="Times New Roman" w:eastAsia="宋体" w:cs="Times New Roman"/>
                      <w:snapToGrid/>
                      <w:color w:val="000000" w:themeColor="text1"/>
                      <w:kern w:val="0"/>
                      <w:sz w:val="21"/>
                      <w:szCs w:val="21"/>
                      <w:lang w:val="en-GB" w:eastAsia="zh-CN" w:bidi="ar-SA"/>
                      <w14:textFill>
                        <w14:solidFill>
                          <w14:schemeClr w14:val="tx1"/>
                        </w14:solidFill>
                      </w14:textFill>
                    </w:rPr>
                    <w:t>-49，集中收集后委托有资质的单位处理。</w:t>
                  </w:r>
                </w:p>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0"/>
                      <w:sz w:val="21"/>
                      <w:szCs w:val="21"/>
                      <w:lang w:val="en-GB" w:eastAsia="zh-CN" w:bidi="ar-SA"/>
                      <w14:textFill>
                        <w14:solidFill>
                          <w14:schemeClr w14:val="tx1"/>
                        </w14:solidFill>
                      </w14:textFill>
                    </w:rPr>
                    <w:t>废油墨包装罐：项目运营期使用的UV油墨为1kg/铁罐包装，则产生UV空铁罐约</w:t>
                  </w:r>
                  <w:r>
                    <w:rPr>
                      <w:rFonts w:hint="default" w:ascii="Times New Roman" w:hAnsi="Times New Roman" w:eastAsia="宋体" w:cs="Times New Roman"/>
                      <w:snapToGrid/>
                      <w:color w:val="000000" w:themeColor="text1"/>
                      <w:kern w:val="0"/>
                      <w:sz w:val="21"/>
                      <w:szCs w:val="21"/>
                      <w:lang w:val="en-US" w:eastAsia="zh-CN" w:bidi="ar-SA"/>
                      <w14:textFill>
                        <w14:solidFill>
                          <w14:schemeClr w14:val="tx1"/>
                        </w14:solidFill>
                      </w14:textFill>
                    </w:rPr>
                    <w:t>650</w:t>
                  </w:r>
                  <w:r>
                    <w:rPr>
                      <w:rFonts w:hint="default" w:ascii="Times New Roman" w:hAnsi="Times New Roman" w:eastAsia="宋体" w:cs="Times New Roman"/>
                      <w:snapToGrid/>
                      <w:color w:val="000000" w:themeColor="text1"/>
                      <w:kern w:val="0"/>
                      <w:sz w:val="21"/>
                      <w:szCs w:val="21"/>
                      <w:lang w:val="en-GB" w:eastAsia="zh-CN" w:bidi="ar-SA"/>
                      <w14:textFill>
                        <w14:solidFill>
                          <w14:schemeClr w14:val="tx1"/>
                        </w14:solidFill>
                      </w14:textFill>
                    </w:rPr>
                    <w:t>个，产生量约为0.0</w:t>
                  </w:r>
                  <w:r>
                    <w:rPr>
                      <w:rFonts w:hint="default" w:ascii="Times New Roman" w:hAnsi="Times New Roman" w:eastAsia="宋体" w:cs="Times New Roman"/>
                      <w:snapToGrid/>
                      <w:color w:val="000000" w:themeColor="text1"/>
                      <w:kern w:val="0"/>
                      <w:sz w:val="21"/>
                      <w:szCs w:val="21"/>
                      <w:lang w:val="en-US" w:eastAsia="zh-CN" w:bidi="ar-SA"/>
                      <w14:textFill>
                        <w14:solidFill>
                          <w14:schemeClr w14:val="tx1"/>
                        </w14:solidFill>
                      </w14:textFill>
                    </w:rPr>
                    <w:t>65</w:t>
                  </w:r>
                  <w:r>
                    <w:rPr>
                      <w:rFonts w:hint="default" w:ascii="Times New Roman" w:hAnsi="Times New Roman" w:eastAsia="宋体" w:cs="Times New Roman"/>
                      <w:snapToGrid/>
                      <w:color w:val="000000" w:themeColor="text1"/>
                      <w:kern w:val="0"/>
                      <w:sz w:val="21"/>
                      <w:szCs w:val="21"/>
                      <w:lang w:val="en-GB" w:eastAsia="zh-CN" w:bidi="ar-SA"/>
                      <w14:textFill>
                        <w14:solidFill>
                          <w14:schemeClr w14:val="tx1"/>
                        </w14:solidFill>
                      </w14:textFill>
                    </w:rPr>
                    <w:t>t/a ，属危险废物，危废编号为HW</w:t>
                  </w:r>
                  <w:r>
                    <w:rPr>
                      <w:rFonts w:hint="default" w:ascii="Times New Roman" w:hAnsi="Times New Roman" w:eastAsia="宋体" w:cs="Times New Roman"/>
                      <w:snapToGrid/>
                      <w:color w:val="000000" w:themeColor="text1"/>
                      <w:kern w:val="0"/>
                      <w:sz w:val="21"/>
                      <w:szCs w:val="21"/>
                      <w:lang w:val="en-US" w:eastAsia="zh-CN" w:bidi="ar-SA"/>
                      <w14:textFill>
                        <w14:solidFill>
                          <w14:schemeClr w14:val="tx1"/>
                        </w14:solidFill>
                      </w14:textFill>
                    </w:rPr>
                    <w:t>49</w:t>
                  </w:r>
                  <w:r>
                    <w:rPr>
                      <w:rFonts w:hint="default" w:ascii="Times New Roman" w:hAnsi="Times New Roman" w:eastAsia="宋体" w:cs="Times New Roman"/>
                      <w:snapToGrid/>
                      <w:color w:val="000000" w:themeColor="text1"/>
                      <w:kern w:val="0"/>
                      <w:sz w:val="21"/>
                      <w:szCs w:val="21"/>
                      <w:lang w:val="en-GB" w:eastAsia="zh-CN" w:bidi="ar-SA"/>
                      <w14:textFill>
                        <w14:solidFill>
                          <w14:schemeClr w14:val="tx1"/>
                        </w14:solidFill>
                      </w14:textFill>
                    </w:rPr>
                    <w:t>，代码为：900-0</w:t>
                  </w:r>
                  <w:r>
                    <w:rPr>
                      <w:rFonts w:hint="default" w:ascii="Times New Roman" w:hAnsi="Times New Roman" w:eastAsia="宋体" w:cs="Times New Roman"/>
                      <w:snapToGrid/>
                      <w:color w:val="000000" w:themeColor="text1"/>
                      <w:kern w:val="0"/>
                      <w:sz w:val="21"/>
                      <w:szCs w:val="21"/>
                      <w:lang w:val="en-US" w:eastAsia="zh-CN" w:bidi="ar-SA"/>
                      <w14:textFill>
                        <w14:solidFill>
                          <w14:schemeClr w14:val="tx1"/>
                        </w14:solidFill>
                      </w14:textFill>
                    </w:rPr>
                    <w:t>41</w:t>
                  </w:r>
                  <w:r>
                    <w:rPr>
                      <w:rFonts w:hint="default" w:ascii="Times New Roman" w:hAnsi="Times New Roman" w:eastAsia="宋体" w:cs="Times New Roman"/>
                      <w:snapToGrid/>
                      <w:color w:val="000000" w:themeColor="text1"/>
                      <w:kern w:val="0"/>
                      <w:sz w:val="21"/>
                      <w:szCs w:val="21"/>
                      <w:lang w:val="en-GB" w:eastAsia="zh-CN" w:bidi="ar-SA"/>
                      <w14:textFill>
                        <w14:solidFill>
                          <w14:schemeClr w14:val="tx1"/>
                        </w14:solidFill>
                      </w14:textFill>
                    </w:rPr>
                    <w:t>-49，统一收集后委托有资质的单位处理。</w:t>
                  </w:r>
                </w:p>
              </w:tc>
              <w:tc>
                <w:tcPr>
                  <w:tcW w:w="31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0000FF"/>
                      <w:kern w:val="0"/>
                      <w:sz w:val="21"/>
                      <w:szCs w:val="21"/>
                      <w:lang w:val="en-US" w:eastAsia="zh-CN" w:bidi="ar-SA"/>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固废：</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生活垃圾收集后由环卫部门统一清运处理</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0"/>
                      <w:sz w:val="21"/>
                      <w:szCs w:val="21"/>
                      <w:lang w:val="en-GB" w:eastAsia="zh-CN" w:bidi="ar-SA"/>
                      <w14:textFill>
                        <w14:solidFill>
                          <w14:schemeClr w14:val="tx1"/>
                        </w14:solidFill>
                      </w14:textFill>
                    </w:rPr>
                    <w:t>项目模切、品检、分条过程会产生边角料和不合格品，</w:t>
                  </w:r>
                  <w:r>
                    <w:rPr>
                      <w:rFonts w:hint="default" w:ascii="Times New Roman" w:hAnsi="Times New Roman" w:eastAsia="宋体" w:cs="Times New Roman"/>
                      <w:color w:val="000000" w:themeColor="text1"/>
                      <w:kern w:val="0"/>
                      <w:sz w:val="21"/>
                      <w:szCs w:val="21"/>
                      <w:lang w:val="en-GB" w:eastAsia="zh-CN" w:bidi="ar-SA"/>
                      <w14:textFill>
                        <w14:solidFill>
                          <w14:schemeClr w14:val="tx1"/>
                        </w14:solidFill>
                      </w14:textFill>
                    </w:rPr>
                    <w:t>由相关单位回收利用，不外排</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0"/>
                      <w:sz w:val="21"/>
                      <w:szCs w:val="21"/>
                      <w:lang w:val="en-US" w:eastAsia="zh-CN" w:bidi="ar-SA"/>
                      <w14:textFill>
                        <w14:solidFill>
                          <w14:schemeClr w14:val="tx1"/>
                        </w14:solidFill>
                      </w14:textFill>
                    </w:rPr>
                    <w:t>废酒精抹布</w:t>
                  </w:r>
                  <w:r>
                    <w:rPr>
                      <w:rFonts w:hint="eastAsia" w:ascii="Times New Roman" w:hAnsi="Times New Roman" w:eastAsia="宋体" w:cs="Times New Roman"/>
                      <w:snapToGrid/>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0"/>
                      <w:sz w:val="21"/>
                      <w:szCs w:val="21"/>
                      <w:lang w:val="en-GB" w:eastAsia="zh-CN" w:bidi="ar-SA"/>
                      <w14:textFill>
                        <w14:solidFill>
                          <w14:schemeClr w14:val="tx1"/>
                        </w14:solidFill>
                      </w14:textFill>
                    </w:rPr>
                    <w:t>废活性炭</w:t>
                  </w:r>
                  <w:r>
                    <w:rPr>
                      <w:rFonts w:hint="eastAsia" w:ascii="Times New Roman" w:hAnsi="Times New Roman" w:eastAsia="宋体" w:cs="Times New Roman"/>
                      <w:snapToGrid/>
                      <w:color w:val="000000" w:themeColor="text1"/>
                      <w:kern w:val="0"/>
                      <w:sz w:val="21"/>
                      <w:szCs w:val="21"/>
                      <w:lang w:val="en-GB" w:eastAsia="zh-CN" w:bidi="ar-SA"/>
                      <w14:textFill>
                        <w14:solidFill>
                          <w14:schemeClr w14:val="tx1"/>
                        </w14:solidFill>
                      </w14:textFill>
                    </w:rPr>
                    <w:t>、</w:t>
                  </w:r>
                  <w:r>
                    <w:rPr>
                      <w:rFonts w:hint="default" w:ascii="Times New Roman" w:hAnsi="Times New Roman" w:eastAsia="宋体" w:cs="Times New Roman"/>
                      <w:snapToGrid/>
                      <w:color w:val="000000" w:themeColor="text1"/>
                      <w:kern w:val="0"/>
                      <w:sz w:val="21"/>
                      <w:szCs w:val="21"/>
                      <w:lang w:val="en-GB" w:eastAsia="zh-CN" w:bidi="ar-SA"/>
                      <w14:textFill>
                        <w14:solidFill>
                          <w14:schemeClr w14:val="tx1"/>
                        </w14:solidFill>
                      </w14:textFill>
                    </w:rPr>
                    <w:t>废油墨包装罐</w:t>
                  </w:r>
                  <w:r>
                    <w:rPr>
                      <w:rFonts w:hint="eastAsia" w:ascii="Times New Roman" w:hAnsi="Times New Roman" w:eastAsia="宋体" w:cs="Times New Roman"/>
                      <w:snapToGrid/>
                      <w:color w:val="000000" w:themeColor="text1"/>
                      <w:kern w:val="0"/>
                      <w:sz w:val="21"/>
                      <w:szCs w:val="21"/>
                      <w:lang w:val="en-US" w:eastAsia="zh-CN" w:bidi="ar-SA"/>
                      <w14:textFill>
                        <w14:solidFill>
                          <w14:schemeClr w14:val="tx1"/>
                        </w14:solidFill>
                      </w14:textFill>
                    </w:rPr>
                    <w:t>属于危险废物，现</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暂存于危废暂存间，一定量后委托有资质单位处理。</w:t>
                  </w:r>
                </w:p>
              </w:tc>
              <w:tc>
                <w:tcPr>
                  <w:tcW w:w="12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0000FF"/>
                      <w:kern w:val="0"/>
                      <w:sz w:val="21"/>
                      <w:szCs w:val="21"/>
                      <w:lang w:val="en-US" w:eastAsia="zh-CN" w:bidi="ar-SA"/>
                    </w:rPr>
                  </w:pPr>
                </w:p>
              </w:tc>
            </w:tr>
          </w:tbl>
          <w:p>
            <w:pPr>
              <w:pStyle w:val="36"/>
              <w:spacing w:line="360" w:lineRule="auto"/>
              <w:ind w:firstLine="480" w:firstLineChars="200"/>
              <w:jc w:val="both"/>
              <w:rPr>
                <w:rFonts w:ascii="Times New Roman" w:hAnsi="Times New Roman" w:eastAsia="宋体" w:cs="Times New Roman"/>
                <w:b w:val="0"/>
                <w:color w:val="000000" w:themeColor="text1"/>
                <w:sz w:val="24"/>
                <w:szCs w:val="24"/>
                <w:lang w:val="en-US" w:eastAsia="zh-CN" w:bidi="ar-SA"/>
                <w14:textFill>
                  <w14:solidFill>
                    <w14:schemeClr w14:val="tx1"/>
                  </w14:solidFill>
                </w14:textFill>
              </w:rPr>
            </w:pPr>
            <w:r>
              <w:rPr>
                <w:rFonts w:ascii="Times New Roman" w:hAnsi="Times New Roman" w:eastAsia="宋体" w:cs="Times New Roman"/>
                <w:b w:val="0"/>
                <w:color w:val="000000" w:themeColor="text1"/>
                <w:sz w:val="24"/>
                <w:szCs w:val="24"/>
                <w:lang w:val="en-US" w:eastAsia="zh-CN" w:bidi="ar-SA"/>
                <w14:textFill>
                  <w14:solidFill>
                    <w14:schemeClr w14:val="tx1"/>
                  </w14:solidFill>
                </w14:textFill>
              </w:rPr>
              <w:t>根据项目实际建设情况，经过与《污染影响类建设项目重大变动清单（试行）》</w:t>
            </w:r>
            <w:r>
              <w:rPr>
                <w:rFonts w:hint="eastAsia" w:ascii="Times New Roman" w:hAnsi="Times New Roman" w:eastAsia="宋体" w:cs="Times New Roman"/>
                <w:b w:val="0"/>
                <w:color w:val="000000" w:themeColor="text1"/>
                <w:sz w:val="24"/>
                <w:szCs w:val="24"/>
                <w:lang w:val="en-US" w:eastAsia="zh-CN" w:bidi="ar-SA"/>
                <w14:textFill>
                  <w14:solidFill>
                    <w14:schemeClr w14:val="tx1"/>
                  </w14:solidFill>
                </w14:textFill>
              </w:rPr>
              <w:t>（环办环评函[2020]688号）</w:t>
            </w:r>
            <w:r>
              <w:rPr>
                <w:rFonts w:ascii="Times New Roman" w:hAnsi="Times New Roman" w:eastAsia="宋体" w:cs="Times New Roman"/>
                <w:b w:val="0"/>
                <w:color w:val="000000" w:themeColor="text1"/>
                <w:sz w:val="24"/>
                <w:szCs w:val="24"/>
                <w:lang w:val="en-US" w:eastAsia="zh-CN" w:bidi="ar-SA"/>
                <w14:textFill>
                  <w14:solidFill>
                    <w14:schemeClr w14:val="tx1"/>
                  </w14:solidFill>
                </w14:textFill>
              </w:rPr>
              <w:t>的</w:t>
            </w:r>
            <w:r>
              <w:rPr>
                <w:rFonts w:hint="eastAsia" w:ascii="Times New Roman" w:hAnsi="Times New Roman" w:eastAsia="宋体" w:cs="Times New Roman"/>
                <w:b w:val="0"/>
                <w:color w:val="000000" w:themeColor="text1"/>
                <w:sz w:val="24"/>
                <w:szCs w:val="24"/>
                <w:lang w:val="en-US" w:eastAsia="zh-CN" w:bidi="ar-SA"/>
                <w14:textFill>
                  <w14:solidFill>
                    <w14:schemeClr w14:val="tx1"/>
                  </w14:solidFill>
                </w14:textFill>
              </w:rPr>
              <w:t>十三条内容逐一对照</w:t>
            </w:r>
            <w:r>
              <w:rPr>
                <w:rFonts w:ascii="Times New Roman" w:hAnsi="Times New Roman" w:eastAsia="宋体" w:cs="Times New Roman"/>
                <w:b w:val="0"/>
                <w:color w:val="000000" w:themeColor="text1"/>
                <w:sz w:val="24"/>
                <w:szCs w:val="24"/>
                <w:lang w:val="en-US" w:eastAsia="zh-CN" w:bidi="ar-SA"/>
                <w14:textFill>
                  <w14:solidFill>
                    <w14:schemeClr w14:val="tx1"/>
                  </w14:solidFill>
                </w14:textFill>
              </w:rPr>
              <w:t>，最终得出结论：本项目不存在《污染影响类建设项目重大变动清单（试行）》</w:t>
            </w:r>
            <w:r>
              <w:rPr>
                <w:rFonts w:hint="eastAsia" w:ascii="Times New Roman" w:hAnsi="Times New Roman" w:eastAsia="宋体" w:cs="Times New Roman"/>
                <w:b w:val="0"/>
                <w:color w:val="000000" w:themeColor="text1"/>
                <w:sz w:val="24"/>
                <w:szCs w:val="24"/>
                <w:lang w:val="en-US" w:eastAsia="zh-CN" w:bidi="ar-SA"/>
                <w14:textFill>
                  <w14:solidFill>
                    <w14:schemeClr w14:val="tx1"/>
                  </w14:solidFill>
                </w14:textFill>
              </w:rPr>
              <w:t>（环办环评函[2020]688号）</w:t>
            </w:r>
            <w:r>
              <w:rPr>
                <w:rFonts w:ascii="Times New Roman" w:hAnsi="Times New Roman" w:eastAsia="宋体" w:cs="Times New Roman"/>
                <w:b w:val="0"/>
                <w:color w:val="000000" w:themeColor="text1"/>
                <w:sz w:val="24"/>
                <w:szCs w:val="24"/>
                <w:lang w:val="en-US" w:eastAsia="zh-CN" w:bidi="ar-SA"/>
                <w14:textFill>
                  <w14:solidFill>
                    <w14:schemeClr w14:val="tx1"/>
                  </w14:solidFill>
                </w14:textFill>
              </w:rPr>
              <w:t>的</w:t>
            </w:r>
            <w:r>
              <w:rPr>
                <w:rFonts w:hint="eastAsia" w:ascii="Times New Roman" w:hAnsi="Times New Roman" w:eastAsia="宋体" w:cs="Times New Roman"/>
                <w:b w:val="0"/>
                <w:color w:val="000000" w:themeColor="text1"/>
                <w:sz w:val="24"/>
                <w:szCs w:val="24"/>
                <w:lang w:val="en-US" w:eastAsia="zh-CN" w:bidi="ar-SA"/>
                <w14:textFill>
                  <w14:solidFill>
                    <w14:schemeClr w14:val="tx1"/>
                  </w14:solidFill>
                </w14:textFill>
              </w:rPr>
              <w:t>十三条内容的重大变动</w:t>
            </w:r>
            <w:r>
              <w:rPr>
                <w:rFonts w:ascii="Times New Roman" w:hAnsi="Times New Roman" w:eastAsia="宋体" w:cs="Times New Roman"/>
                <w:b w:val="0"/>
                <w:color w:val="000000" w:themeColor="text1"/>
                <w:sz w:val="24"/>
                <w:szCs w:val="24"/>
                <w:lang w:val="en-US" w:eastAsia="zh-CN" w:bidi="ar-SA"/>
                <w14:textFill>
                  <w14:solidFill>
                    <w14:schemeClr w14:val="tx1"/>
                  </w14:solidFill>
                </w14:textFill>
              </w:rPr>
              <w:t>情形。</w:t>
            </w:r>
          </w:p>
          <w:p>
            <w:pPr>
              <w:pStyle w:val="36"/>
              <w:spacing w:line="360" w:lineRule="auto"/>
              <w:ind w:firstLine="482" w:firstLineChars="200"/>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5、水平衡：</w:t>
            </w:r>
          </w:p>
          <w:p>
            <w:pPr>
              <w:widowControl w:val="0"/>
              <w:snapToGrid w:val="0"/>
              <w:spacing w:line="360" w:lineRule="auto"/>
              <w:ind w:firstLine="480" w:firstLineChars="20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目前本项目生产过程中产生的废水主要为员工生活污水。</w:t>
            </w:r>
          </w:p>
          <w:p>
            <w:pPr>
              <w:widowControl w:val="0"/>
              <w:snapToGrid w:val="0"/>
              <w:spacing w:line="360" w:lineRule="auto"/>
              <w:ind w:firstLine="480" w:firstLineChars="20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经核实</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w:t>
            </w:r>
          </w:p>
          <w:p>
            <w:pPr>
              <w:widowControl w:val="0"/>
              <w:snapToGrid w:val="0"/>
              <w:spacing w:line="360" w:lineRule="auto"/>
              <w:ind w:firstLine="480" w:firstLineChars="200"/>
              <w:jc w:val="both"/>
              <w:rPr>
                <w:rFonts w:hint="eastAsia" w:ascii="Times New Roman" w:hAnsi="Times New Roman" w:eastAsia="微软雅黑"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本</w:t>
            </w:r>
            <w:r>
              <w:rPr>
                <w:rFonts w:hint="default" w:ascii="Times New Roman" w:hAnsi="Times New Roman" w:eastAsia="宋体" w:cs="Times New Roman"/>
                <w:color w:val="000000" w:themeColor="text1"/>
                <w:sz w:val="24"/>
                <w:szCs w:val="24"/>
                <w:lang w:val="zh-CN" w:eastAsia="zh-CN" w:bidi="ar-SA"/>
                <w14:textFill>
                  <w14:solidFill>
                    <w14:schemeClr w14:val="tx1"/>
                  </w14:solidFill>
                </w14:textFill>
              </w:rPr>
              <w:t>项目劳动定员</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15</w:t>
            </w:r>
            <w:r>
              <w:rPr>
                <w:rFonts w:hint="default" w:ascii="Times New Roman" w:hAnsi="Times New Roman" w:eastAsia="宋体" w:cs="Times New Roman"/>
                <w:color w:val="000000" w:themeColor="text1"/>
                <w:sz w:val="24"/>
                <w:szCs w:val="24"/>
                <w:lang w:val="zh-CN" w:eastAsia="zh-CN" w:bidi="ar-SA"/>
                <w14:textFill>
                  <w14:solidFill>
                    <w14:schemeClr w14:val="tx1"/>
                  </w14:solidFill>
                </w14:textFill>
              </w:rPr>
              <w:t>人，均不住厂，根据</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《福建省行业用水定额标准》（DB35/T772-2013）人均用水量按60L/d计</w:t>
            </w:r>
            <w:r>
              <w:rPr>
                <w:rFonts w:hint="default" w:ascii="Times New Roman" w:hAnsi="Times New Roman" w:eastAsia="宋体" w:cs="Times New Roman"/>
                <w:color w:val="000000" w:themeColor="text1"/>
                <w:sz w:val="24"/>
                <w:szCs w:val="24"/>
                <w:lang w:val="zh-CN" w:eastAsia="zh-CN" w:bidi="ar-SA"/>
                <w14:textFill>
                  <w14:solidFill>
                    <w14:schemeClr w14:val="tx1"/>
                  </w14:solidFill>
                </w14:textFill>
              </w:rPr>
              <w:t>，每年生活用水约</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0.9t/d（270</w:t>
            </w:r>
            <w:r>
              <w:rPr>
                <w:rFonts w:hint="default" w:ascii="Times New Roman" w:hAnsi="Times New Roman" w:eastAsia="宋体" w:cs="Times New Roman"/>
                <w:color w:val="000000" w:themeColor="text1"/>
                <w:sz w:val="24"/>
                <w:szCs w:val="24"/>
                <w:lang w:val="zh-CN" w:eastAsia="zh-CN" w:bidi="ar-SA"/>
                <w14:textFill>
                  <w14:solidFill>
                    <w14:schemeClr w14:val="tx1"/>
                  </w14:solidFill>
                </w14:textFill>
              </w:rPr>
              <w:t>t/a</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lang w:val="zh-CN" w:eastAsia="zh-CN" w:bidi="ar-SA"/>
                <w14:textFill>
                  <w14:solidFill>
                    <w14:schemeClr w14:val="tx1"/>
                  </w14:solidFill>
                </w14:textFill>
              </w:rPr>
              <w:t>。污水排放量以用水量的80%计，预计日产生污水量约</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0.72</w:t>
            </w:r>
            <w:r>
              <w:rPr>
                <w:rFonts w:hint="default" w:ascii="Times New Roman" w:hAnsi="Times New Roman" w:eastAsia="宋体" w:cs="Times New Roman"/>
                <w:color w:val="000000" w:themeColor="text1"/>
                <w:sz w:val="24"/>
                <w:szCs w:val="24"/>
                <w:lang w:val="zh-CN" w:eastAsia="zh-CN" w:bidi="ar-SA"/>
                <w14:textFill>
                  <w14:solidFill>
                    <w14:schemeClr w14:val="tx1"/>
                  </w14:solidFill>
                </w14:textFill>
              </w:rPr>
              <w:t>t/d，年排放生活污水约</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216</w:t>
            </w:r>
            <w:r>
              <w:rPr>
                <w:rFonts w:hint="default" w:ascii="Times New Roman" w:hAnsi="Times New Roman" w:eastAsia="宋体" w:cs="Times New Roman"/>
                <w:color w:val="000000" w:themeColor="text1"/>
                <w:sz w:val="24"/>
                <w:szCs w:val="24"/>
                <w:lang w:val="zh-CN" w:eastAsia="zh-CN" w:bidi="ar-SA"/>
                <w14:textFill>
                  <w14:solidFill>
                    <w14:schemeClr w14:val="tx1"/>
                  </w14:solidFill>
                </w14:textFill>
              </w:rPr>
              <w:t>t/a。生活污水经化粪池处理后经污水管网进入</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云霄经济开发区污水处理厂</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w:t>
            </w:r>
          </w:p>
          <w:p>
            <w:pPr>
              <w:pStyle w:val="3"/>
              <w:widowControl w:val="0"/>
              <w:jc w:val="center"/>
              <w:rPr>
                <w:rFonts w:hint="default" w:ascii="Times New Roman" w:hAnsi="Times New Roman" w:eastAsia="宋体" w:cs="Times New Roman"/>
                <w:b/>
                <w:color w:val="000000" w:themeColor="text1"/>
                <w:sz w:val="21"/>
                <w:szCs w:val="18"/>
                <w:lang w:val="zh-CN"/>
                <w14:textFill>
                  <w14:solidFill>
                    <w14:schemeClr w14:val="tx1"/>
                  </w14:solidFill>
                </w14:textFill>
              </w:rPr>
            </w:pPr>
          </w:p>
          <w:p>
            <w:pPr>
              <w:pStyle w:val="3"/>
              <w:widowControl w:val="0"/>
              <w:jc w:val="both"/>
              <w:rPr>
                <w:rFonts w:hint="default" w:ascii="Times New Roman" w:hAnsi="Times New Roman" w:eastAsia="宋体" w:cs="Times New Roman"/>
                <w:b/>
                <w:color w:val="000000" w:themeColor="text1"/>
                <w:sz w:val="21"/>
                <w:szCs w:val="18"/>
                <w:lang w:val="zh-CN"/>
                <w14:textFill>
                  <w14:solidFill>
                    <w14:schemeClr w14:val="tx1"/>
                  </w14:solidFill>
                </w14:textFill>
              </w:rPr>
            </w:pPr>
            <w:r>
              <w:rPr>
                <w:color w:val="000000" w:themeColor="text1"/>
                <w:sz w:val="21"/>
                <w14:textFill>
                  <w14:solidFill>
                    <w14:schemeClr w14:val="tx1"/>
                  </w14:solidFill>
                </w14:textFill>
              </w:rPr>
              <mc:AlternateContent>
                <mc:Choice Requires="wpc">
                  <w:drawing>
                    <wp:inline distT="0" distB="0" distL="114300" distR="114300">
                      <wp:extent cx="5486400" cy="659130"/>
                      <wp:effectExtent l="6350" t="0" r="12700" b="27305"/>
                      <wp:docPr id="6" name="画布 6"/>
                      <wp:cNvGraphicFramePr/>
                      <a:graphic xmlns:a="http://schemas.openxmlformats.org/drawingml/2006/main">
                        <a:graphicData uri="http://schemas.microsoft.com/office/word/2010/wordprocessingCanvas">
                          <wpc:wpc>
                            <wpc:bg/>
                            <wpc:whole/>
                            <wps:wsp>
                              <wps:cNvPr id="7" name="矩形 7"/>
                              <wps:cNvSpPr/>
                              <wps:spPr>
                                <a:xfrm>
                                  <a:off x="0" y="213995"/>
                                  <a:ext cx="961390"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新鲜水</w:t>
                                    </w:r>
                                    <w:r>
                                      <w:rPr>
                                        <w:rFonts w:hint="eastAsia" w:ascii="Times New Roman" w:hAnsi="Times New Roman" w:eastAsia="宋体" w:cs="Times New Roman"/>
                                        <w:color w:val="000000" w:themeColor="text1"/>
                                        <w:lang w:val="en-US" w:eastAsia="zh-CN"/>
                                        <w14:textFill>
                                          <w14:solidFill>
                                            <w14:schemeClr w14:val="tx1"/>
                                          </w14:solidFill>
                                        </w14:textFill>
                                      </w:rPr>
                                      <w:t>270t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 name="直接箭头连接符 8"/>
                              <wps:cNvCnPr>
                                <a:stCxn id="7" idx="3"/>
                              </wps:cNvCnPr>
                              <wps:spPr>
                                <a:xfrm flipV="1">
                                  <a:off x="961390" y="373380"/>
                                  <a:ext cx="337185" cy="762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 name="矩形 11"/>
                              <wps:cNvSpPr/>
                              <wps:spPr>
                                <a:xfrm>
                                  <a:off x="1313180" y="217805"/>
                                  <a:ext cx="1085215"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生活用</w:t>
                                    </w:r>
                                    <w:r>
                                      <w:rPr>
                                        <w:rFonts w:hint="default" w:ascii="Times New Roman" w:hAnsi="Times New Roman" w:eastAsia="宋体" w:cs="Times New Roman"/>
                                        <w:color w:val="000000" w:themeColor="text1"/>
                                        <w:lang w:val="en-US" w:eastAsia="zh-CN"/>
                                        <w14:textFill>
                                          <w14:solidFill>
                                            <w14:schemeClr w14:val="tx1"/>
                                          </w14:solidFill>
                                        </w14:textFill>
                                      </w:rPr>
                                      <w:t>水</w:t>
                                    </w:r>
                                    <w:r>
                                      <w:rPr>
                                        <w:rFonts w:hint="eastAsia" w:ascii="Times New Roman" w:hAnsi="Times New Roman" w:eastAsia="宋体" w:cs="Times New Roman"/>
                                        <w:color w:val="000000" w:themeColor="text1"/>
                                        <w:lang w:val="en-US" w:eastAsia="zh-CN"/>
                                        <w14:textFill>
                                          <w14:solidFill>
                                            <w14:schemeClr w14:val="tx1"/>
                                          </w14:solidFill>
                                        </w14:textFill>
                                      </w:rPr>
                                      <w:t>270t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 name="矩形 13"/>
                              <wps:cNvSpPr/>
                              <wps:spPr>
                                <a:xfrm>
                                  <a:off x="2751455" y="217805"/>
                                  <a:ext cx="1208405"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三级化粪池216t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直接箭头连接符 14"/>
                              <wps:cNvCnPr/>
                              <wps:spPr>
                                <a:xfrm flipV="1">
                                  <a:off x="2399030" y="370205"/>
                                  <a:ext cx="337185" cy="762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 name="直接箭头连接符 15"/>
                              <wps:cNvCnPr/>
                              <wps:spPr>
                                <a:xfrm flipV="1">
                                  <a:off x="3970655" y="379730"/>
                                  <a:ext cx="337185" cy="762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 name="矩形 16"/>
                              <wps:cNvSpPr/>
                              <wps:spPr>
                                <a:xfrm>
                                  <a:off x="4317365" y="103505"/>
                                  <a:ext cx="1121410" cy="561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lang w:val="en-US" w:eastAsia="zh-CN"/>
                                      </w:rPr>
                                    </w:pPr>
                                    <w:r>
                                      <w:rPr>
                                        <w:rFonts w:hint="eastAsia" w:ascii="宋体" w:hAnsi="宋体" w:eastAsia="宋体" w:cs="宋体"/>
                                        <w:color w:val="000000" w:themeColor="text1"/>
                                        <w:lang w:val="en-US" w:eastAsia="zh-CN"/>
                                        <w14:textFill>
                                          <w14:solidFill>
                                            <w14:schemeClr w14:val="tx1"/>
                                          </w14:solidFill>
                                        </w14:textFill>
                                      </w:rPr>
                                      <w:t>云霄经济开发区污</w:t>
                                    </w:r>
                                    <w:r>
                                      <w:rPr>
                                        <w:rFonts w:hint="eastAsia" w:ascii="宋体" w:hAnsi="宋体" w:eastAsia="宋体" w:cs="宋体"/>
                                        <w:color w:val="000000"/>
                                        <w:sz w:val="24"/>
                                        <w:szCs w:val="24"/>
                                      </w:rPr>
                                      <w:t>水处理厂</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51.9pt;width:432pt;" coordsize="5486400,659130" editas="canvas" o:gfxdata="UEsDBAoAAAAAAIdO4kAAAAAAAAAAAAAAAAAEAAAAZHJzL1BLAwQUAAAACACHTuJAe4DgAdYAAAAF&#10;AQAADwAAAGRycy9kb3ducmV2LnhtbE2PQUvDQBCF74L/YRnBi9jdqpQQs+mhIBYRimnteZsdk2B2&#10;Ns1uk/rvnfbSXgYe7/Hme9n86FoxYB8aTxqmEwUCqfS2oUrDZv32mIAI0ZA1rSfU8IcB5vntTWZS&#10;60f6wqGIleASCqnRUMfYpVKGskZnwsR3SOz9+N6ZyLKvpO3NyOWulU9KzaQzDfGH2nS4qLH8LQ5O&#10;w1iuhu36812uHrZLT/vlflF8f2h9fzdVryAiHuMlDCd8RoecmXb+QDaIVgMPiefLXjJ7YbnjkHpO&#10;QOaZvKbP/wFQSwMEFAAAAAgAh07iQLRfJCtrBAAADRYAAA4AAABkcnMvZTJvRG9jLnhtbO1Yy2oj&#10;RxTdB/IPRe9j9UtqSVgejDw2AZMxOI91qd/QXdWpKllyttlnlV0ggZAEAklWswiEkK9xJp+RU4+W&#10;FY1n7CQwmEEytOvVt+qeuuf0rTp8sm4bcpULWXM284ID3yM5S3lWs3LmffTh6Xtjj0hFWUYbzvKZ&#10;d51L78nRu+8crrppHvKKN1kuCIwwOV11M69SqpsOBjKt8pbKA97lDJ0FFy1VqIpykAm6gvW2GYS+&#10;PxqsuMg6wdNcSrSe2E7PWRQPMciLok7zE54u25wpa1XkDVVwSVZ1J70js9qiyFP1rChkrkgz8+Cp&#10;Mk9MgvJCPwdHh3RaCtpVdeqWQB+yhB2fWlozTLoxdUIVJUtRv2SqrVPBJS/UQcrbgXXEIAIvAn8H&#10;mzPBl53xpZyuym4DOjZqB/X/bDb94OpCkDqbeSOPMNpiw198+dvNr5+TkcZm1ZVTDDkT3WV3IVxD&#10;aWva3XUhWv0fjpC1QfV6g2q+ViRF4zAej2IfgKfoGw0nQeRgTyvszUuvpdXT17846Kcd6NVtFrPq&#10;EI/yFiT5/0C6rGiXG+ylRsCBlGxA+ubHm9+/JYkFyQzZICSnEmC9Ep4wiCaToY28HqPJCI0Oogi/&#10;xPRvPKXTTkh1lvOW6MLMEwhsE2/06lwq7AuG9kP0xIyf1k1jgrthZAWeh4nZAgrGFmAKdqPtsOuS&#10;lR6hTQkpSJUwJiVv6ky/rg1JUS7mjSBXVBPI/PTKMd0/hum5T6is7DjTZR1sawW1aOp25o23324Y&#10;jOgts1Dpklov1ibC5HTBs2sgLrjlq+zS0xoznFOpLqgAQQEVJEw9w6NoOPzjruSRiovP7mrX4xES&#10;6PXICoSH758uqcg90rzPECyTII5hVplKPExCVMR2z2K7hy3bOQckAcSyS01Rj1dNXywEbz+B0h3r&#10;WdFFWYq5LcquMldWiKCVaX58bIZBFTqqztlll2rjdi+Pl4oXtdlmDZRFx+GHkNc0fQOxj++CE4iv&#10;nv/5xfcvfvn55rvnf/3xtS7/9AMZb1Fhzmz8SzVfM6MuIE6dQQwiEz16vSCVHaYr24QhRVN3H/fe&#10;O2XpCQIJiZIoGjsJ6fkDxgTjoZWYZIStszHay1NPDcceqQSty0rNOWMgEhcW6IdyaRQNsaHpo6AS&#10;nVY5zZ6yjKjrDuLN8M22zFO0bm7blagpKxtEO8jS5hmiPgfndclCdQchbZzpbhdfbyjQApDKRZpV&#10;WTQ4YUDQ3C+zQYQ/RAhBsIRBMvZ3xDbwx8MwcNGyV9u92j5GtQ2iXRIY6XTKeT8JwmQYxEME+atI&#10;EPrjGMwwWdmeBHsSPEoSxBsS3JlzBPHWh0FnE+4zcW86ESIF93EO0eyIEj/c/UTs84m3KZ+Ayr0u&#10;c0UqcJte/JsoiiaJP3IaGyWTpD/Y7rPStzErvb0gcVmpuyF54OE/joIkGtkPcuDjCLGblQZhEAf6&#10;YAFNGo6Cyf4OYH8H0J+CGb/3DsDchuGW0FzOuBtNfQ25XTdHudtb3KO/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oGAABbQ29udGVudF9UeXBl&#10;c10ueG1sUEsBAhQACgAAAAAAh07iQAAAAAAAAAAAAAAAAAYAAAAAAAAAAAAQAAAAvAUAAF9yZWxz&#10;L1BLAQIUABQAAAAIAIdO4kCKFGY80QAAAJQBAAALAAAAAAAAAAEAIAAAAOAFAABfcmVscy8ucmVs&#10;c1BLAQIUAAoAAAAAAIdO4kAAAAAAAAAAAAAAAAAEAAAAAAAAAAAAEAAAAAAAAABkcnMvUEsBAhQA&#10;FAAAAAgAh07iQHuA4AHWAAAABQEAAA8AAAAAAAAAAQAgAAAAIgAAAGRycy9kb3ducmV2LnhtbFBL&#10;AQIUABQAAAAIAIdO4kC0XyQrawQAAA0WAAAOAAAAAAAAAAEAIAAAACUBAABkcnMvZTJvRG9jLnht&#10;bFBLBQYAAAAABgAGAFkBAAACCAAAAAA=&#10;">
                      <o:lock v:ext="edit" aspectratio="f"/>
                      <v:shape id="_x0000_s1026" o:spid="_x0000_s1026" style="position:absolute;left:0;top:0;height:659130;width:5486400;" filled="f" stroked="f" coordsize="21600,21600" o:gfxdata="UEsDBAoAAAAAAIdO4kAAAAAAAAAAAAAAAAAEAAAAZHJzL1BLAwQUAAAACACHTuJAe4DgAdYAAAAF&#10;AQAADwAAAGRycy9kb3ducmV2LnhtbE2PQUvDQBCF74L/YRnBi9jdqpQQs+mhIBYRimnteZsdk2B2&#10;Ns1uk/rvnfbSXgYe7/Hme9n86FoxYB8aTxqmEwUCqfS2oUrDZv32mIAI0ZA1rSfU8IcB5vntTWZS&#10;60f6wqGIleASCqnRUMfYpVKGskZnwsR3SOz9+N6ZyLKvpO3NyOWulU9KzaQzDfGH2nS4qLH8LQ5O&#10;w1iuhu36812uHrZLT/vlflF8f2h9fzdVryAiHuMlDCd8RoecmXb+QDaIVgMPiefLXjJ7YbnjkHpO&#10;QOaZvKbP/wFQSwMEFAAAAAgAh07iQPXMFA0lBAAAVhUAAA4AAABkcnMvZTJvRG9jLnhtbO1Y3Woj&#10;NxS+L/QdxNw3Hs3YHtvEWYLTlELoBtKfa3lGYw9opKkkx04foi9QaKG0Cwttr/a29Gm228foJ2km&#10;dty0Cf0jLHZgcjRHcySd831HRzp+tqkFuebaVEpOI3oUR4TLXBWVXEyjTz4+f28UEWOZLJhQkk+j&#10;G26iZyfvvnO8biY8UUslCq4JjEgzWTfTaGltM+n1TL7kNTNHquESylLpmlk09aJXaLaG9Vr0kjge&#10;9tZKF41WOTcGb8+CMmot6scYVGVZ5fxM5auaSxusai6YxZLMsmpMdOJnW5Y8t8/L0nBLxDTCSq1/&#10;YhDIc/fsnRyzyUKzZlnl7RTYY6awt6aaVRKD3po6Y5aRla7+YKqucq2MKu1RrupeWIj3CFZB4z3f&#10;zJi8ZmExOXzdTRDSv2h3voAPYHKyRmi5lxFY09yG2Pyzwa6WrOE+IGaSf3R9qUlVTKMsIpLVgNeb&#10;b16+/vlbkrlIrBvf5aq51G3LQHRu3ZS6dv/hMLLx0buZRglNx+NBCCHfWJJDMx7iJYKbQ5/il3l9&#10;b2uh0cZ+wFVNnDCNNBDiA8euL4zFqOjadXEDSnVeCYH3bCIkWYMwSRY7+wzQLwE5iHWDBRm5iAgT&#10;C3Aqt9qbNEpUhfvcfW30Yj4Tmlwzh0T/czPHcHe6ubHPmFmGfl4VFlhXFrQTVT2NRrtfCwkjznHB&#10;VU6ym/mm9d9cFTfwuFYB+KbJzyuMcMGMvWQaSMdSkAvsczxKobA+1UoRWSr9xX3vXX9AAtqIrMEc&#10;rP3zFdM8IuJDCbCMab8Ps9Y3+oMsQUPvaua7GrmqZwouocg6Te5F19+KTiy1qj9Dyjh1o0LFZI6x&#10;g5fbxswGRiPp5Pz01HcDvRpmL+SVIwv18ZDqdGVVWfkwO0cF77T+A+QDAv9z7CPBttj/6tWvX37/&#10;5qcfX3/36rdfvnbyDy/IyAXcTQ9smcmAf2NnG9kRpyoA9NSj504319glDClF1Xzarb6lTkcQx48s&#10;TUdtCuz4A8bQ0SDwJxsidAGjHf86arTsMVazarG0MyUliKR0cPRjuTRMBwjo06ASmyw5K96XBbE3&#10;DfKSxOYXmGdZJbbvra6YXAigHWSpeQHUc3DeScFV9xAy4MypXYj+P6BRkOpOlsWLLbYeTrM0xR8Q&#10;QnyyzUbxXrKl8WiQ0BYth2zb5pNDtn1S2Zam+yTwqbPNnA+TIMkGtD8AyP+MBEk86oMZh5Ij7FqH&#10;kuMJlhy0f0uCe2sO6Lcbgys62taD5USCEjxOwxaRZnGyv0Uc6om3qZ5AlvuryhWlwN9DUTrO4mGb&#10;Y9NsnAFQMMQmh6r0baxKh7coCmd/OtyBzcMbcj+lWToMGzKNcYTYr0ppQvvUHSywYw+GdHy4Azjc&#10;AXSn4EfcAeCQ5m/b/OVMezXo7vN22/4ot70OPf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AYAAFtDb250ZW50X1R5cGVzXS54bWxQSwECFAAK&#10;AAAAAACHTuJAAAAAAAAAAAAAAAAABgAAAAAAAAAAABAAAAB2BQAAX3JlbHMvUEsBAhQAFAAAAAgA&#10;h07iQIoUZjzRAAAAlAEAAAsAAAAAAAAAAQAgAAAAmgUAAF9yZWxzLy5yZWxzUEsBAhQACgAAAAAA&#10;h07iQAAAAAAAAAAAAAAAAAQAAAAAAAAAAAAQAAAAAAAAAGRycy9QSwECFAAUAAAACACHTuJAe4Dg&#10;AdYAAAAFAQAADwAAAAAAAAABACAAAAAiAAAAZHJzL2Rvd25yZXYueG1sUEsBAhQAFAAAAAgAh07i&#10;QPXMFA0lBAAAVhUAAA4AAAAAAAAAAQAgAAAAJQEAAGRycy9lMm9Eb2MueG1sUEsFBgAAAAAGAAYA&#10;WQEAALwHAAAAAA==&#10;">
                        <v:fill on="f" focussize="0,0"/>
                        <v:stroke on="f"/>
                        <v:imagedata o:title=""/>
                        <o:lock v:ext="edit" aspectratio="f"/>
                      </v:shape>
                      <v:rect id="_x0000_s1026" o:spid="_x0000_s1026" o:spt="1" style="position:absolute;left:0;top:213995;height:333375;width:961390;v-text-anchor:middle;" filled="f" stroked="t" coordsize="21600,21600" o:gfxdata="UEsDBAoAAAAAAIdO4kAAAAAAAAAAAAAAAAAEAAAAZHJzL1BLAwQUAAAACACHTuJAVDdeF9QAAAAF&#10;AQAADwAAAGRycy9kb3ducmV2LnhtbE2PwU7DMBBE70j8g7VI3KhdaKsoxOkhiAMCCVG4cHPjbZIS&#10;ryPbScrfs3Chl5VGM5p9U2xPrhcThth50rBcKBBItbcdNRo+3h9vMhAxGbKm94QavjHCtry8KExu&#10;/UxvOO1SI7iEYm40tCkNuZSxbtGZuPADEnsHH5xJLEMjbTAzl7te3iq1kc50xB9aM2DVYv21G52G&#10;z/VRvnbVbMaXp4fn9RS8qlZe6+urpboHkfCU/sPwi8/oUDLT3o9ko+g18JD0d9nLNiuWew6puwxk&#10;Wchz+vIHUEsDBBQAAAAIAIdO4kBhlYwdcQIAANoEAAAOAAAAZHJzL2Uyb0RvYy54bWytVEtu2zAQ&#10;3RfoHQjuG9nOx7FhOTBspCgQNAHcomuaoiwC/JWkLaeXKdBdD9HjFL1GHyklcdMusqgW1Ixm9Ibv&#10;cYazq4NWZC98kNaUdHgyoEQYbitptiX9+OH6zSUlITJTMWWNKOm9CPRq/vrVrHVTMbKNVZXwBCAm&#10;TFtX0iZGNy2KwBuhWTixThgEa+s1i3D9tqg8a4GuVTEaDC6K1vrKectFCPi66oK0R/QvAbR1LblY&#10;Wb7TwsQO1QvFIiiFRrpA53m3dS14vK3rICJRJQXTmFcUgb1JazGfsenWM9dI3m+BvWQLzzhpJg2K&#10;PkKtWGRk5+VfUFpyb4Ot4wm3uuiIZEXAYjh4ps26YU5kLpA6uEfRw/+D5e/3d57IqqRjSgzTOPBf&#10;X7///PGNjJM2rQtTpKzdne+9ADMRPdRepzcokEPW876ko+HpZHLeiSoOkXBEJhf4CLk54qd4xjle&#10;PCE4H+JbYTVJRkk9zixLyfY3IaIqUh9SUkFjr6VS+dyUIS1aeDQeJHyGZqzRBDC1A6FgtpQwtUWX&#10;8+gzZLBKVun3BBT8drNUnuxZ6o38pJ2j3B9pqfaKhabLy6GOoJYRg6CkLunl8d/KACQJ10mVrHjY&#10;HHr9Nra6h+Ledq0YHL+WqHDDQrxjHr0HKpjOeIulVhb8bG9R0lj/5V/fUz5aAlFKWvQyuH/eMS8o&#10;Ue8MmmUyPDsDbMzO2fl4BMcfRzbHEbPTSwtJhrgHHM9myo/qway91Z8wxItUFSFmOGp3KvfOMnYz&#10;hmuAi8Uip6HhHYs3Zu14Au/OcrGLtpb5mJNQnTq9fmj5fBz9eKaZOvZz1tOVNP8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VDdeF9QAAAAFAQAADwAAAAAAAAABACAAAAAiAAAAZHJzL2Rvd25yZXYu&#10;eG1sUEsBAhQAFAAAAAgAh07iQGGVjB1xAgAA2gQAAA4AAAAAAAAAAQAgAAAAIwEAAGRycy9lMm9E&#10;b2MueG1sUEsFBgAAAAAGAAYAWQEAAAYGAAAAAA==&#10;">
                        <v:fill on="f" focussize="0,0"/>
                        <v:stroke weight="1pt" color="#000000 [3213]" miterlimit="8" joinstyle="miter"/>
                        <v:imagedata o:title=""/>
                        <o:lock v:ext="edit" aspectratio="f"/>
                        <v:textbox>
                          <w:txbxContent>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新鲜水</w:t>
                              </w:r>
                              <w:r>
                                <w:rPr>
                                  <w:rFonts w:hint="eastAsia" w:ascii="Times New Roman" w:hAnsi="Times New Roman" w:eastAsia="宋体" w:cs="Times New Roman"/>
                                  <w:color w:val="000000" w:themeColor="text1"/>
                                  <w:lang w:val="en-US" w:eastAsia="zh-CN"/>
                                  <w14:textFill>
                                    <w14:solidFill>
                                      <w14:schemeClr w14:val="tx1"/>
                                    </w14:solidFill>
                                  </w14:textFill>
                                </w:rPr>
                                <w:t>270t</w:t>
                              </w:r>
                            </w:p>
                          </w:txbxContent>
                        </v:textbox>
                      </v:rect>
                      <v:shape id="_x0000_s1026" o:spid="_x0000_s1026" o:spt="32" type="#_x0000_t32" style="position:absolute;left:961390;top:373380;flip:y;height:7620;width:337185;" filled="f" stroked="t" coordsize="21600,21600" o:gfxdata="UEsDBAoAAAAAAIdO4kAAAAAAAAAAAAAAAAAEAAAAZHJzL1BLAwQUAAAACACHTuJABl0a6NQAAAAF&#10;AQAADwAAAGRycy9kb3ducmV2LnhtbE2PwU7DMBBE70j8g7VIXCpqt6AqDXF6KCCQkBCUfoBrL0mE&#10;vY5itwl/z8IFLiuNZjT7ptpMwYsTDqmLpGExVyCQbHQdNRr27w9XBYiUDTnjI6GGL0ywqc/PKlO6&#10;ONIbnna5EVxCqTQa2pz7UspkWwwmzWOPxN5HHILJLIdGusGMXB68XCq1ksF0xB9a0+O2Rfu5OwYN&#10;k7xfP6mZfbyj53HprH953Y4zrS8vFuoWRMYp/4XhB5/RoWamQzySS8Jr4CH597JXrG5YHjikrguQ&#10;dSX/09ffUEsDBBQAAAAIAIdO4kBX47bSPQIAAEcEAAAOAAAAZHJzL2Uyb0RvYy54bWytU82O0zAQ&#10;viPxDpbvNG2jbbtR0z20LBcElYC9Tx0nseQ/2d6mfQleAIkTcAJOe+dp2OUxGDulXZbLHsghGWdm&#10;Ps9838z8Yqck2XLnhdElHQ2GlHDNTCV0U9J3by+fzSjxAXQF0mhe0j339GLx9Mm8swUfm9bIijuC&#10;INoXnS1pG4ItssyzlivwA2O5RmdtnIKAR9dklYMO0ZXMxsPhJOuMq6wzjHuPf1e9kx4Q3WMATV0L&#10;xleGXSuuQ4/quISALflWWE8Xqdq65iy8rmvPA5ElxU5DeuMlaG/iO1vMoWgc2FawQwnwmBIe9KRA&#10;aLz0CLWCAOTaiX+glGDOeFOHATMq6xtJjGAXo+EDbt60YHnqBan29ki6/3+w7NV27YioSoqya1Ao&#10;+N2Hm9v3n+++f/v56ebXj4/R/vqFzCJVnfUFZiz12sVmfVjudEqeUvzsSprHqOyvsHjwtk/Y1U6R&#10;Wgp7hZOX+EIGCOadT0b5OWqyR4hpns8OwvBdICzC5tPR7IwShv7pZJy8GRQRLtZhnQ8vuFEkGiX1&#10;wYFo2rA0WuMAGNdfBduXPsTyTgkxWZtLIWWaA6lJV9JJfoaVMMDZrnGm0FQW+fG6oQRkg0vDgkvF&#10;eyNFFbMTGa7ZLKUjW4ijlp5EBtJ0PyyWuALf9nHJ1Q+hEgH3SgqFUhyzoWg5VM91RcLeojYaV7IP&#10;DyDk6X9wAnQjOY0NKF5RIjkWGq2+Y6kPuvRSRFE2ptqv3R+9cL4SNYddiAN8/5yyT/u/+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GXRro1AAAAAUBAAAPAAAAAAAAAAEAIAAAACIAAABkcnMvZG93&#10;bnJldi54bWxQSwECFAAUAAAACACHTuJAV+O20j0CAABHBAAADgAAAAAAAAABACAAAAAjAQAAZHJz&#10;L2Uyb0RvYy54bWxQSwUGAAAAAAYABgBZAQAA0gUAAAAA&#10;">
                        <v:fill on="f" focussize="0,0"/>
                        <v:stroke weight="0.5pt" color="#000000 [3213]" miterlimit="8" joinstyle="miter" endarrow="block"/>
                        <v:imagedata o:title=""/>
                        <o:lock v:ext="edit" aspectratio="f"/>
                      </v:shape>
                      <v:rect id="_x0000_s1026" o:spid="_x0000_s1026" o:spt="1" style="position:absolute;left:1313180;top:217805;height:333375;width:1085215;v-text-anchor:middle;" filled="f" stroked="t" coordsize="21600,21600" o:gfxdata="UEsDBAoAAAAAAIdO4kAAAAAAAAAAAAAAAAAEAAAAZHJzL1BLAwQUAAAACACHTuJAVDdeF9QAAAAF&#10;AQAADwAAAGRycy9kb3ducmV2LnhtbE2PwU7DMBBE70j8g7VI3KhdaKsoxOkhiAMCCVG4cHPjbZIS&#10;ryPbScrfs3Chl5VGM5p9U2xPrhcThth50rBcKBBItbcdNRo+3h9vMhAxGbKm94QavjHCtry8KExu&#10;/UxvOO1SI7iEYm40tCkNuZSxbtGZuPADEnsHH5xJLEMjbTAzl7te3iq1kc50xB9aM2DVYv21G52G&#10;z/VRvnbVbMaXp4fn9RS8qlZe6+urpboHkfCU/sPwi8/oUDLT3o9ko+g18JD0d9nLNiuWew6puwxk&#10;Wchz+vIHUEsDBBQAAAAIAIdO4kBxHnh4dwIAAOMEAAAOAAAAZHJzL2Uyb0RvYy54bWytVN1u0zAY&#10;vUfiHSzfs6TdSku1dKpWDSFNbFJBXLuO01jyH7bbdLwMEnc8BI+DeA2OnWwrg4tdkErpZ3+fz+dz&#10;fJzzi4NWZC98kNZUdHRSUiIMt7U024p+/HD1akZJiMzUTFkjKnonAr1YvHxx3rm5GNvWqlp4AhAT&#10;5p2raBujmxdF4K3QLJxYJwySjfWaRQz9tqg964CuVTEuy9dFZ33tvOUiBMyu+iQdEP1zAG3TSC5W&#10;lu+0MLFH9UKxCEqhlS7QRd5t0wgeb5omiEhURcE05jeaIN6kd7E4Z/OtZ66VfNgCe84WnnDSTBo0&#10;fYBascjIzsu/oLTk3gbbxBNuddETyYqAxah8os26ZU5kLpA6uAfRw/+D5e/3t57IGk4YUWKYxon/&#10;+vr9549vBBNQp3NhjqK1u/XDKCBMVA+N1+kfJMgB60/xm0HXu4qOR9NZOenFFYdIeMqXs8l4NKGE&#10;o+AUzzQXFI9Azof4VlhNUlBRj8PLmrL9dYhojtL7ktTX2CupVD5AZUiHDuNpif6cwZUN3IBQOzAL&#10;ZksJU1vYnUefIYNVsk7LE1Dw282l8mTPkknyk7aOdn+Upd4rFtq+Lqd6hlpG3AgldUVnx6uVAUjS&#10;r1csRfGwOQwybmx9B+m97T0ZHL+S6HDNQrxlHiYEFVzTeINXoyz42SGipLX+y7/mUz28gSwlHUwN&#10;7p93zAtK1DsD17wZnZ0BNubB2WQ6xsAfZzbHGbPTlxaSwBjYXQ5TfVT3YeOt/oTbvExdkWKGo3ev&#10;8jC4jP1lw/eAi+Uyl8H5jsVrs3Y8gfdnudxF28h8zEmoXp1BP3g/H8dwT9PlOh7nqsdv0+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DdeF9QAAAAFAQAADwAAAAAAAAABACAAAAAiAAAAZHJzL2Rv&#10;d25yZXYueG1sUEsBAhQAFAAAAAgAh07iQHEeeHh3AgAA4wQAAA4AAAAAAAAAAQAgAAAAIwEAAGRy&#10;cy9lMm9Eb2MueG1sUEsFBgAAAAAGAAYAWQEAAAwGAAAAAA==&#10;">
                        <v:fill on="f" focussize="0,0"/>
                        <v:stroke weight="1pt" color="#000000 [3213]" miterlimit="8" joinstyle="miter"/>
                        <v:imagedata o:title=""/>
                        <o:lock v:ext="edit" aspectratio="f"/>
                        <v:textbox>
                          <w:txbxContent>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生活用</w:t>
                              </w:r>
                              <w:r>
                                <w:rPr>
                                  <w:rFonts w:hint="default" w:ascii="Times New Roman" w:hAnsi="Times New Roman" w:eastAsia="宋体" w:cs="Times New Roman"/>
                                  <w:color w:val="000000" w:themeColor="text1"/>
                                  <w:lang w:val="en-US" w:eastAsia="zh-CN"/>
                                  <w14:textFill>
                                    <w14:solidFill>
                                      <w14:schemeClr w14:val="tx1"/>
                                    </w14:solidFill>
                                  </w14:textFill>
                                </w:rPr>
                                <w:t>水</w:t>
                              </w:r>
                              <w:r>
                                <w:rPr>
                                  <w:rFonts w:hint="eastAsia" w:ascii="Times New Roman" w:hAnsi="Times New Roman" w:eastAsia="宋体" w:cs="Times New Roman"/>
                                  <w:color w:val="000000" w:themeColor="text1"/>
                                  <w:lang w:val="en-US" w:eastAsia="zh-CN"/>
                                  <w14:textFill>
                                    <w14:solidFill>
                                      <w14:schemeClr w14:val="tx1"/>
                                    </w14:solidFill>
                                  </w14:textFill>
                                </w:rPr>
                                <w:t>270t</w:t>
                              </w:r>
                            </w:p>
                          </w:txbxContent>
                        </v:textbox>
                      </v:rect>
                      <v:rect id="_x0000_s1026" o:spid="_x0000_s1026" o:spt="1" style="position:absolute;left:2751455;top:217805;height:333375;width:1208405;v-text-anchor:middle;" filled="f" stroked="t" coordsize="21600,21600" o:gfxdata="UEsDBAoAAAAAAIdO4kAAAAAAAAAAAAAAAAAEAAAAZHJzL1BLAwQUAAAACACHTuJAVDdeF9QAAAAF&#10;AQAADwAAAGRycy9kb3ducmV2LnhtbE2PwU7DMBBE70j8g7VI3KhdaKsoxOkhiAMCCVG4cHPjbZIS&#10;ryPbScrfs3Chl5VGM5p9U2xPrhcThth50rBcKBBItbcdNRo+3h9vMhAxGbKm94QavjHCtry8KExu&#10;/UxvOO1SI7iEYm40tCkNuZSxbtGZuPADEnsHH5xJLEMjbTAzl7te3iq1kc50xB9aM2DVYv21G52G&#10;z/VRvnbVbMaXp4fn9RS8qlZe6+urpboHkfCU/sPwi8/oUDLT3o9ko+g18JD0d9nLNiuWew6puwxk&#10;Wchz+vIHUEsDBBQAAAAIAIdO4kC87UaieQIAAOMEAAAOAAAAZHJzL2Uyb0RvYy54bWytVM1uEzEQ&#10;viPxDpbvdDdpQkLUTRU1KkKqaKWCODteb9aS/7CdbMrLIHHjIXgcxGvw2bttQ+HQA3vYHXtmv/H3&#10;zYzPzg9akb3wQVpT0dFJSYkw3NbSbCv68cPlqzklITJTM2WNqOidCPR8+fLFWecWYmxbq2rhCUBM&#10;WHSuom2MblEUgbdCs3BinTBwNtZrFrH026L2rAO6VsW4LF8XnfW185aLELC77p10QPTPAbRNI7lY&#10;W77TwsQe1QvFIiiFVrpAl/m0TSN4vG6aICJRFQXTmN9IAnuT3sXyjC22nrlW8uEI7DlHeMJJM2mQ&#10;9AFqzSIjOy//gtKSextsE0+41UVPJCsCFqPyiTa3LXMic4HUwT2IHv4fLH+/v/FE1uiEU0oM06j4&#10;r6/ff/74RrABdToXFgi6dTd+WAWYieqh8Tp9QYIcKjqeTUeT6ZSSO9ij2byc9uKKQyQc/tG4nE+w&#10;STgCTvHMckDxCOR8iG+F1SQZFfUoXtaU7a9CRHKE3oekvMZeSqVyAZUhXcowK1FXztCVDboBpnZg&#10;FsyWEqa2aHcefYYMVsk6/Z6Agt9uLpQne5aaJD/p6Ej3R1jKvWah7eOyq2eoZcREKKkrOj/+WxmA&#10;JP16xZIVD5vDIOPG1neQ3tu+J4PjlxIZrliIN8yjCUEFYxqv8WqUBT87WJS01n/5136KR2/AS0mH&#10;pgb3zzvmBSXqnUHXvBlNJmkK8mIynY2x8MeezbHH7PSFhSQjXAiOZzPFR3VvNt7qT5jmVcoKFzMc&#10;uXuVh8VF7IcN9wEXq1UOQ+c7Fq/MreMJvK/lahdtI3OZk1C9OoN+6P1cjmFO03Adr3PU492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UN14X1AAAAAUBAAAPAAAAAAAAAAEAIAAAACIAAABkcnMv&#10;ZG93bnJldi54bWxQSwECFAAUAAAACACHTuJAvO1GonkCAADjBAAADgAAAAAAAAABACAAAAAjAQAA&#10;ZHJzL2Uyb0RvYy54bWxQSwUGAAAAAAYABgBZAQAADgYAAAAA&#10;">
                        <v:fill on="f" focussize="0,0"/>
                        <v:stroke weight="1pt" color="#000000 [3213]" miterlimit="8" joinstyle="miter"/>
                        <v:imagedata o:title=""/>
                        <o:lock v:ext="edit" aspectratio="f"/>
                        <v:textbox>
                          <w:txbxContent>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三级化粪池216t</w:t>
                              </w:r>
                            </w:p>
                          </w:txbxContent>
                        </v:textbox>
                      </v:rect>
                      <v:shape id="_x0000_s1026" o:spid="_x0000_s1026" o:spt="32" type="#_x0000_t32" style="position:absolute;left:2399030;top:370205;flip:y;height:7620;width:337185;" filled="f" stroked="t" coordsize="21600,21600" o:gfxdata="UEsDBAoAAAAAAIdO4kAAAAAAAAAAAAAAAAAEAAAAZHJzL1BLAwQUAAAACACHTuJABl0a6NQAAAAF&#10;AQAADwAAAGRycy9kb3ducmV2LnhtbE2PwU7DMBBE70j8g7VIXCpqt6AqDXF6KCCQkBCUfoBrL0mE&#10;vY5itwl/z8IFLiuNZjT7ptpMwYsTDqmLpGExVyCQbHQdNRr27w9XBYiUDTnjI6GGL0ywqc/PKlO6&#10;ONIbnna5EVxCqTQa2pz7UspkWwwmzWOPxN5HHILJLIdGusGMXB68XCq1ksF0xB9a0+O2Rfu5OwYN&#10;k7xfP6mZfbyj53HprH953Y4zrS8vFuoWRMYp/4XhB5/RoWamQzySS8Jr4CH597JXrG5YHjikrguQ&#10;dSX/09ffUEsDBBQAAAAIAIdO4kBLhP3+MQIAACQEAAAOAAAAZHJzL2Uyb0RvYy54bWytU8uO0zAU&#10;3SPxD5b3NGlDHxM1nUXLsEEwEo/9reMklvyS7Wnan+AHkFgBK2A1e74Ghs/g2ikdGDazIIvo2tf3&#10;3HPuY3m+V5LsuPPC6IqORzklXDNTC91W9PWri0cLSnwAXYM0mlf0wD09Xz18sOxtySemM7LmjiCI&#10;9mVvK9qFYMss86zjCvzIWK7R2RinIODRtVntoEd0JbNJns+y3rjaOsO493i7GZz0iOjuA2iaRjC+&#10;MexKcR0GVMclBJTkO2E9XSW2TcNZeNE0ngciK4pKQ/pjErS38Z+tllC2Dmwn2JEC3IfCHU0KhMak&#10;J6gNBCBXTvwDpQRzxpsmjJhR2SAkVQRVjPM7tXnZgeVJC5ba21PR/f+DZc93l46IGifhMSUaFHb8&#10;5t31j7cfb75++f7h+ue399H+/ImgH4vVW19izFpfuuPJ20sXle8bp0gjhX2DWKkWqI7sKzopzs7y&#10;Agt+qGgxzyf5dKg63wfC0F8U8/FiSglD/3w2ST3JBryIa50PT7lRJBoV9cGBaLuwNlpjd40bcsHu&#10;mQ/ICAN/B8RgbS6ElKnJUpO+orNiikwY4OA2ODBoKovivW4pAdniRrDgEntvpKhjdMTxrt2upSM7&#10;iHOUvigCs/31LKbegO+Gd8k1aFUi4NJIoSq6OEVD2XGon+iahIPFumvct+F5ACFv74MToFvJaRSg&#10;eE2J5Eg0WgMHqZFK7MzQi2htTX1ILUr3ODyJ7HHQ43T+eU7Rt8u9+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GXRro1AAAAAUBAAAPAAAAAAAAAAEAIAAAACIAAABkcnMvZG93bnJldi54bWxQSwEC&#10;FAAUAAAACACHTuJAS4T9/jECAAAkBAAADgAAAAAAAAABACAAAAAjAQAAZHJzL2Uyb0RvYy54bWxQ&#10;SwUGAAAAAAYABgBZAQAAxgUAAAAA&#10;">
                        <v:fill on="f" focussize="0,0"/>
                        <v:stroke weight="0.5pt" color="#000000 [3213]" miterlimit="8" joinstyle="miter" endarrow="block"/>
                        <v:imagedata o:title=""/>
                        <o:lock v:ext="edit" aspectratio="f"/>
                      </v:shape>
                      <v:shape id="_x0000_s1026" o:spid="_x0000_s1026" o:spt="32" type="#_x0000_t32" style="position:absolute;left:3970655;top:379730;flip:y;height:7620;width:337185;" filled="f" stroked="t" coordsize="21600,21600" o:gfxdata="UEsDBAoAAAAAAIdO4kAAAAAAAAAAAAAAAAAEAAAAZHJzL1BLAwQUAAAACACHTuJABl0a6NQAAAAF&#10;AQAADwAAAGRycy9kb3ducmV2LnhtbE2PwU7DMBBE70j8g7VIXCpqt6AqDXF6KCCQkBCUfoBrL0mE&#10;vY5itwl/z8IFLiuNZjT7ptpMwYsTDqmLpGExVyCQbHQdNRr27w9XBYiUDTnjI6GGL0ywqc/PKlO6&#10;ONIbnna5EVxCqTQa2pz7UspkWwwmzWOPxN5HHILJLIdGusGMXB68XCq1ksF0xB9a0+O2Rfu5OwYN&#10;k7xfP6mZfbyj53HprH953Y4zrS8vFuoWRMYp/4XhB5/RoWamQzySS8Jr4CH597JXrG5YHjikrguQ&#10;dSX/09ffUEsDBBQAAAAIAIdO4kBlLEY2LgIAACQEAAAOAAAAZHJzL2Uyb0RvYy54bWytU72OEzEQ&#10;7pF4B8s92fwoyd0qmysSjgZBJH76ie3dteQ/2b5s8hK8ABIVUHFU1/M0cDwGY2/IwdFcwRarscfz&#10;zXzfzCwu9lqRnfBBWlPR0WBIiTDMcmmair55ffnkjJIQwXBQ1oiKHkSgF8vHjxadK8XYtlZx4QmC&#10;mFB2rqJtjK4sisBaoSEMrBMGnbX1GiIefVNwDx2ia1WMh8NZ0VnPnbdMhIC3695Jj4j+IYC2riUT&#10;a8uutDCxR/VCQURKoZUu0GWutq4Fiy/rOohIVEWRacx/TIL2Nv2L5QLKxoNrJTuWAA8p4R4nDdJg&#10;0hPUGiKQKy//gdKSeRtsHQfM6qInkhVBFqPhPW1eteBE5oJSB3cSPfw/WPZit/FEcpyEKSUGNHb8&#10;9v3Nj3efbr9ef/948/Pbh2R/+UzQj2J1LpQYszIbfzwFt/GJ+b72mtRKureIlbVAdmRf0cn5fDib&#10;IvoB7fn5fHJUXewjYck/mY/O0M3QP5+Ns7fo8RKu8yE+E1aTZFQ0RA+yaePKGoPdtb7PBbvnIWJF&#10;GPg7IAUbeymVyk1WhnQVnU2m2HoGOLg1Dgya2iH5YBpKQDW4ESz6XH2wSvIUnXCCb7Yr5ckO0hzl&#10;L6mB2f56llKvIbT9u+zqJ0zLiEujpK7o2SkaylYAf2o4iQeHuhvct/55BKnu7qOXYBolaCKgBadE&#10;CSw0WX0NymApqTN9L5K1tfyQW5TvcXhyscdBT9P55zlH3y338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GXRro1AAAAAUBAAAPAAAAAAAAAAEAIAAAACIAAABkcnMvZG93bnJldi54bWxQSwECFAAU&#10;AAAACACHTuJAZSxGNi4CAAAkBAAADgAAAAAAAAABACAAAAAjAQAAZHJzL2Uyb0RvYy54bWxQSwUG&#10;AAAAAAYABgBZAQAAwwUAAAAA&#10;">
                        <v:fill on="f" focussize="0,0"/>
                        <v:stroke weight="0.5pt" color="#000000 [3213]" miterlimit="8" joinstyle="miter" endarrow="block"/>
                        <v:imagedata o:title=""/>
                        <o:lock v:ext="edit" aspectratio="f"/>
                      </v:shape>
                      <v:rect id="_x0000_s1026" o:spid="_x0000_s1026" o:spt="1" style="position:absolute;left:4317365;top:103505;height:561975;width:1121410;v-text-anchor:middle;" filled="f" stroked="t" coordsize="21600,21600" o:gfxdata="UEsDBAoAAAAAAIdO4kAAAAAAAAAAAAAAAAAEAAAAZHJzL1BLAwQUAAAACACHTuJAVDdeF9QAAAAF&#10;AQAADwAAAGRycy9kb3ducmV2LnhtbE2PwU7DMBBE70j8g7VI3KhdaKsoxOkhiAMCCVG4cHPjbZIS&#10;ryPbScrfs3Chl5VGM5p9U2xPrhcThth50rBcKBBItbcdNRo+3h9vMhAxGbKm94QavjHCtry8KExu&#10;/UxvOO1SI7iEYm40tCkNuZSxbtGZuPADEnsHH5xJLEMjbTAzl7te3iq1kc50xB9aM2DVYv21G52G&#10;z/VRvnbVbMaXp4fn9RS8qlZe6+urpboHkfCU/sPwi8/oUDLT3o9ko+g18JD0d9nLNiuWew6puwxk&#10;Wchz+vIHUEsDBBQAAAAIAIdO4kAe2PtxewIAAOMEAAAOAAAAZHJzL2Uyb0RvYy54bWytVMtuEzEU&#10;3SPxD5b3dDJpHm3USRU1KkKqaKWAWDseT8aSX9jOo/wMEjs+gs9B/AbHnmkbCosuyMK51/fOuT7H&#10;9/ri8qAV2QkfpDUVLU8GlAjDbS3NpqIfP1y/OaMkRGZqpqwRFb0XgV7OX7+62LuZGNrWqlp4AhAT&#10;ZntX0TZGNyuKwFuhWTixThgEG+s1i3D9pqg92wNdq2I4GEyKvfW185aLELC77IK0R/QvAbRNI7lY&#10;Wr7VwsQO1QvFIiiFVrpA5/m0TSN4vG2aICJRFQXTmFcUgb1OazG/YLONZ66VvD8Ce8kRnnHSTBoU&#10;fYRassjI1su/oLTk3gbbxBNuddERyYqARTl4ps2qZU5kLpA6uEfRw/+D5e93d57IGp0wocQwjRv/&#10;9fX7zx/fCDagzt6FGZJW7s73XoCZqB4ar9M/SJBDRUen5fR0MqbkHliD0/Fg3IkrDpFwxMtyWI5K&#10;6M6RMJ6U59OcUDwBOR/iW2E1SUZFPS4va8p2NyGiOFIfUlJdY6+lUvkClSF7VBhOBwmfoSsbdANM&#10;7cAsmA0lTG3Q7jz6DBmsknX6PAEFv1lfKU92LDVJ/qWjo9wfaan2koW2y8uhjqGWEROhpK7o2fHX&#10;ygAk6dcplqx4WB96Gde2vof03nY9GRy/lqhww0K8Yx5NCCoY03iLpVEW/GxvUdJa/+Vf+ykfvYEo&#10;JXs0Nbh/3jIvKFHvDLrmvByNABuzMxpPh3D8cWR9HDFbfWUhSYkHwfFspvyoHszGW/0J07xIVRFi&#10;hqN2p3LvXMVu2PAecLFY5DR0vmPxxqwcT+DdXS620TYyX3MSqlOn1w+9n6+jn9M0XMd+znp6m+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Q3XhfUAAAABQEAAA8AAAAAAAAAAQAgAAAAIgAAAGRy&#10;cy9kb3ducmV2LnhtbFBLAQIUABQAAAAIAIdO4kAe2PtxewIAAOMEAAAOAAAAAAAAAAEAIAAAACMB&#10;AABkcnMvZTJvRG9jLnhtbFBLBQYAAAAABgAGAFkBAAAQBgAAAAA=&#10;">
                        <v:fill on="f" focussize="0,0"/>
                        <v:stroke weight="1pt" color="#000000 [3213]" miterlimit="8" joinstyle="miter"/>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color w:val="000000" w:themeColor="text1"/>
                                  <w:lang w:val="en-US" w:eastAsia="zh-CN"/>
                                  <w14:textFill>
                                    <w14:solidFill>
                                      <w14:schemeClr w14:val="tx1"/>
                                    </w14:solidFill>
                                  </w14:textFill>
                                </w:rPr>
                                <w:t>云霄经济开发区污</w:t>
                              </w:r>
                              <w:r>
                                <w:rPr>
                                  <w:rFonts w:hint="eastAsia" w:ascii="宋体" w:hAnsi="宋体" w:eastAsia="宋体" w:cs="宋体"/>
                                  <w:color w:val="000000"/>
                                  <w:sz w:val="24"/>
                                  <w:szCs w:val="24"/>
                                </w:rPr>
                                <w:t>水处理厂</w:t>
                              </w:r>
                            </w:p>
                          </w:txbxContent>
                        </v:textbox>
                      </v:rect>
                      <w10:wrap type="none"/>
                      <w10:anchorlock/>
                    </v:group>
                  </w:pict>
                </mc:Fallback>
              </mc:AlternateContent>
            </w:r>
          </w:p>
          <w:p>
            <w:pPr>
              <w:pStyle w:val="3"/>
              <w:widowControl w:val="0"/>
              <w:jc w:val="center"/>
              <w:rPr>
                <w:rFonts w:hint="eastAsia"/>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18"/>
                <w:lang w:val="zh-CN"/>
                <w14:textFill>
                  <w14:solidFill>
                    <w14:schemeClr w14:val="tx1"/>
                  </w14:solidFill>
                </w14:textFill>
              </w:rPr>
              <w:t>图</w:t>
            </w:r>
            <w:r>
              <w:rPr>
                <w:rFonts w:hint="eastAsia" w:ascii="Times New Roman" w:hAnsi="Times New Roman" w:eastAsia="宋体" w:cs="Times New Roman"/>
                <w:b/>
                <w:color w:val="000000" w:themeColor="text1"/>
                <w:sz w:val="21"/>
                <w:szCs w:val="18"/>
                <w:lang w:val="en-US" w:eastAsia="zh-CN"/>
                <w14:textFill>
                  <w14:solidFill>
                    <w14:schemeClr w14:val="tx1"/>
                  </w14:solidFill>
                </w14:textFill>
              </w:rPr>
              <w:t>2-1</w:t>
            </w:r>
            <w:r>
              <w:rPr>
                <w:rFonts w:hint="default" w:ascii="Times New Roman" w:hAnsi="Times New Roman" w:eastAsia="宋体" w:cs="Times New Roman"/>
                <w:b/>
                <w:color w:val="000000" w:themeColor="text1"/>
                <w:sz w:val="21"/>
                <w:szCs w:val="18"/>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sz w:val="21"/>
                <w:szCs w:val="18"/>
                <w:lang w:val="en-US" w:eastAsia="zh-CN"/>
                <w14:textFill>
                  <w14:solidFill>
                    <w14:schemeClr w14:val="tx1"/>
                  </w14:solidFill>
                </w14:textFill>
              </w:rPr>
              <w:t>水平衡图（</w:t>
            </w:r>
            <w:r>
              <w:rPr>
                <w:rFonts w:hint="eastAsia" w:ascii="Times New Roman" w:hAnsi="Times New Roman" w:eastAsia="宋体" w:cs="Times New Roman"/>
                <w:color w:val="000000" w:themeColor="text1"/>
                <w:sz w:val="21"/>
                <w:szCs w:val="36"/>
                <w:lang w:val="en-US" w:eastAsia="zh-CN"/>
                <w14:textFill>
                  <w14:solidFill>
                    <w14:schemeClr w14:val="tx1"/>
                  </w14:solidFill>
                </w14:textFill>
              </w:rPr>
              <w:t>t</w:t>
            </w:r>
            <w:r>
              <w:rPr>
                <w:rFonts w:hint="eastAsia" w:ascii="Times New Roman" w:hAnsi="Times New Roman" w:eastAsia="宋体" w:cs="Times New Roman"/>
                <w:b/>
                <w:color w:val="000000" w:themeColor="text1"/>
                <w:sz w:val="21"/>
                <w:szCs w:val="18"/>
                <w:lang w:val="en-US" w:eastAsia="zh-CN"/>
                <w14:textFill>
                  <w14:solidFill>
                    <w14:schemeClr w14:val="tx1"/>
                  </w14:solidFill>
                </w14:textFill>
              </w:rPr>
              <w:t>/a）</w:t>
            </w:r>
          </w:p>
          <w:p>
            <w:pPr>
              <w:pStyle w:val="23"/>
              <w:keepNext w:val="0"/>
              <w:keepLines w:val="0"/>
              <w:pageBreakBefore w:val="0"/>
              <w:widowControl w:val="0"/>
              <w:kinsoku/>
              <w:wordWrap/>
              <w:overflowPunct/>
              <w:topLinePunct w:val="0"/>
              <w:autoSpaceDE/>
              <w:autoSpaceDN/>
              <w:bidi w:val="0"/>
              <w:adjustRightInd w:val="0"/>
              <w:snapToGrid w:val="0"/>
              <w:spacing w:before="181" w:beforeLines="50"/>
              <w:ind w:firstLine="450" w:firstLineChars="200"/>
              <w:jc w:val="both"/>
              <w:textAlignment w:val="auto"/>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6、主要工艺流程及产污环节</w:t>
            </w:r>
          </w:p>
          <w:p>
            <w:pPr>
              <w:pStyle w:val="23"/>
              <w:widowControl w:val="0"/>
              <w:ind w:firstLine="0" w:firstLineChars="0"/>
              <w:jc w:val="left"/>
              <w:rPr>
                <w:rFonts w:ascii="Times New Roman" w:hAnsi="Times New Roman" w:eastAsia="宋体" w:cs="Times New Roman"/>
                <w:b/>
                <w:bCs/>
                <w:color w:val="000000" w:themeColor="text1"/>
                <w:sz w:val="21"/>
                <w:szCs w:val="21"/>
                <w14:textFill>
                  <w14:solidFill>
                    <w14:schemeClr w14:val="tx1"/>
                  </w14:solidFill>
                </w14:textFill>
              </w:rPr>
            </w:pPr>
          </w:p>
          <w:p>
            <w:pPr>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14:textFill>
                  <w14:solidFill>
                    <w14:schemeClr w14:val="tx1"/>
                  </w14:solidFill>
                </w14:textFill>
              </w:rPr>
            </w:pPr>
            <w:bookmarkStart w:id="1" w:name="_Toc29387767"/>
            <w:r>
              <w:rPr>
                <w:color w:val="000000" w:themeColor="text1"/>
                <w14:textFill>
                  <w14:solidFill>
                    <w14:schemeClr w14:val="tx1"/>
                  </w14:solidFill>
                </w14:textFill>
              </w:rPr>
              <w:drawing>
                <wp:inline distT="0" distB="0" distL="114300" distR="114300">
                  <wp:extent cx="4909820" cy="1359535"/>
                  <wp:effectExtent l="0" t="0" r="5080" b="1206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1"/>
                          <a:stretch>
                            <a:fillRect/>
                          </a:stretch>
                        </pic:blipFill>
                        <pic:spPr>
                          <a:xfrm>
                            <a:off x="0" y="0"/>
                            <a:ext cx="4909820" cy="1359535"/>
                          </a:xfrm>
                          <a:prstGeom prst="rect">
                            <a:avLst/>
                          </a:prstGeom>
                          <a:noFill/>
                          <a:ln>
                            <a:noFill/>
                          </a:ln>
                        </pic:spPr>
                      </pic:pic>
                    </a:graphicData>
                  </a:graphic>
                </wp:inline>
              </w:drawing>
            </w:r>
          </w:p>
          <w:p>
            <w:pPr>
              <w:pageBreakBefore w:val="0"/>
              <w:widowControl w:val="0"/>
              <w:kinsoku/>
              <w:wordWrap/>
              <w:overflowPunct/>
              <w:topLinePunct w:val="0"/>
              <w:bidi w:val="0"/>
              <w:adjustRightInd w:val="0"/>
              <w:snapToGrid w:val="0"/>
              <w:spacing w:line="360" w:lineRule="auto"/>
              <w:jc w:val="center"/>
              <w:rPr>
                <w:rFonts w:hint="default" w:ascii="Times New Roman" w:hAnsi="Times New Roman" w:eastAsia="宋体" w:cs="Times New Roman"/>
                <w:b/>
                <w:color w:val="000000" w:themeColor="text1"/>
                <w:sz w:val="21"/>
                <w:szCs w:val="18"/>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18"/>
                <w:lang w:val="zh-CN"/>
                <w14:textFill>
                  <w14:solidFill>
                    <w14:schemeClr w14:val="tx1"/>
                  </w14:solidFill>
                </w14:textFill>
              </w:rPr>
              <w:t>图</w:t>
            </w:r>
            <w:r>
              <w:rPr>
                <w:rFonts w:hint="eastAsia" w:ascii="Times New Roman" w:hAnsi="Times New Roman" w:eastAsia="宋体" w:cs="Times New Roman"/>
                <w:b/>
                <w:color w:val="000000" w:themeColor="text1"/>
                <w:sz w:val="21"/>
                <w:szCs w:val="18"/>
                <w:lang w:val="en-US" w:eastAsia="zh-CN"/>
                <w14:textFill>
                  <w14:solidFill>
                    <w14:schemeClr w14:val="tx1"/>
                  </w14:solidFill>
                </w14:textFill>
              </w:rPr>
              <w:t>2-2</w:t>
            </w:r>
            <w:r>
              <w:rPr>
                <w:rFonts w:hint="default" w:ascii="Times New Roman" w:hAnsi="Times New Roman" w:eastAsia="宋体" w:cs="Times New Roman"/>
                <w:b/>
                <w:color w:val="000000" w:themeColor="text1"/>
                <w:sz w:val="21"/>
                <w:szCs w:val="18"/>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sz w:val="21"/>
                <w:szCs w:val="18"/>
                <w:lang w:val="en-US" w:eastAsia="zh-CN"/>
                <w14:textFill>
                  <w14:solidFill>
                    <w14:schemeClr w14:val="tx1"/>
                  </w14:solidFill>
                </w14:textFill>
              </w:rPr>
              <w:t>生产</w:t>
            </w:r>
            <w:r>
              <w:rPr>
                <w:rFonts w:hint="default" w:ascii="Times New Roman" w:hAnsi="Times New Roman" w:eastAsia="宋体" w:cs="Times New Roman"/>
                <w:b/>
                <w:color w:val="000000" w:themeColor="text1"/>
                <w:sz w:val="21"/>
                <w:szCs w:val="18"/>
                <w:lang w:val="en-US" w:eastAsia="zh-CN"/>
                <w14:textFill>
                  <w14:solidFill>
                    <w14:schemeClr w14:val="tx1"/>
                  </w14:solidFill>
                </w14:textFill>
              </w:rPr>
              <w:t>工艺流程及产污环节</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left"/>
              <w:textAlignment w:val="auto"/>
              <w:rPr>
                <w:rFonts w:hint="default" w:ascii="Times New Roman" w:hAnsi="Times New Roman" w:eastAsia="宋体" w:cs="Times New Roman"/>
                <w:b/>
                <w:bCs/>
                <w:color w:val="000000" w:themeColor="text1"/>
                <w:spacing w:val="0"/>
                <w:sz w:val="24"/>
                <w:szCs w:val="22"/>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sz w:val="24"/>
                <w:szCs w:val="22"/>
                <w:lang w:val="en-US" w:eastAsia="zh-CN" w:bidi="ar-SA"/>
                <w14:textFill>
                  <w14:solidFill>
                    <w14:schemeClr w14:val="tx1"/>
                  </w14:solidFill>
                </w14:textFill>
              </w:rPr>
              <w:t>工艺简介:</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本项目由客户提供不干胶纸半成品，进行印刷处理。</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印刷：根据客户需求不同，通过印刷机在所需的原材纸上印上相应图案。项目使用油墨为</w:t>
            </w:r>
            <w:r>
              <w:rPr>
                <w:rFonts w:hint="default" w:ascii="Times New Roman" w:hAnsi="Times New Roman" w:eastAsia="TimesNewRomanPSMT" w:cs="Times New Roman"/>
                <w:color w:val="000000" w:themeColor="text1"/>
                <w:sz w:val="24"/>
                <w14:textFill>
                  <w14:solidFill>
                    <w14:schemeClr w14:val="tx1"/>
                  </w14:solidFill>
                </w14:textFill>
              </w:rPr>
              <w:t>UV</w:t>
            </w:r>
            <w:r>
              <w:rPr>
                <w:rFonts w:hint="default" w:ascii="Times New Roman" w:hAnsi="Times New Roman" w:eastAsia="宋体" w:cs="Times New Roman"/>
                <w:color w:val="000000" w:themeColor="text1"/>
                <w:sz w:val="24"/>
                <w14:textFill>
                  <w14:solidFill>
                    <w14:schemeClr w14:val="tx1"/>
                  </w14:solidFill>
                </w14:textFill>
              </w:rPr>
              <w:t>油墨，印刷机磨辊需定期用酒精进行擦拭清理。</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模切：按照设计好的图形，在压力的作用下，纸张被轧切成所需形状切痕。</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品检、分条：制成产品进行检验，检验合格的产品进行分条。</w:t>
            </w:r>
          </w:p>
          <w:p>
            <w:pPr>
              <w:widowControl/>
              <w:spacing w:line="360" w:lineRule="auto"/>
              <w:ind w:firstLine="480" w:firstLineChars="200"/>
              <w:jc w:val="both"/>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包装：对成品进行包装</w:t>
            </w:r>
            <w:r>
              <w:rPr>
                <w:rFonts w:hint="eastAsia" w:ascii="Times New Roman" w:hAnsi="Times New Roman" w:eastAsia="宋体" w:cs="Times New Roman"/>
                <w:color w:val="000000" w:themeColor="text1"/>
                <w:sz w:val="24"/>
                <w:lang w:eastAsia="zh-CN"/>
                <w14:textFill>
                  <w14:solidFill>
                    <w14:schemeClr w14:val="tx1"/>
                  </w14:solidFill>
                </w14:textFill>
              </w:rPr>
              <w:t>即为成品</w:t>
            </w:r>
            <w:r>
              <w:rPr>
                <w:rFonts w:hint="default" w:ascii="Times New Roman" w:hAnsi="Times New Roman" w:eastAsia="宋体" w:cs="Times New Roman"/>
                <w:color w:val="000000" w:themeColor="text1"/>
                <w:sz w:val="24"/>
                <w14:textFill>
                  <w14:solidFill>
                    <w14:schemeClr w14:val="tx1"/>
                  </w14:solidFill>
                </w14:textFill>
              </w:rPr>
              <w:t>。</w:t>
            </w:r>
          </w:p>
          <w:p>
            <w:pPr>
              <w:widowControl w:val="0"/>
              <w:adjustRightInd w:val="0"/>
              <w:spacing w:line="360" w:lineRule="auto"/>
              <w:ind w:firstLine="482" w:firstLineChars="200"/>
              <w:jc w:val="both"/>
              <w:rPr>
                <w:rFonts w:hint="default" w:ascii="Times New Roman" w:hAnsi="Times New Roman" w:eastAsia="宋体" w:cs="Times New Roman"/>
                <w:b/>
                <w:bCs/>
                <w:color w:val="000000" w:themeColor="text1"/>
                <w:spacing w:val="0"/>
                <w:sz w:val="24"/>
                <w:szCs w:val="22"/>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sz w:val="24"/>
                <w:szCs w:val="22"/>
                <w:lang w:val="en-US" w:eastAsia="zh-CN" w:bidi="ar-SA"/>
                <w14:textFill>
                  <w14:solidFill>
                    <w14:schemeClr w14:val="tx1"/>
                  </w14:solidFill>
                </w14:textFill>
              </w:rPr>
              <w:t>产污环节:</w:t>
            </w:r>
          </w:p>
          <w:p>
            <w:pPr>
              <w:pStyle w:val="2"/>
              <w:widowControl w:val="0"/>
              <w:jc w:val="center"/>
              <w:rPr>
                <w:rFonts w:hint="default" w:ascii="Times New Roman" w:hAnsi="Times New Roman" w:eastAsia="宋体" w:cs="Times New Roman"/>
                <w:b/>
                <w:color w:val="000000" w:themeColor="text1"/>
                <w:sz w:val="21"/>
                <w:szCs w:val="21"/>
                <w:shd w:val="clear"/>
                <w:lang w:val="en-US" w:eastAsia="zh-CN" w:bidi="ar-SA"/>
                <w14:textFill>
                  <w14:solidFill>
                    <w14:schemeClr w14:val="tx1"/>
                  </w14:solidFill>
                </w14:textFill>
              </w:rPr>
            </w:pPr>
            <w:r>
              <w:rPr>
                <w:rFonts w:hint="default" w:ascii="Times New Roman" w:hAnsi="Times New Roman" w:eastAsia="宋体" w:cs="Times New Roman"/>
                <w:b/>
                <w:color w:val="000000" w:themeColor="text1"/>
                <w:sz w:val="21"/>
                <w:szCs w:val="21"/>
                <w:shd w:val="clear"/>
                <w:lang w:val="en-US" w:eastAsia="zh-CN" w:bidi="ar-SA"/>
                <w14:textFill>
                  <w14:solidFill>
                    <w14:schemeClr w14:val="tx1"/>
                  </w14:solidFill>
                </w14:textFill>
              </w:rPr>
              <w:t>表</w:t>
            </w:r>
            <w:r>
              <w:rPr>
                <w:rFonts w:hint="eastAsia" w:ascii="Times New Roman" w:hAnsi="Times New Roman" w:eastAsia="宋体" w:cs="Times New Roman"/>
                <w:b/>
                <w:color w:val="000000" w:themeColor="text1"/>
                <w:sz w:val="21"/>
                <w:szCs w:val="21"/>
                <w:shd w:val="clear"/>
                <w:lang w:val="en-US" w:eastAsia="zh-CN" w:bidi="ar-SA"/>
                <w14:textFill>
                  <w14:solidFill>
                    <w14:schemeClr w14:val="tx1"/>
                  </w14:solidFill>
                </w14:textFill>
              </w:rPr>
              <w:t>2-5</w:t>
            </w:r>
            <w:r>
              <w:rPr>
                <w:rFonts w:hint="default" w:ascii="Times New Roman" w:hAnsi="Times New Roman" w:eastAsia="宋体" w:cs="Times New Roman"/>
                <w:b/>
                <w:color w:val="000000" w:themeColor="text1"/>
                <w:sz w:val="21"/>
                <w:szCs w:val="21"/>
                <w:shd w:val="clear"/>
                <w:lang w:val="en-US" w:eastAsia="zh-CN" w:bidi="ar-SA"/>
                <w14:textFill>
                  <w14:solidFill>
                    <w14:schemeClr w14:val="tx1"/>
                  </w14:solidFill>
                </w14:textFill>
              </w:rPr>
              <w:t xml:space="preserve"> 项目产污环节汇总表</w:t>
            </w:r>
          </w:p>
          <w:tbl>
            <w:tblPr>
              <w:tblStyle w:val="25"/>
              <w:tblW w:w="4947"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870"/>
              <w:gridCol w:w="1551"/>
              <w:gridCol w:w="1831"/>
              <w:gridCol w:w="1740"/>
              <w:gridCol w:w="595"/>
              <w:gridCol w:w="2069"/>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trHeight w:val="420" w:hRule="atLeast"/>
                <w:jc w:val="center"/>
              </w:trPr>
              <w:tc>
                <w:tcPr>
                  <w:tcW w:w="502"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类 别</w:t>
                  </w:r>
                </w:p>
              </w:tc>
              <w:tc>
                <w:tcPr>
                  <w:tcW w:w="896"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产污环节</w:t>
                  </w:r>
                </w:p>
              </w:tc>
              <w:tc>
                <w:tcPr>
                  <w:tcW w:w="1057"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主要污染物</w:t>
                  </w:r>
                </w:p>
              </w:tc>
              <w:tc>
                <w:tcPr>
                  <w:tcW w:w="1005"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收集方式</w:t>
                  </w:r>
                </w:p>
              </w:tc>
              <w:tc>
                <w:tcPr>
                  <w:tcW w:w="1538" w:type="pct"/>
                  <w:gridSpan w:val="2"/>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处置措施及去向</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trHeight w:val="470" w:hRule="atLeast"/>
                <w:jc w:val="center"/>
              </w:trPr>
              <w:tc>
                <w:tcPr>
                  <w:tcW w:w="502"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w:t>
                  </w:r>
                </w:p>
              </w:tc>
              <w:tc>
                <w:tcPr>
                  <w:tcW w:w="896"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设备擦拭、</w:t>
                  </w:r>
                </w:p>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印刷废气</w:t>
                  </w:r>
                </w:p>
              </w:tc>
              <w:tc>
                <w:tcPr>
                  <w:tcW w:w="1057"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非甲烷总烃</w:t>
                  </w:r>
                </w:p>
              </w:tc>
              <w:tc>
                <w:tcPr>
                  <w:tcW w:w="1005"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集气罩</w:t>
                  </w:r>
                </w:p>
              </w:tc>
              <w:tc>
                <w:tcPr>
                  <w:tcW w:w="1538" w:type="pct"/>
                  <w:gridSpan w:val="2"/>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活性炭吸附装置+排气筒</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trHeight w:val="531" w:hRule="atLeast"/>
                <w:jc w:val="center"/>
              </w:trPr>
              <w:tc>
                <w:tcPr>
                  <w:tcW w:w="502"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废水</w:t>
                  </w:r>
                </w:p>
              </w:tc>
              <w:tc>
                <w:tcPr>
                  <w:tcW w:w="896"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职工用水</w:t>
                  </w:r>
                </w:p>
              </w:tc>
              <w:tc>
                <w:tcPr>
                  <w:tcW w:w="1057"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COD、</w:t>
                  </w:r>
                  <w:r>
                    <w:rPr>
                      <w:rFonts w:hint="default" w:ascii="Times New Roman" w:hAnsi="Times New Roman" w:eastAsia="宋体" w:cs="Times New Roman"/>
                      <w:color w:val="000000" w:themeColor="text1"/>
                      <w:sz w:val="21"/>
                      <w:szCs w:val="21"/>
                      <w14:textFill>
                        <w14:solidFill>
                          <w14:schemeClr w14:val="tx1"/>
                        </w14:solidFill>
                      </w14:textFill>
                    </w:rPr>
                    <w:t>BOD5、NH3-N、SS</w:t>
                  </w:r>
                </w:p>
              </w:tc>
              <w:tc>
                <w:tcPr>
                  <w:tcW w:w="2544" w:type="pct"/>
                  <w:gridSpan w:val="3"/>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依托厂房配套三级化粪池通过市政污水管道进入</w:t>
                  </w:r>
                  <w:r>
                    <w:rPr>
                      <w:rFonts w:hint="default" w:ascii="Times New Roman" w:hAnsi="Times New Roman" w:eastAsia="宋体" w:cs="Times New Roman"/>
                      <w:color w:val="000000" w:themeColor="text1"/>
                      <w:sz w:val="21"/>
                      <w:szCs w:val="21"/>
                      <w14:textFill>
                        <w14:solidFill>
                          <w14:schemeClr w14:val="tx1"/>
                        </w14:solidFill>
                      </w14:textFill>
                    </w:rPr>
                    <w:t>云霄经济开发区污水处理厂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502"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固废</w:t>
                  </w:r>
                </w:p>
              </w:tc>
              <w:tc>
                <w:tcPr>
                  <w:tcW w:w="896"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生活垃圾</w:t>
                  </w:r>
                </w:p>
              </w:tc>
              <w:tc>
                <w:tcPr>
                  <w:tcW w:w="1057"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生活垃圾</w:t>
                  </w:r>
                </w:p>
              </w:tc>
              <w:tc>
                <w:tcPr>
                  <w:tcW w:w="2544" w:type="pct"/>
                  <w:gridSpan w:val="3"/>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环卫部门统一清运</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50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96"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模切、分条、品检</w:t>
                  </w:r>
                </w:p>
              </w:tc>
              <w:tc>
                <w:tcPr>
                  <w:tcW w:w="1057"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次品、边角料</w:t>
                  </w:r>
                </w:p>
              </w:tc>
              <w:tc>
                <w:tcPr>
                  <w:tcW w:w="1348" w:type="pct"/>
                  <w:gridSpan w:val="2"/>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统一收集</w:t>
                  </w:r>
                </w:p>
              </w:tc>
              <w:tc>
                <w:tcPr>
                  <w:tcW w:w="1195"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相关单位回收利用</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50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96"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原料包装</w:t>
                  </w:r>
                </w:p>
              </w:tc>
              <w:tc>
                <w:tcPr>
                  <w:tcW w:w="1057"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废油墨包装罐</w:t>
                  </w:r>
                </w:p>
              </w:tc>
              <w:tc>
                <w:tcPr>
                  <w:tcW w:w="1348" w:type="pct"/>
                  <w:gridSpan w:val="2"/>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统一收集</w:t>
                  </w:r>
                </w:p>
              </w:tc>
              <w:tc>
                <w:tcPr>
                  <w:tcW w:w="1195"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有资质单位清运</w:t>
                  </w:r>
                </w:p>
                <w:p>
                  <w:pPr>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处置</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50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96"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废气处理</w:t>
                  </w:r>
                </w:p>
              </w:tc>
              <w:tc>
                <w:tcPr>
                  <w:tcW w:w="1057"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废活性炭</w:t>
                  </w:r>
                </w:p>
              </w:tc>
              <w:tc>
                <w:tcPr>
                  <w:tcW w:w="1348" w:type="pct"/>
                  <w:gridSpan w:val="2"/>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统一收集</w:t>
                  </w:r>
                </w:p>
              </w:tc>
              <w:tc>
                <w:tcPr>
                  <w:tcW w:w="1195"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50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96"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设备擦洗</w:t>
                  </w:r>
                </w:p>
              </w:tc>
              <w:tc>
                <w:tcPr>
                  <w:tcW w:w="1057"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含酒精抹布</w:t>
                  </w:r>
                </w:p>
              </w:tc>
              <w:tc>
                <w:tcPr>
                  <w:tcW w:w="1348" w:type="pct"/>
                  <w:gridSpan w:val="2"/>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统一收集</w:t>
                  </w:r>
                </w:p>
              </w:tc>
              <w:tc>
                <w:tcPr>
                  <w:tcW w:w="1195"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61" w:hRule="atLeast"/>
                <w:jc w:val="center"/>
              </w:trPr>
              <w:tc>
                <w:tcPr>
                  <w:tcW w:w="502"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w:t>
                  </w:r>
                </w:p>
              </w:tc>
              <w:tc>
                <w:tcPr>
                  <w:tcW w:w="896"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设备运行</w:t>
                  </w:r>
                </w:p>
              </w:tc>
              <w:tc>
                <w:tcPr>
                  <w:tcW w:w="1057"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设备噪声</w:t>
                  </w:r>
                </w:p>
              </w:tc>
              <w:tc>
                <w:tcPr>
                  <w:tcW w:w="2544" w:type="pct"/>
                  <w:gridSpan w:val="3"/>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选用低噪声设备、室内布置、减振</w:t>
                  </w:r>
                </w:p>
              </w:tc>
            </w:tr>
          </w:tbl>
          <w:p>
            <w:pPr>
              <w:widowControl w:val="0"/>
              <w:adjustRightInd w:val="0"/>
              <w:spacing w:line="360" w:lineRule="auto"/>
              <w:ind w:firstLine="422" w:firstLineChars="200"/>
              <w:jc w:val="both"/>
              <w:rPr>
                <w:rFonts w:hint="default" w:ascii="Times New Roman" w:hAnsi="Times New Roman" w:eastAsia="宋体" w:cs="Times New Roman"/>
                <w:b/>
                <w:bCs/>
                <w:color w:val="000000" w:themeColor="text1"/>
                <w:sz w:val="21"/>
                <w:szCs w:val="21"/>
                <w:lang w:val="en-US" w:eastAsia="zh-CN" w:bidi="ar-SA"/>
                <w14:textFill>
                  <w14:solidFill>
                    <w14:schemeClr w14:val="tx1"/>
                  </w14:solidFill>
                </w14:textFill>
              </w:rPr>
            </w:pPr>
          </w:p>
          <w:p>
            <w:pPr>
              <w:pStyle w:val="4"/>
              <w:widowControl w:val="0"/>
              <w:numPr>
                <w:ilvl w:val="0"/>
                <w:numId w:val="2"/>
              </w:numPr>
              <w:spacing w:line="415" w:lineRule="auto"/>
              <w:ind w:firstLine="450" w:firstLineChars="200"/>
              <w:jc w:val="both"/>
              <w:outlineLvl w:val="1"/>
              <w:rPr>
                <w:rFonts w:ascii="Times New Roman" w:hAnsi="Times New Roman" w:eastAsia="宋体" w:cs="Times New Roman"/>
                <w:color w:val="000000" w:themeColor="text1"/>
                <w:spacing w:val="-8"/>
                <w:kern w:val="0"/>
                <w:sz w:val="24"/>
                <w:szCs w:val="24"/>
                <w14:textFill>
                  <w14:solidFill>
                    <w14:schemeClr w14:val="tx1"/>
                  </w14:solidFill>
                </w14:textFill>
              </w:rPr>
            </w:pPr>
            <w:r>
              <w:rPr>
                <w:rFonts w:ascii="Times New Roman" w:hAnsi="Times New Roman" w:eastAsia="宋体" w:cs="Times New Roman"/>
                <w:color w:val="000000" w:themeColor="text1"/>
                <w:spacing w:val="-8"/>
                <w:kern w:val="0"/>
                <w:sz w:val="24"/>
                <w:szCs w:val="24"/>
                <w14:textFill>
                  <w14:solidFill>
                    <w14:schemeClr w14:val="tx1"/>
                  </w14:solidFill>
                </w14:textFill>
              </w:rPr>
              <w:t>不符合验收情形统计</w:t>
            </w:r>
            <w:bookmarkEnd w:id="1"/>
          </w:p>
          <w:p>
            <w:pPr>
              <w:widowControl/>
              <w:spacing w:line="360" w:lineRule="auto"/>
              <w:ind w:firstLine="480" w:firstLineChars="200"/>
              <w:jc w:val="both"/>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项目实际建设情况，经过与《建设项目竣工环境保护验收暂行办法》第八条逐一对照，最终得出结论：本项目不存在《建设项目竣工环境保护验收暂行办法》（以下简称《办法》）第八条规定的验收不合格情形。本项目实际建设情况与《办法》第八条规定详细对比情况见下表</w:t>
            </w:r>
            <w:r>
              <w:rPr>
                <w:rFonts w:hint="eastAsia" w:ascii="Times New Roman" w:hAnsi="Times New Roman" w:eastAsia="宋体" w:cs="Times New Roman"/>
                <w:color w:val="000000" w:themeColor="text1"/>
                <w:sz w:val="24"/>
                <w14:textFill>
                  <w14:solidFill>
                    <w14:schemeClr w14:val="tx1"/>
                  </w14:solidFill>
                </w14:textFill>
              </w:rPr>
              <w:t>2-</w:t>
            </w:r>
            <w:r>
              <w:rPr>
                <w:rFonts w:hint="eastAsia" w:ascii="Times New Roman" w:hAnsi="Times New Roman" w:eastAsia="宋体" w:cs="Times New Roman"/>
                <w:color w:val="000000" w:themeColor="text1"/>
                <w:sz w:val="24"/>
                <w:lang w:val="en-US" w:eastAsia="zh-CN"/>
                <w14:textFill>
                  <w14:solidFill>
                    <w14:schemeClr w14:val="tx1"/>
                  </w14:solidFill>
                </w14:textFill>
              </w:rPr>
              <w:t>5</w:t>
            </w:r>
            <w:r>
              <w:rPr>
                <w:rFonts w:ascii="Times New Roman" w:hAnsi="Times New Roman" w:eastAsia="宋体" w:cs="Times New Roman"/>
                <w:color w:val="000000" w:themeColor="text1"/>
                <w:sz w:val="24"/>
                <w14:textFill>
                  <w14:solidFill>
                    <w14:schemeClr w14:val="tx1"/>
                  </w14:solidFill>
                </w14:textFill>
              </w:rPr>
              <w:t>。</w:t>
            </w:r>
          </w:p>
          <w:p>
            <w:pPr>
              <w:pStyle w:val="51"/>
              <w:widowControl w:val="0"/>
              <w:spacing w:beforeLines="0" w:afterLines="0"/>
              <w:ind w:firstLine="422" w:firstLineChars="20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表</w:t>
            </w:r>
            <w:r>
              <w:rPr>
                <w:rFonts w:hint="eastAsia" w:ascii="Times New Roman" w:hAnsi="Times New Roman" w:eastAsia="宋体" w:cs="Times New Roman"/>
                <w:color w:val="000000" w:themeColor="text1"/>
                <w:sz w:val="21"/>
                <w:szCs w:val="21"/>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5 </w:t>
            </w:r>
            <w:r>
              <w:rPr>
                <w:rFonts w:ascii="Times New Roman" w:hAnsi="Times New Roman" w:eastAsia="宋体" w:cs="Times New Roman"/>
                <w:color w:val="000000" w:themeColor="text1"/>
                <w:sz w:val="21"/>
                <w:szCs w:val="21"/>
                <w14:textFill>
                  <w14:solidFill>
                    <w14:schemeClr w14:val="tx1"/>
                  </w14:solidFill>
                </w14:textFill>
              </w:rPr>
              <w:t>项目与《建设项目竣工环境保护验收暂行办法》第八条规定对照情况一览表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3416"/>
              <w:gridCol w:w="3742"/>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序号</w:t>
                  </w:r>
                </w:p>
              </w:tc>
              <w:tc>
                <w:tcPr>
                  <w:tcW w:w="1951"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《办法》规定不得提出验收合格意见的情形</w:t>
                  </w:r>
                </w:p>
              </w:tc>
              <w:tc>
                <w:tcPr>
                  <w:tcW w:w="2137"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本项目实际建设情况</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是否存在不符合验收情形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未按环境影响报告书（表）及其审批部门审批决定要求建成环境保护设施，或者环境保护设施不能与主体工程同时投产或者使用的；</w:t>
                  </w:r>
                </w:p>
              </w:tc>
              <w:tc>
                <w:tcPr>
                  <w:tcW w:w="2137"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项目按照建设项目环评及环评批复同时设计和建设了生活污水、废气、噪声、固废等污染防治设施，并同时投入试生产；</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污染物排放不符合国家和地方相关标准、环境影响报告书（表）及其审批部门审批决定或者重点污染物排放总量控制指标要求的；</w:t>
                  </w:r>
                </w:p>
              </w:tc>
              <w:tc>
                <w:tcPr>
                  <w:tcW w:w="2137"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根据监测</w:t>
                  </w:r>
                  <w:r>
                    <w:rPr>
                      <w:rFonts w:hint="eastAsia" w:ascii="Times New Roman" w:hAnsi="Times New Roman" w:eastAsia="宋体" w:cs="Times New Roman"/>
                      <w:color w:val="000000" w:themeColor="text1"/>
                      <w:sz w:val="21"/>
                      <w:szCs w:val="21"/>
                      <w14:textFill>
                        <w14:solidFill>
                          <w14:schemeClr w14:val="tx1"/>
                        </w14:solidFill>
                      </w14:textFill>
                    </w:rPr>
                    <w:t>结果</w:t>
                  </w:r>
                  <w:r>
                    <w:rPr>
                      <w:rFonts w:ascii="Times New Roman" w:hAnsi="Times New Roman" w:eastAsia="宋体"/>
                      <w:color w:val="000000" w:themeColor="text1"/>
                      <w:sz w:val="21"/>
                      <w:szCs w:val="21"/>
                      <w14:textFill>
                        <w14:solidFill>
                          <w14:schemeClr w14:val="tx1"/>
                        </w14:solidFill>
                      </w14:textFill>
                    </w:rPr>
                    <w:t>，项目生活污水、废气、噪声监测结果均符合相关标准要求</w:t>
                  </w:r>
                  <w:r>
                    <w:rPr>
                      <w:rFonts w:ascii="Times New Roman" w:hAnsi="Times New Roman" w:eastAsia="宋体" w:cs="Times New Roman"/>
                      <w:color w:val="000000" w:themeColor="text1"/>
                      <w:sz w:val="21"/>
                      <w:szCs w:val="21"/>
                      <w14:textFill>
                        <w14:solidFill>
                          <w14:schemeClr w14:val="tx1"/>
                        </w14:solidFill>
                      </w14:textFill>
                    </w:rPr>
                    <w:t>；</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环境影响报告书（表）经批准后，该建设项目的性质、规模、地点、采用的生产工艺或者防治污染、防止生态破坏的措施发生重大变动，建设单位未重新报批环境影响报告书（表）或者环境影响报告书（表）未经批准的；</w:t>
                  </w:r>
                </w:p>
              </w:tc>
              <w:tc>
                <w:tcPr>
                  <w:tcW w:w="2137"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本项目性质、规模、地点、采用的生产工艺和防治污染、防止生态破坏的措施均未发生重大变动。</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建设过程中造成重大环境污染未治理完成，或者造成重大生态破坏未恢复的；</w:t>
                  </w:r>
                </w:p>
              </w:tc>
              <w:tc>
                <w:tcPr>
                  <w:tcW w:w="2137"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项目建设过程中未造成重大环境污染，未造成重大生态破坏；</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纳入排污许可管理的建设项目，无证排污或者不按证排污的；</w:t>
                  </w:r>
                </w:p>
              </w:tc>
              <w:tc>
                <w:tcPr>
                  <w:tcW w:w="2137" w:type="pct"/>
                  <w:vAlign w:val="center"/>
                </w:tcPr>
                <w:p>
                  <w:pPr>
                    <w:spacing w:line="240" w:lineRule="auto"/>
                    <w:jc w:val="center"/>
                    <w:rPr>
                      <w:rFonts w:hint="default" w:ascii="Times New Roman" w:hAnsi="Times New Roman" w:eastAsia="宋体" w:cs="Times New Roman"/>
                      <w:color w:val="0000FF"/>
                      <w:sz w:val="21"/>
                      <w:szCs w:val="21"/>
                      <w:lang w:val="en-US"/>
                    </w:rPr>
                  </w:pPr>
                  <w:r>
                    <w:rPr>
                      <w:rFonts w:hint="eastAsia" w:ascii="Times New Roman" w:hAnsi="Times New Roman" w:eastAsia="宋体"/>
                      <w:color w:val="auto"/>
                      <w:sz w:val="21"/>
                      <w:szCs w:val="21"/>
                      <w:lang w:val="en-US" w:eastAsia="zh-CN"/>
                    </w:rPr>
                    <w:t>已办理排污许可登记</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分期建设、分期投入生产或者使用依法应当分期验收的建设项目，其分期建设、分期投入生产或者使用的环境保护设施防治环境污染和生态破坏的能力不能满足其相应主体工程需要的；</w:t>
                  </w:r>
                </w:p>
              </w:tc>
              <w:tc>
                <w:tcPr>
                  <w:tcW w:w="2137"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根据验收监测结果，项目配套建设的环境保护设施防治环境污染和生态破坏的能力可以满足主体工程需要；</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7</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建设单位因该建设项目违反国家和地方环境保护法律法规受到处罚，被责令改正，尚未改正完成的；</w:t>
                  </w:r>
                </w:p>
              </w:tc>
              <w:tc>
                <w:tcPr>
                  <w:tcW w:w="2137"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本项目不存处罚情形</w:t>
                  </w:r>
                  <w:r>
                    <w:rPr>
                      <w:rFonts w:ascii="Times New Roman" w:hAnsi="Times New Roman" w:eastAsia="宋体" w:cs="Times New Roman"/>
                      <w:color w:val="000000" w:themeColor="text1"/>
                      <w:sz w:val="21"/>
                      <w:szCs w:val="21"/>
                      <w14:textFill>
                        <w14:solidFill>
                          <w14:schemeClr w14:val="tx1"/>
                        </w14:solidFill>
                      </w14:textFill>
                    </w:rPr>
                    <w:t>；</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8</w:t>
                  </w:r>
                </w:p>
              </w:tc>
              <w:tc>
                <w:tcPr>
                  <w:tcW w:w="1951" w:type="pct"/>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验收报告的基础资料数据明显不实，内容存在重大缺项、遗漏，或者验收结论不明确、不合理的；</w:t>
                  </w:r>
                </w:p>
              </w:tc>
              <w:tc>
                <w:tcPr>
                  <w:tcW w:w="2137"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验收报告的基础资料来自企业提供以及</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厦门威正检测技术有限公司</w:t>
                  </w:r>
                  <w:r>
                    <w:rPr>
                      <w:rFonts w:ascii="Times New Roman" w:hAnsi="Times New Roman" w:eastAsia="宋体" w:cs="Times New Roman"/>
                      <w:color w:val="000000" w:themeColor="text1"/>
                      <w:sz w:val="21"/>
                      <w:szCs w:val="21"/>
                      <w14:textFill>
                        <w14:solidFill>
                          <w14:schemeClr w14:val="tx1"/>
                        </w14:solidFill>
                      </w14:textFill>
                    </w:rPr>
                    <w:t>采样检测所得数据，报告内容无重大缺项或遗漏，验收结论明确、合理；</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9</w:t>
                  </w:r>
                </w:p>
              </w:tc>
              <w:tc>
                <w:tcPr>
                  <w:tcW w:w="1951"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其他环境保护法律法规规章等规定不得通过环境保护验收的。</w:t>
                  </w:r>
                </w:p>
              </w:tc>
              <w:tc>
                <w:tcPr>
                  <w:tcW w:w="2137" w:type="pct"/>
                </w:tcPr>
                <w:p>
                  <w:pPr>
                    <w:spacing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项目不存在其他环境保护法律法规规章等规定不得通过环境保护验收的。</w:t>
                  </w:r>
                </w:p>
              </w:tc>
              <w:tc>
                <w:tcPr>
                  <w:tcW w:w="668"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否</w:t>
                  </w:r>
                </w:p>
              </w:tc>
            </w:tr>
          </w:tbl>
          <w:p>
            <w:pPr>
              <w:pStyle w:val="24"/>
              <w:widowControl w:val="0"/>
              <w:jc w:val="left"/>
              <w:rPr>
                <w:color w:val="0000FF"/>
              </w:rPr>
            </w:pP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9"/>
        <w:rPr>
          <w:rFonts w:ascii="Times New Roman" w:hAnsi="Times New Roman" w:eastAsia="宋体" w:cs="Times New Roman"/>
          <w:b/>
          <w:color w:val="0000FF"/>
          <w:sz w:val="21"/>
          <w:szCs w:val="21"/>
        </w:rPr>
      </w:pP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表三</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2" w:hRule="atLeast"/>
        </w:trPr>
        <w:tc>
          <w:tcPr>
            <w:tcW w:w="8522" w:type="dxa"/>
          </w:tcPr>
          <w:p>
            <w:pPr>
              <w:widowControl/>
              <w:numPr>
                <w:ilvl w:val="255"/>
                <w:numId w:val="0"/>
              </w:numPr>
              <w:spacing w:line="360" w:lineRule="auto"/>
              <w:jc w:val="left"/>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主要污染源、污染物处理和排放：</w:t>
            </w:r>
          </w:p>
          <w:p>
            <w:pPr>
              <w:widowControl/>
              <w:numPr>
                <w:ilvl w:val="0"/>
                <w:numId w:val="3"/>
              </w:numPr>
              <w:spacing w:line="360" w:lineRule="auto"/>
              <w:ind w:left="0" w:leftChars="0" w:firstLine="480" w:firstLineChars="200"/>
              <w:jc w:val="both"/>
              <w:rPr>
                <w:rFonts w:hint="eastAsia" w:ascii="Times New Roman" w:hAnsi="Times New Roman" w:eastAsia="宋体" w:cs="Times New Roman"/>
                <w:color w:val="000000" w:themeColor="text1"/>
                <w:sz w:val="24"/>
                <w:szCs w:val="24"/>
                <w:lang w:val="zh-CN" w:eastAsia="zh-CN" w:bidi="ar-SA"/>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废水：</w:t>
            </w:r>
            <w:r>
              <w:rPr>
                <w:rFonts w:hint="eastAsia" w:ascii="Times New Roman" w:hAnsi="Times New Roman" w:eastAsia="宋体" w:cs="Times New Roman"/>
                <w:color w:val="000000" w:themeColor="text1"/>
                <w:sz w:val="24"/>
                <w:lang w:val="en-US" w:eastAsia="zh-CN"/>
                <w14:textFill>
                  <w14:solidFill>
                    <w14:schemeClr w14:val="tx1"/>
                  </w14:solidFill>
                </w14:textFill>
              </w:rPr>
              <w:t>本</w:t>
            </w:r>
            <w:r>
              <w:rPr>
                <w:rFonts w:hint="eastAsia" w:ascii="Times New Roman" w:hAnsi="Times New Roman" w:eastAsia="宋体" w:cs="Times New Roman"/>
                <w:color w:val="000000" w:themeColor="text1"/>
                <w:sz w:val="24"/>
                <w:szCs w:val="24"/>
                <w:lang w:val="zh-CN" w:eastAsia="zh-CN" w:bidi="ar-SA"/>
                <w14:textFill>
                  <w14:solidFill>
                    <w14:schemeClr w14:val="tx1"/>
                  </w14:solidFill>
                </w14:textFill>
              </w:rPr>
              <w:t>项目生产过程中</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产生的废水主要为员工生活污水</w:t>
            </w:r>
            <w:r>
              <w:rPr>
                <w:rFonts w:hint="eastAsia" w:ascii="Times New Roman" w:hAnsi="Times New Roman" w:eastAsia="宋体" w:cs="Times New Roman"/>
                <w:color w:val="000000" w:themeColor="text1"/>
                <w:sz w:val="24"/>
                <w:szCs w:val="24"/>
                <w:lang w:val="zh-CN" w:eastAsia="zh-CN" w:bidi="ar-SA"/>
                <w14:textFill>
                  <w14:solidFill>
                    <w14:schemeClr w14:val="tx1"/>
                  </w14:solidFill>
                </w14:textFill>
              </w:rPr>
              <w:t>。</w:t>
            </w:r>
          </w:p>
          <w:p>
            <w:pPr>
              <w:widowControl/>
              <w:numPr>
                <w:ilvl w:val="0"/>
                <w:numId w:val="0"/>
              </w:numPr>
              <w:spacing w:line="360" w:lineRule="auto"/>
              <w:ind w:leftChars="200"/>
              <w:jc w:val="both"/>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zh-CN" w:eastAsia="zh-CN" w:bidi="ar-SA"/>
                <w14:textFill>
                  <w14:solidFill>
                    <w14:schemeClr w14:val="tx1"/>
                  </w14:solidFill>
                </w14:textFill>
              </w:rPr>
              <w:t>生活污水经化粪池处理后经污水管网进入</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云霄经济开发区污水处理厂</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w:t>
            </w:r>
          </w:p>
          <w:p>
            <w:pPr>
              <w:widowControl/>
              <w:numPr>
                <w:ilvl w:val="0"/>
                <w:numId w:val="0"/>
              </w:numPr>
              <w:spacing w:line="360" w:lineRule="auto"/>
              <w:ind w:leftChars="20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2、废气</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：本</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项目废气主要</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为</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有</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机废气。</w:t>
            </w:r>
          </w:p>
          <w:p>
            <w:pPr>
              <w:widowControl/>
              <w:numPr>
                <w:ilvl w:val="0"/>
                <w:numId w:val="0"/>
              </w:numPr>
              <w:spacing w:line="360" w:lineRule="auto"/>
              <w:ind w:firstLine="480" w:firstLineChars="200"/>
              <w:jc w:val="both"/>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zh-CN" w:eastAsia="zh-CN" w:bidi="ar-SA"/>
                <w14:textFill>
                  <w14:solidFill>
                    <w14:schemeClr w14:val="tx1"/>
                  </w14:solidFill>
                </w14:textFill>
              </w:rPr>
              <w:t>在产生有机废气的生产设备上设置集气罩，废气经统一收集后由“活性炭吸附装置”处理后由1 根</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15</w:t>
            </w:r>
            <w:r>
              <w:rPr>
                <w:rFonts w:hint="default" w:ascii="Times New Roman" w:hAnsi="Times New Roman" w:eastAsia="宋体" w:cs="Times New Roman"/>
                <w:color w:val="000000" w:themeColor="text1"/>
                <w:sz w:val="24"/>
                <w:szCs w:val="24"/>
                <w:lang w:val="zh-CN" w:eastAsia="zh-CN" w:bidi="ar-SA"/>
                <w14:textFill>
                  <w14:solidFill>
                    <w14:schemeClr w14:val="tx1"/>
                  </w14:solidFill>
                </w14:textFill>
              </w:rPr>
              <w:t>m高排气筒排放，未收集部分呈无组织形式排放。</w:t>
            </w:r>
          </w:p>
          <w:p>
            <w:pPr>
              <w:widowControl/>
              <w:spacing w:line="360" w:lineRule="auto"/>
              <w:ind w:firstLine="480" w:firstLineChars="200"/>
              <w:jc w:val="both"/>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3、噪声：本项目主要噪声污染源主要来自机台设备运行时产生的噪声，主要通过合理布局，使高噪声设备远离厂界；对噪声值较高的设备基座底部安装减振垫等；定期检查并调整好运动机器部件的静平衡与动平衡的动力，加强设备维护，使其处于良好运行状态，以此来降低环境噪声污染。</w:t>
            </w:r>
          </w:p>
          <w:p>
            <w:pPr>
              <w:pStyle w:val="45"/>
              <w:pageBreakBefore w:val="0"/>
              <w:kinsoku/>
              <w:wordWrap/>
              <w:overflowPunct/>
              <w:topLinePunct w:val="0"/>
              <w:bidi w:val="0"/>
              <w:ind w:firstLine="480"/>
              <w:jc w:val="left"/>
              <w:rPr>
                <w:rFonts w:hint="default" w:ascii="Times New Roman" w:hAnsi="Times New Roman" w:eastAsia="宋体" w:cs="Times New Roman"/>
                <w:color w:val="000000" w:themeColor="text1"/>
                <w:kern w:val="0"/>
                <w:sz w:val="24"/>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4、固（液）体废物：</w:t>
            </w:r>
            <w:r>
              <w:rPr>
                <w:rFonts w:hint="default" w:ascii="Times New Roman" w:hAnsi="Times New Roman" w:eastAsia="宋体" w:cs="Times New Roman"/>
                <w:color w:val="000000" w:themeColor="text1"/>
                <w:kern w:val="0"/>
                <w:sz w:val="24"/>
                <w:szCs w:val="22"/>
                <w:lang w:val="en-US" w:eastAsia="zh-CN" w:bidi="ar-SA"/>
                <w14:textFill>
                  <w14:solidFill>
                    <w14:schemeClr w14:val="tx1"/>
                  </w14:solidFill>
                </w14:textFill>
              </w:rPr>
              <w:t>本项目</w:t>
            </w:r>
            <w:r>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t>产生的固体废物主要为生活垃圾和一般固废、危险废物</w:t>
            </w:r>
            <w:r>
              <w:rPr>
                <w:rFonts w:hint="default" w:ascii="Times New Roman" w:hAnsi="Times New Roman" w:eastAsia="宋体" w:cs="Times New Roman"/>
                <w:color w:val="000000" w:themeColor="text1"/>
                <w:kern w:val="0"/>
                <w:sz w:val="24"/>
                <w:szCs w:val="22"/>
                <w:lang w:val="en-US" w:eastAsia="zh-CN" w:bidi="ar-SA"/>
                <w14:textFill>
                  <w14:solidFill>
                    <w14:schemeClr w14:val="tx1"/>
                  </w14:solidFill>
                </w14:textFill>
              </w:rPr>
              <w:t>。</w:t>
            </w:r>
          </w:p>
          <w:p>
            <w:pPr>
              <w:pStyle w:val="45"/>
              <w:pageBreakBefore w:val="0"/>
              <w:kinsoku/>
              <w:wordWrap/>
              <w:overflowPunct/>
              <w:topLinePunct w:val="0"/>
              <w:bidi w:val="0"/>
              <w:ind w:firstLine="480"/>
              <w:jc w:val="left"/>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2"/>
                <w:lang w:val="en-US" w:eastAsia="zh-CN" w:bidi="ar-SA"/>
                <w14:textFill>
                  <w14:solidFill>
                    <w14:schemeClr w14:val="tx1"/>
                  </w14:solidFill>
                </w14:textFill>
              </w:rPr>
              <w:t>生活垃圾：</w:t>
            </w:r>
            <w:r>
              <w:rPr>
                <w:rFonts w:hint="default" w:ascii="Times New Roman" w:hAnsi="Times New Roman" w:eastAsia="宋体" w:cs="Times New Roman"/>
                <w:color w:val="000000" w:themeColor="text1"/>
                <w:sz w:val="24"/>
                <w:lang w:val="en-GB" w:eastAsia="zh-CN"/>
                <w14:textFill>
                  <w14:solidFill>
                    <w14:schemeClr w14:val="tx1"/>
                  </w14:solidFill>
                </w14:textFill>
              </w:rPr>
              <w:t>产生量约为</w:t>
            </w:r>
            <w:r>
              <w:rPr>
                <w:rFonts w:hint="default" w:ascii="Times New Roman" w:hAnsi="Times New Roman" w:eastAsia="宋体" w:cs="Times New Roman"/>
                <w:color w:val="000000" w:themeColor="text1"/>
                <w:sz w:val="24"/>
                <w:lang w:val="en-US" w:eastAsia="zh-CN"/>
                <w14:textFill>
                  <w14:solidFill>
                    <w14:schemeClr w14:val="tx1"/>
                  </w14:solidFill>
                </w14:textFill>
              </w:rPr>
              <w:t>2.25</w:t>
            </w:r>
            <w:r>
              <w:rPr>
                <w:rFonts w:hint="default" w:ascii="Times New Roman" w:hAnsi="Times New Roman" w:eastAsia="宋体" w:cs="Times New Roman"/>
                <w:color w:val="000000" w:themeColor="text1"/>
                <w:sz w:val="24"/>
                <w:lang w:val="en-GB" w:eastAsia="zh-CN"/>
                <w14:textFill>
                  <w14:solidFill>
                    <w14:schemeClr w14:val="tx1"/>
                  </w14:solidFill>
                </w14:textFill>
              </w:rPr>
              <w:t>t/a，生活垃圾分类收集后统一交由环卫部门清运处置</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pPr>
              <w:pStyle w:val="45"/>
              <w:pageBreakBefore w:val="0"/>
              <w:kinsoku/>
              <w:wordWrap/>
              <w:overflowPunct/>
              <w:topLinePunct w:val="0"/>
              <w:bidi w:val="0"/>
              <w:ind w:firstLine="480"/>
              <w:jc w:val="left"/>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2"/>
                <w:lang w:val="en-US" w:eastAsia="zh-CN" w:bidi="ar-SA"/>
                <w14:textFill>
                  <w14:solidFill>
                    <w14:schemeClr w14:val="tx1"/>
                  </w14:solidFill>
                </w14:textFill>
              </w:rPr>
              <w:t>一般工业固体废物：</w:t>
            </w:r>
            <w:r>
              <w:rPr>
                <w:rFonts w:hint="default" w:ascii="Times New Roman" w:hAnsi="Times New Roman" w:eastAsia="宋体" w:cs="Times New Roman"/>
                <w:color w:val="000000" w:themeColor="text1"/>
                <w:sz w:val="24"/>
                <w:lang w:val="en-GB" w:eastAsia="zh-CN"/>
                <w14:textFill>
                  <w14:solidFill>
                    <w14:schemeClr w14:val="tx1"/>
                  </w14:solidFill>
                </w14:textFill>
              </w:rPr>
              <w:t>项目模切、品检、分条过程会产生边角料和不合格品，产生量约为13t/</w:t>
            </w:r>
            <w:r>
              <w:rPr>
                <w:rFonts w:hint="default" w:ascii="Times New Roman" w:hAnsi="Times New Roman" w:eastAsia="宋体" w:cs="Times New Roman"/>
                <w:color w:val="000000" w:themeColor="text1"/>
                <w:sz w:val="24"/>
                <w:lang w:val="en-US" w:eastAsia="zh-CN"/>
                <w14:textFill>
                  <w14:solidFill>
                    <w14:schemeClr w14:val="tx1"/>
                  </w14:solidFill>
                </w14:textFill>
              </w:rPr>
              <w:t>a</w:t>
            </w:r>
            <w:r>
              <w:rPr>
                <w:rFonts w:hint="default" w:ascii="Times New Roman" w:hAnsi="Times New Roman" w:eastAsia="宋体" w:cs="Times New Roman"/>
                <w:color w:val="000000" w:themeColor="text1"/>
                <w:sz w:val="24"/>
                <w:lang w:val="en-GB" w:eastAsia="zh-CN"/>
                <w14:textFill>
                  <w14:solidFill>
                    <w14:schemeClr w14:val="tx1"/>
                  </w14:solidFill>
                </w14:textFill>
              </w:rPr>
              <w:t>，交由相关物资回收部门回收，不外排；</w:t>
            </w:r>
          </w:p>
          <w:p>
            <w:pPr>
              <w:pStyle w:val="45"/>
              <w:pageBreakBefore w:val="0"/>
              <w:kinsoku/>
              <w:wordWrap/>
              <w:overflowPunct/>
              <w:topLinePunct w:val="0"/>
              <w:bidi w:val="0"/>
              <w:ind w:firstLine="480"/>
              <w:jc w:val="left"/>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2"/>
                <w:lang w:val="en-US" w:eastAsia="zh-CN" w:bidi="ar-SA"/>
                <w14:textFill>
                  <w14:solidFill>
                    <w14:schemeClr w14:val="tx1"/>
                  </w14:solidFill>
                </w14:textFill>
              </w:rPr>
              <w:t>危险废物：</w:t>
            </w:r>
            <w:r>
              <w:rPr>
                <w:rFonts w:hint="eastAsia" w:ascii="Times New Roman" w:hAnsi="Times New Roman" w:eastAsia="宋体" w:cs="Times New Roman"/>
                <w:color w:val="000000" w:themeColor="text1"/>
                <w:sz w:val="24"/>
                <w:lang w:val="en-US" w:eastAsia="zh-CN"/>
                <w14:textFill>
                  <w14:solidFill>
                    <w14:schemeClr w14:val="tx1"/>
                  </w14:solidFill>
                </w14:textFill>
              </w:rPr>
              <w:t>①</w:t>
            </w:r>
            <w:r>
              <w:rPr>
                <w:rFonts w:hint="default" w:ascii="Times New Roman" w:hAnsi="Times New Roman" w:eastAsia="宋体" w:cs="Times New Roman"/>
                <w:color w:val="000000" w:themeColor="text1"/>
                <w:sz w:val="24"/>
                <w:lang w:val="en-GB" w:eastAsia="zh-CN"/>
                <w14:textFill>
                  <w14:solidFill>
                    <w14:schemeClr w14:val="tx1"/>
                  </w14:solidFill>
                </w14:textFill>
              </w:rPr>
              <w:t>机台擦拭过程产生的沾有废酒精抹布，属于危险废物，废物类别为HW49其他废物，废物代码为900-041-49，产生量约为0.1t/a</w:t>
            </w:r>
            <w:r>
              <w:rPr>
                <w:rFonts w:hint="eastAsia" w:ascii="Times New Roman" w:hAnsi="Times New Roman" w:eastAsia="宋体" w:cs="Times New Roman"/>
                <w:color w:val="000000" w:themeColor="text1"/>
                <w:sz w:val="24"/>
                <w:lang w:val="en-GB"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②</w:t>
            </w:r>
            <w:r>
              <w:rPr>
                <w:rFonts w:hint="default" w:ascii="Times New Roman" w:hAnsi="Times New Roman" w:eastAsia="宋体" w:cs="Times New Roman"/>
                <w:color w:val="000000" w:themeColor="text1"/>
                <w:sz w:val="24"/>
                <w:lang w:val="en-GB" w:eastAsia="zh-CN"/>
                <w14:textFill>
                  <w14:solidFill>
                    <w14:schemeClr w14:val="tx1"/>
                  </w14:solidFill>
                </w14:textFill>
              </w:rPr>
              <w:t>废活性炭年产生量约</w:t>
            </w:r>
            <w:r>
              <w:rPr>
                <w:rFonts w:hint="default" w:ascii="Times New Roman" w:hAnsi="Times New Roman" w:eastAsia="宋体" w:cs="Times New Roman"/>
                <w:color w:val="000000" w:themeColor="text1"/>
                <w:sz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lang w:val="en-GB" w:eastAsia="zh-CN"/>
                <w14:textFill>
                  <w14:solidFill>
                    <w14:schemeClr w14:val="tx1"/>
                  </w14:solidFill>
                </w14:textFill>
              </w:rPr>
              <w:t>t(含吸附的挥发性有机废气量)，废活性炭属于危险废物，危废编号为HW</w:t>
            </w:r>
            <w:r>
              <w:rPr>
                <w:rFonts w:hint="default" w:ascii="Times New Roman" w:hAnsi="Times New Roman" w:eastAsia="宋体" w:cs="Times New Roman"/>
                <w:color w:val="000000" w:themeColor="text1"/>
                <w:sz w:val="24"/>
                <w:lang w:val="en-US" w:eastAsia="zh-CN"/>
                <w14:textFill>
                  <w14:solidFill>
                    <w14:schemeClr w14:val="tx1"/>
                  </w14:solidFill>
                </w14:textFill>
              </w:rPr>
              <w:t>49</w:t>
            </w:r>
            <w:r>
              <w:rPr>
                <w:rFonts w:hint="default" w:ascii="Times New Roman" w:hAnsi="Times New Roman" w:eastAsia="宋体" w:cs="Times New Roman"/>
                <w:color w:val="000000" w:themeColor="text1"/>
                <w:sz w:val="24"/>
                <w:lang w:val="en-GB" w:eastAsia="zh-CN"/>
                <w14:textFill>
                  <w14:solidFill>
                    <w14:schemeClr w14:val="tx1"/>
                  </w14:solidFill>
                </w14:textFill>
              </w:rPr>
              <w:t>，代码为：900-0</w:t>
            </w:r>
            <w:r>
              <w:rPr>
                <w:rFonts w:hint="default" w:ascii="Times New Roman" w:hAnsi="Times New Roman" w:eastAsia="宋体" w:cs="Times New Roman"/>
                <w:color w:val="000000" w:themeColor="text1"/>
                <w:sz w:val="24"/>
                <w:lang w:val="en-US" w:eastAsia="zh-CN"/>
                <w14:textFill>
                  <w14:solidFill>
                    <w14:schemeClr w14:val="tx1"/>
                  </w14:solidFill>
                </w14:textFill>
              </w:rPr>
              <w:t>39</w:t>
            </w:r>
            <w:r>
              <w:rPr>
                <w:rFonts w:hint="default" w:ascii="Times New Roman" w:hAnsi="Times New Roman" w:eastAsia="宋体" w:cs="Times New Roman"/>
                <w:color w:val="000000" w:themeColor="text1"/>
                <w:sz w:val="24"/>
                <w:lang w:val="en-GB" w:eastAsia="zh-CN"/>
                <w14:textFill>
                  <w14:solidFill>
                    <w14:schemeClr w14:val="tx1"/>
                  </w14:solidFill>
                </w14:textFill>
              </w:rPr>
              <w:t>-49</w:t>
            </w:r>
            <w:r>
              <w:rPr>
                <w:rFonts w:hint="eastAsia" w:ascii="Times New Roman" w:hAnsi="Times New Roman" w:eastAsia="宋体" w:cs="Times New Roman"/>
                <w:color w:val="000000" w:themeColor="text1"/>
                <w:sz w:val="24"/>
                <w:lang w:val="en-US" w:eastAsia="zh-CN"/>
                <w14:textFill>
                  <w14:solidFill>
                    <w14:schemeClr w14:val="tx1"/>
                  </w14:solidFill>
                </w14:textFill>
              </w:rPr>
              <w:t>。③</w:t>
            </w:r>
            <w:r>
              <w:rPr>
                <w:rFonts w:hint="default" w:ascii="Times New Roman" w:hAnsi="Times New Roman" w:eastAsia="宋体" w:cs="Times New Roman"/>
                <w:color w:val="000000" w:themeColor="text1"/>
                <w:sz w:val="24"/>
                <w:lang w:val="en-GB" w:eastAsia="zh-CN"/>
                <w14:textFill>
                  <w14:solidFill>
                    <w14:schemeClr w14:val="tx1"/>
                  </w14:solidFill>
                </w14:textFill>
              </w:rPr>
              <w:t>UV空铁罐约</w:t>
            </w:r>
            <w:r>
              <w:rPr>
                <w:rFonts w:hint="default" w:ascii="Times New Roman" w:hAnsi="Times New Roman" w:eastAsia="宋体" w:cs="Times New Roman"/>
                <w:color w:val="000000" w:themeColor="text1"/>
                <w:sz w:val="24"/>
                <w:lang w:val="en-US" w:eastAsia="zh-CN"/>
                <w14:textFill>
                  <w14:solidFill>
                    <w14:schemeClr w14:val="tx1"/>
                  </w14:solidFill>
                </w14:textFill>
              </w:rPr>
              <w:t>650</w:t>
            </w:r>
            <w:r>
              <w:rPr>
                <w:rFonts w:hint="default" w:ascii="Times New Roman" w:hAnsi="Times New Roman" w:eastAsia="宋体" w:cs="Times New Roman"/>
                <w:color w:val="000000" w:themeColor="text1"/>
                <w:sz w:val="24"/>
                <w:lang w:val="en-GB" w:eastAsia="zh-CN"/>
                <w14:textFill>
                  <w14:solidFill>
                    <w14:schemeClr w14:val="tx1"/>
                  </w14:solidFill>
                </w14:textFill>
              </w:rPr>
              <w:t>个，产生量约为0.0</w:t>
            </w:r>
            <w:r>
              <w:rPr>
                <w:rFonts w:hint="default" w:ascii="Times New Roman" w:hAnsi="Times New Roman" w:eastAsia="宋体" w:cs="Times New Roman"/>
                <w:color w:val="000000" w:themeColor="text1"/>
                <w:sz w:val="24"/>
                <w:lang w:val="en-US" w:eastAsia="zh-CN"/>
                <w14:textFill>
                  <w14:solidFill>
                    <w14:schemeClr w14:val="tx1"/>
                  </w14:solidFill>
                </w14:textFill>
              </w:rPr>
              <w:t>65</w:t>
            </w:r>
            <w:r>
              <w:rPr>
                <w:rFonts w:hint="default" w:ascii="Times New Roman" w:hAnsi="Times New Roman" w:eastAsia="宋体" w:cs="Times New Roman"/>
                <w:color w:val="000000" w:themeColor="text1"/>
                <w:sz w:val="24"/>
                <w:lang w:val="en-GB" w:eastAsia="zh-CN"/>
                <w14:textFill>
                  <w14:solidFill>
                    <w14:schemeClr w14:val="tx1"/>
                  </w14:solidFill>
                </w14:textFill>
              </w:rPr>
              <w:t>t/a ，属危险废物，危废编号为HW</w:t>
            </w:r>
            <w:r>
              <w:rPr>
                <w:rFonts w:hint="default" w:ascii="Times New Roman" w:hAnsi="Times New Roman" w:eastAsia="宋体" w:cs="Times New Roman"/>
                <w:color w:val="000000" w:themeColor="text1"/>
                <w:sz w:val="24"/>
                <w:lang w:val="en-US" w:eastAsia="zh-CN"/>
                <w14:textFill>
                  <w14:solidFill>
                    <w14:schemeClr w14:val="tx1"/>
                  </w14:solidFill>
                </w14:textFill>
              </w:rPr>
              <w:t>49</w:t>
            </w:r>
            <w:r>
              <w:rPr>
                <w:rFonts w:hint="default" w:ascii="Times New Roman" w:hAnsi="Times New Roman" w:eastAsia="宋体" w:cs="Times New Roman"/>
                <w:color w:val="000000" w:themeColor="text1"/>
                <w:sz w:val="24"/>
                <w:lang w:val="en-GB" w:eastAsia="zh-CN"/>
                <w14:textFill>
                  <w14:solidFill>
                    <w14:schemeClr w14:val="tx1"/>
                  </w14:solidFill>
                </w14:textFill>
              </w:rPr>
              <w:t>，代码为：900-0</w:t>
            </w:r>
            <w:r>
              <w:rPr>
                <w:rFonts w:hint="default" w:ascii="Times New Roman" w:hAnsi="Times New Roman" w:eastAsia="宋体" w:cs="Times New Roman"/>
                <w:color w:val="000000" w:themeColor="text1"/>
                <w:sz w:val="24"/>
                <w:lang w:val="en-US" w:eastAsia="zh-CN"/>
                <w14:textFill>
                  <w14:solidFill>
                    <w14:schemeClr w14:val="tx1"/>
                  </w14:solidFill>
                </w14:textFill>
              </w:rPr>
              <w:t>41</w:t>
            </w:r>
            <w:r>
              <w:rPr>
                <w:rFonts w:hint="default" w:ascii="Times New Roman" w:hAnsi="Times New Roman" w:eastAsia="宋体" w:cs="Times New Roman"/>
                <w:color w:val="000000" w:themeColor="text1"/>
                <w:sz w:val="24"/>
                <w:lang w:val="en-GB" w:eastAsia="zh-CN"/>
                <w14:textFill>
                  <w14:solidFill>
                    <w14:schemeClr w14:val="tx1"/>
                  </w14:solidFill>
                </w14:textFill>
              </w:rPr>
              <w:t>-49</w:t>
            </w:r>
            <w:r>
              <w:rPr>
                <w:rFonts w:hint="eastAsia" w:ascii="Times New Roman" w:hAnsi="Times New Roman" w:eastAsia="宋体" w:cs="Times New Roman"/>
                <w:color w:val="000000" w:themeColor="text1"/>
                <w:sz w:val="24"/>
                <w:lang w:val="en-GB"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危废统一收集暂存于危废暂存间，一定量后委托有资质单位</w:t>
            </w:r>
            <w:r>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t xml:space="preserve">处理。 </w:t>
            </w:r>
          </w:p>
          <w:p>
            <w:pPr>
              <w:pStyle w:val="24"/>
              <w:widowControl w:val="0"/>
              <w:spacing w:line="360" w:lineRule="auto"/>
              <w:ind w:left="0" w:leftChars="0" w:firstLine="0" w:firstLineChars="0"/>
              <w:jc w:val="center"/>
              <w:rPr>
                <w:color w:val="0000FF"/>
              </w:rPr>
            </w:pPr>
          </w:p>
        </w:tc>
      </w:tr>
    </w:tbl>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表四</w:t>
      </w:r>
    </w:p>
    <w:tbl>
      <w:tblPr>
        <w:tblStyle w:val="26"/>
        <w:tblW w:w="8832"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345" w:hRule="atLeast"/>
        </w:trPr>
        <w:tc>
          <w:tcPr>
            <w:tcW w:w="8832" w:type="dxa"/>
          </w:tcPr>
          <w:p>
            <w:pPr>
              <w:widowControl/>
              <w:spacing w:line="360" w:lineRule="auto"/>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建设项目环境影响报告表主要结论及审批部门审批决定：</w:t>
            </w:r>
          </w:p>
          <w:p>
            <w:pPr>
              <w:widowControl/>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一</w:t>
            </w:r>
            <w:r>
              <w:rPr>
                <w:rFonts w:hint="eastAsia" w:ascii="Times New Roman" w:hAnsi="Times New Roman" w:eastAsia="宋体" w:cs="Times New Roman"/>
                <w:b/>
                <w:bCs/>
                <w:color w:val="000000" w:themeColor="text1"/>
                <w:sz w:val="24"/>
                <w:szCs w:val="24"/>
                <w14:textFill>
                  <w14:solidFill>
                    <w14:schemeClr w14:val="tx1"/>
                  </w14:solidFill>
                </w14:textFill>
              </w:rPr>
              <w:t>、</w:t>
            </w:r>
            <w:r>
              <w:rPr>
                <w:rFonts w:ascii="Times New Roman" w:hAnsi="Times New Roman" w:eastAsia="宋体" w:cs="Times New Roman"/>
                <w:b/>
                <w:bCs/>
                <w:color w:val="000000" w:themeColor="text1"/>
                <w:sz w:val="24"/>
                <w:szCs w:val="24"/>
                <w14:textFill>
                  <w14:solidFill>
                    <w14:schemeClr w14:val="tx1"/>
                  </w14:solidFill>
                </w14:textFill>
              </w:rPr>
              <w:t>建设项目环境影响报告表主要结论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bookmarkStart w:id="2" w:name="12.1项目概况和主要环保问题"/>
            <w:bookmarkEnd w:id="2"/>
            <w:r>
              <w:rPr>
                <w:rFonts w:hint="eastAsia" w:ascii="Times New Roman" w:hAnsi="Times New Roman" w:eastAsia="宋体" w:cs="Times New Roman"/>
                <w:color w:val="000000" w:themeColor="text1"/>
                <w:sz w:val="24"/>
                <w:szCs w:val="24"/>
                <w:lang w:val="en-US" w:eastAsia="zh-CN"/>
                <w14:textFill>
                  <w14:solidFill>
                    <w14:schemeClr w14:val="tx1"/>
                  </w14:solidFill>
                </w14:textFill>
              </w:rPr>
              <w:t>综上所述，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福建省金城伟业印刷有限公司金城伟业不干胶标签印刷加工项目位于云霄县云陵工业开发区，年印刷不干胶标签330t，项目的建设符合国家产业政策；选址符合规划、符合环境功能区划、符合“三线一单”要求；经采取环保措施后，污染物能够达标排放，并符合总量控制的要求；项目所在区域的环境功能区能够达标；同时项目区域环境容量满足项目建设的需要。因此,该项目的建设从环境保护的角度分析是可行的。</w:t>
            </w:r>
          </w:p>
          <w:p>
            <w:pPr>
              <w:widowControl/>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二</w:t>
            </w:r>
            <w:r>
              <w:rPr>
                <w:rFonts w:hint="eastAsia" w:ascii="Times New Roman" w:hAnsi="Times New Roman" w:eastAsia="宋体" w:cs="Times New Roman"/>
                <w:b/>
                <w:bCs/>
                <w:color w:val="000000" w:themeColor="text1"/>
                <w:sz w:val="24"/>
                <w:szCs w:val="24"/>
                <w14:textFill>
                  <w14:solidFill>
                    <w14:schemeClr w14:val="tx1"/>
                  </w14:solidFill>
                </w14:textFill>
              </w:rPr>
              <w:t>、</w:t>
            </w:r>
            <w:r>
              <w:rPr>
                <w:rFonts w:ascii="Times New Roman" w:hAnsi="Times New Roman" w:eastAsia="宋体" w:cs="Times New Roman"/>
                <w:b/>
                <w:bCs/>
                <w:color w:val="000000" w:themeColor="text1"/>
                <w:sz w:val="24"/>
                <w:szCs w:val="24"/>
                <w14:textFill>
                  <w14:solidFill>
                    <w14:schemeClr w14:val="tx1"/>
                  </w14:solidFill>
                </w14:textFill>
              </w:rPr>
              <w:t>审批部门审批决定</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福建省金城伟业印刷有限公司：</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你单位报送的《金城伟业不干胶标签印刷加工项目环境影响报告表》（以下简称《报告表》）收悉，经研究，现批复如下：</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金城伟业不干胶标签印刷加工项目选址于福建省漳州市云霄县云陵工业开发区大埔473号新盛光电园，租用漳州市新盛无纺布有限公司现有厂房面积2000m’作为生产经营场所，拟年印刷不干胶标签330t。项目员工人数15人，均不在项目内食宿，全年工作300天，一班制，每班工作8小时。项目总投资1000万，其中环保投资12万元。</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根据《报告表》的评价结论，在全面落实《报告表》提出的各项污染防治措施，确保污染物稳定达标的前提下，我局原则同意项目按照《报告表》所列地点、性质、规模、采用的工艺及环境保护措施建设。</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二、项目在设计、建设和运营中应认真落实《报告表》提出的各项环保要求，重点做好以下工作：</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规范建设雨污分流系统，合理规划和设置项目内排水系统。项目生活污水经预处理达《污水综合排放标准》（GB8978-1996)三级标准及云霄经济开发区污水处理厂的进水水质标准后，经市政污水管网排入云霄经济开发区污水处理厂处理达《城镇污水处理厂污染物排放标准》（GB18918-2002）表1中的一级A标准后排放。</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二）加强废气污染防治。营运期项目设备擦拭废气、印刷工序产生的有机废气经集气罩收集采用活性炭吸附装置处理后，尾气经15m高且高于周围半径200m范围的最高建筑物5m以上的排气筒高空排放。VOCs排放执行福建省地方标准《印刷行业挥发性有机物排放标准》（DB35/1784-2018）中表1、表2及表3中的排放限值，非甲烷总烃厂区内监控点任意一次浓度值执行GB37822-2019《挥发性有机物无组织排放控制标准》表3排放限值。</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三）合理布局，优先选用低噪声生产设备，采用吸声、隔声、消声及减振等综合治理措施，确保项目各边界噪声符合《工业企业厂界环境噪声排放标准》（GB12348-2008）3类标准。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四）应严格按照《危险废物规范化管理指标体系》（环办【2015】99号）加强固体废物综合利用和妥善处置，按规范建设一般固体废物和危险废物暂存场所，对产生的固体废物进行分类收集、贮存、转移和处置，确保固体废物妥善处理。一般工业固体废物执行GB18599-2001《一般工业固体废物贮存、处置场污染控制标准》及其2013年修改单要求；危险废物污染防治执行GB18597-2001《危险废物贮存污染控制标准》及其2013年修改单有关规定。</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五）加强环境风险防控工作，认真落实《报告表》提出的各项风险防范措施，建立健全突发环境事件预防、预警和应急处置系统，加强污染防治设施的管理和维护，制定突发环境事件应急预案并通过亲清服务平台应急模块报我局备案。依法公开环境信息，防范与化解环境风险，维护群众环境权益和社会稳定。</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三、主要污染物总量控制要求：</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挥发性有机物排放量为0.26吨/年。新增挥发性有机物按1.05倍区域削减量替代，替代削减量为挥发性有机物0.273吨/年。项目所需挥发性有机物排放总量由2017年我县16家加油站二次回收治理削减的总量中替代。</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四、建设项目应严格执行配套建设的环境保护设施与主体工程同时设计、同时施工、同时投产使用的环境保护“三同时”制度，该建设项目环境影响报告表经批准后，若发生重大变动，须另行开展环境影响评价并重新报批。环境影响评价报告表自批准之日起满五年，该项目方开工建设的，其环境影响评价报告表应当报我局重新审核。</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建设单位应依法申领排污许可证，并按规定程序实施竣工环境保护验收，经验收合格后方可正式投入生产。</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五、请你单位在收到批复后一个月内将批复的环境影响报告表，在工程开工前一个月内将项目建设计划进度表、施工期污染防治措施实施计划、污染监测计划和方案等有关材料上传福建省生态环境亲清服务平台，并接受漳州市云霄县生态环境保护综合执法大队监督检查。</w:t>
            </w:r>
          </w:p>
          <w:p>
            <w:pPr>
              <w:pStyle w:val="36"/>
              <w:spacing w:line="360" w:lineRule="auto"/>
              <w:ind w:firstLine="482" w:firstLineChars="200"/>
              <w:jc w:val="both"/>
              <w:rPr>
                <w:rFonts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三</w:t>
            </w:r>
            <w:r>
              <w:rPr>
                <w:rFonts w:ascii="Times New Roman" w:hAnsi="Times New Roman" w:cs="Times New Roman"/>
                <w:b/>
                <w:bCs/>
                <w:color w:val="000000" w:themeColor="text1"/>
                <w14:textFill>
                  <w14:solidFill>
                    <w14:schemeClr w14:val="tx1"/>
                  </w14:solidFill>
                </w14:textFill>
              </w:rPr>
              <w:t>、环境影响报告表及批复意见落实情况调查</w:t>
            </w:r>
          </w:p>
          <w:p>
            <w:pPr>
              <w:pStyle w:val="36"/>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表4-</w:t>
            </w:r>
            <w:r>
              <w:rPr>
                <w:rFonts w:hint="eastAsia" w:ascii="Times New Roman" w:hAnsi="Times New Roman" w:cs="Times New Roman"/>
                <w:b/>
                <w:bCs/>
                <w:color w:val="000000" w:themeColor="text1"/>
                <w:sz w:val="21"/>
                <w:szCs w:val="21"/>
                <w:lang w:val="en-US" w:eastAsia="zh-CN"/>
                <w14:textFill>
                  <w14:solidFill>
                    <w14:schemeClr w14:val="tx1"/>
                  </w14:solidFill>
                </w14:textFill>
              </w:rPr>
              <w:t>1</w:t>
            </w:r>
            <w:r>
              <w:rPr>
                <w:rFonts w:ascii="Times New Roman" w:hAnsi="Times New Roman" w:cs="Times New Roman"/>
                <w:b/>
                <w:bCs/>
                <w:color w:val="000000" w:themeColor="text1"/>
                <w:sz w:val="21"/>
                <w:szCs w:val="21"/>
                <w14:textFill>
                  <w14:solidFill>
                    <w14:schemeClr w14:val="tx1"/>
                  </w14:solidFill>
                </w14:textFill>
              </w:rPr>
              <w:t xml:space="preserve"> 环境影响报告表批复意见落实一览表</w:t>
            </w:r>
          </w:p>
          <w:tbl>
            <w:tblPr>
              <w:tblStyle w:val="26"/>
              <w:tblW w:w="86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20"/>
              <w:gridCol w:w="4744"/>
              <w:gridCol w:w="35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79" w:hRule="atLeast"/>
                <w:jc w:val="center"/>
              </w:trPr>
              <w:tc>
                <w:tcPr>
                  <w:tcW w:w="184" w:type="pct"/>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序号</w:t>
                  </w:r>
                </w:p>
              </w:tc>
              <w:tc>
                <w:tcPr>
                  <w:tcW w:w="2739" w:type="pct"/>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批复情况</w:t>
                  </w:r>
                </w:p>
              </w:tc>
              <w:tc>
                <w:tcPr>
                  <w:tcW w:w="2076" w:type="pct"/>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实际执行情况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184" w:type="pct"/>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2739" w:type="pct"/>
                  <w:tcBorders>
                    <w:tl2br w:val="nil"/>
                    <w:tr2bl w:val="nil"/>
                  </w:tcBorders>
                  <w:vAlign w:val="center"/>
                </w:tcPr>
                <w:p>
                  <w:pPr>
                    <w:pStyle w:val="36"/>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规范建设雨污分流系统，合理规划和设置项目内排水系统。项目生活污水经预处理达《污水综合排放标准》（GB8978-1996)三级标准及云霄经济开发区污水处理厂的进水水质标准后，经市政污水管网排入云霄经济开发区污水处理厂处理达《城镇污水处理厂污染物排放标准》（GB18918-2002）表1中的一级A标准后排放。</w:t>
                  </w:r>
                </w:p>
              </w:tc>
              <w:tc>
                <w:tcPr>
                  <w:tcW w:w="2076" w:type="pct"/>
                  <w:tcBorders>
                    <w:tl2br w:val="nil"/>
                    <w:tr2bl w:val="nil"/>
                  </w:tcBorders>
                  <w:vAlign w:val="center"/>
                </w:tcPr>
                <w:p>
                  <w:pPr>
                    <w:pStyle w:val="12"/>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right="0" w:rightChars="0"/>
                    <w:jc w:val="left"/>
                    <w:textAlignment w:val="auto"/>
                    <w:rPr>
                      <w:rFonts w:hint="default" w:ascii="Times New Roman" w:hAnsi="Times New Roman" w:eastAsia="宋体" w:cs="Times New Roman"/>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zh-CN" w:eastAsia="zh-CN" w:bidi="ar-SA"/>
                      <w14:textFill>
                        <w14:solidFill>
                          <w14:schemeClr w14:val="tx1"/>
                        </w14:solidFill>
                      </w14:textFill>
                    </w:rPr>
                    <w:t>生活污水经化粪池处理后经污水管网进入</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云霄经济开发区污水处理厂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 w:type="pct"/>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SA"/>
                      <w14:textFill>
                        <w14:solidFill>
                          <w14:schemeClr w14:val="tx1"/>
                        </w14:solidFill>
                      </w14:textFill>
                    </w:rPr>
                    <w:t>2</w:t>
                  </w:r>
                </w:p>
              </w:tc>
              <w:tc>
                <w:tcPr>
                  <w:tcW w:w="2739" w:type="pct"/>
                  <w:tcBorders>
                    <w:tl2br w:val="nil"/>
                    <w:tr2bl w:val="nil"/>
                  </w:tcBorders>
                  <w:vAlign w:val="center"/>
                </w:tcPr>
                <w:p>
                  <w:pPr>
                    <w:widowControl w:val="0"/>
                    <w:spacing w:line="240" w:lineRule="auto"/>
                    <w:jc w:val="left"/>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加强废气污染防治。营运期项目设备擦拭废气、印刷工序产生的有机废气经集气罩收集采用活性炭吸附装置处理后，尾气经15m高且高于周围半径200m范围的最高建筑物5m以上的排气筒高空排放。VOCs排放执行福建省地方标准《印刷行业挥发性有机物排放标准》（DB35/1784-2018）中表1、表2及表3中的排放限值，非甲烷总烃厂区内监控点任意一次浓度值执行GB37822-2019《挥发性有机物无组织排放控制标准》表3排放限值</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2076" w:type="pct"/>
                  <w:tcBorders>
                    <w:tl2br w:val="nil"/>
                    <w:tr2bl w:val="nil"/>
                  </w:tcBorders>
                  <w:vAlign w:val="center"/>
                </w:tcPr>
                <w:p>
                  <w:pPr>
                    <w:widowControl w:val="0"/>
                    <w:spacing w:line="240" w:lineRule="auto"/>
                    <w:jc w:val="left"/>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zh-CN" w:eastAsia="zh-CN" w:bidi="ar-SA"/>
                      <w14:textFill>
                        <w14:solidFill>
                          <w14:schemeClr w14:val="tx1"/>
                        </w14:solidFill>
                      </w14:textFill>
                    </w:rPr>
                    <w:t>在产生有机废气的生产设备上设置集气罩，废气经统一收集后由“活性炭吸附装置”处理后由1 根</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15</w:t>
                  </w:r>
                  <w:r>
                    <w:rPr>
                      <w:rFonts w:hint="default" w:ascii="Times New Roman" w:hAnsi="Times New Roman" w:eastAsia="宋体" w:cs="Times New Roman"/>
                      <w:color w:val="000000" w:themeColor="text1"/>
                      <w:kern w:val="0"/>
                      <w:sz w:val="21"/>
                      <w:szCs w:val="21"/>
                      <w:lang w:val="zh-CN" w:eastAsia="zh-CN" w:bidi="ar-SA"/>
                      <w14:textFill>
                        <w14:solidFill>
                          <w14:schemeClr w14:val="tx1"/>
                        </w14:solidFill>
                      </w14:textFill>
                    </w:rPr>
                    <w:t>m高排气筒排放，未收集部分呈无组织形式排放。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 w:type="pct"/>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SA"/>
                      <w14:textFill>
                        <w14:solidFill>
                          <w14:schemeClr w14:val="tx1"/>
                        </w14:solidFill>
                      </w14:textFill>
                    </w:rPr>
                    <w:t>3</w:t>
                  </w:r>
                </w:p>
              </w:tc>
              <w:tc>
                <w:tcPr>
                  <w:tcW w:w="2739" w:type="pc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合理布局，优先选用低噪声生产设备，采用吸声、隔声、消声及减振等综合治理措施，确保项目各边界噪声符合《工业企业厂界环境噪声排放标准》（GB12348-2008）3类标准。</w:t>
                  </w:r>
                </w:p>
              </w:tc>
              <w:tc>
                <w:tcPr>
                  <w:tcW w:w="2076" w:type="pct"/>
                  <w:tcBorders>
                    <w:tl2br w:val="nil"/>
                    <w:tr2bl w:val="nil"/>
                  </w:tcBorders>
                  <w:vAlign w:val="center"/>
                </w:tcPr>
                <w:p>
                  <w:pPr>
                    <w:widowControl w:val="0"/>
                    <w:spacing w:line="240" w:lineRule="auto"/>
                    <w:jc w:val="left"/>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通过合理布局，使高噪声设备远离厂界；对噪声值较高的设备基座底部安装减振垫等；定期检查并调整好运动机器部件的静平衡与动平衡的动力，加强设备维护，使其处于良好运行状态，以此来降低环境噪声污染</w:t>
                  </w: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 w:type="pct"/>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SA"/>
                      <w14:textFill>
                        <w14:solidFill>
                          <w14:schemeClr w14:val="tx1"/>
                        </w14:solidFill>
                      </w14:textFill>
                    </w:rPr>
                    <w:t>4</w:t>
                  </w:r>
                </w:p>
              </w:tc>
              <w:tc>
                <w:tcPr>
                  <w:tcW w:w="2739" w:type="pct"/>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应严格按照《危险废物规范化管理指标体系》（环办【2015】99号）加强固体废物综合利用和妥善处置，按规范建设一般固体废物和危险废物暂存场所，对产生的固体废物进行分类收集、贮存、转移和处置，确保固体废物妥善处理。一般工业固体废物执行GB18599-2001《一般工业固体废物贮存、处置场污染控制标准》及其2013年修改单要求；危险废物污染防治执行GB18597-2001《危险废物贮存污染控制标准》及其2013年修改单有关规定。</w:t>
                  </w:r>
                </w:p>
              </w:tc>
              <w:tc>
                <w:tcPr>
                  <w:tcW w:w="2076" w:type="pct"/>
                  <w:tcBorders>
                    <w:tl2br w:val="nil"/>
                    <w:tr2bl w:val="nil"/>
                  </w:tcBorders>
                  <w:vAlign w:val="center"/>
                </w:tcPr>
                <w:p>
                  <w:pPr>
                    <w:widowControl w:val="0"/>
                    <w:spacing w:line="240" w:lineRule="auto"/>
                    <w:jc w:val="left"/>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生活垃圾收集后由环卫部门统一清运处理</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0"/>
                      <w:sz w:val="21"/>
                      <w:szCs w:val="21"/>
                      <w:lang w:val="en-GB" w:eastAsia="zh-CN" w:bidi="ar-SA"/>
                      <w14:textFill>
                        <w14:solidFill>
                          <w14:schemeClr w14:val="tx1"/>
                        </w14:solidFill>
                      </w14:textFill>
                    </w:rPr>
                    <w:t>项目模切、品检、分条过程会产生边角料和不合格品，</w:t>
                  </w:r>
                  <w:r>
                    <w:rPr>
                      <w:rFonts w:hint="default" w:ascii="Times New Roman" w:hAnsi="Times New Roman" w:eastAsia="宋体" w:cs="Times New Roman"/>
                      <w:color w:val="000000" w:themeColor="text1"/>
                      <w:kern w:val="0"/>
                      <w:sz w:val="21"/>
                      <w:szCs w:val="21"/>
                      <w:lang w:val="en-GB" w:eastAsia="zh-CN" w:bidi="ar-SA"/>
                      <w14:textFill>
                        <w14:solidFill>
                          <w14:schemeClr w14:val="tx1"/>
                        </w14:solidFill>
                      </w14:textFill>
                    </w:rPr>
                    <w:t>由相关单位回收利用，不外排</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0"/>
                      <w:sz w:val="21"/>
                      <w:szCs w:val="21"/>
                      <w:lang w:val="en-US" w:eastAsia="zh-CN" w:bidi="ar-SA"/>
                      <w14:textFill>
                        <w14:solidFill>
                          <w14:schemeClr w14:val="tx1"/>
                        </w14:solidFill>
                      </w14:textFill>
                    </w:rPr>
                    <w:t>废酒精抹布</w:t>
                  </w:r>
                  <w:r>
                    <w:rPr>
                      <w:rFonts w:hint="eastAsia" w:ascii="Times New Roman" w:hAnsi="Times New Roman" w:eastAsia="宋体" w:cs="Times New Roman"/>
                      <w:snapToGrid/>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0"/>
                      <w:sz w:val="21"/>
                      <w:szCs w:val="21"/>
                      <w:lang w:val="en-GB" w:eastAsia="zh-CN" w:bidi="ar-SA"/>
                      <w14:textFill>
                        <w14:solidFill>
                          <w14:schemeClr w14:val="tx1"/>
                        </w14:solidFill>
                      </w14:textFill>
                    </w:rPr>
                    <w:t>废活性炭</w:t>
                  </w:r>
                  <w:r>
                    <w:rPr>
                      <w:rFonts w:hint="eastAsia" w:ascii="Times New Roman" w:hAnsi="Times New Roman" w:eastAsia="宋体" w:cs="Times New Roman"/>
                      <w:snapToGrid/>
                      <w:color w:val="000000" w:themeColor="text1"/>
                      <w:kern w:val="0"/>
                      <w:sz w:val="21"/>
                      <w:szCs w:val="21"/>
                      <w:lang w:val="en-GB" w:eastAsia="zh-CN" w:bidi="ar-SA"/>
                      <w14:textFill>
                        <w14:solidFill>
                          <w14:schemeClr w14:val="tx1"/>
                        </w14:solidFill>
                      </w14:textFill>
                    </w:rPr>
                    <w:t>、</w:t>
                  </w:r>
                  <w:r>
                    <w:rPr>
                      <w:rFonts w:hint="default" w:ascii="Times New Roman" w:hAnsi="Times New Roman" w:eastAsia="宋体" w:cs="Times New Roman"/>
                      <w:snapToGrid/>
                      <w:color w:val="000000" w:themeColor="text1"/>
                      <w:kern w:val="0"/>
                      <w:sz w:val="21"/>
                      <w:szCs w:val="21"/>
                      <w:lang w:val="en-GB" w:eastAsia="zh-CN" w:bidi="ar-SA"/>
                      <w14:textFill>
                        <w14:solidFill>
                          <w14:schemeClr w14:val="tx1"/>
                        </w14:solidFill>
                      </w14:textFill>
                    </w:rPr>
                    <w:t>废油墨包装罐</w:t>
                  </w:r>
                  <w:r>
                    <w:rPr>
                      <w:rFonts w:hint="eastAsia" w:ascii="Times New Roman" w:hAnsi="Times New Roman" w:eastAsia="宋体" w:cs="Times New Roman"/>
                      <w:snapToGrid/>
                      <w:color w:val="000000" w:themeColor="text1"/>
                      <w:kern w:val="0"/>
                      <w:sz w:val="21"/>
                      <w:szCs w:val="21"/>
                      <w:lang w:val="en-US" w:eastAsia="zh-CN" w:bidi="ar-SA"/>
                      <w14:textFill>
                        <w14:solidFill>
                          <w14:schemeClr w14:val="tx1"/>
                        </w14:solidFill>
                      </w14:textFill>
                    </w:rPr>
                    <w:t>属于危险废物，现</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暂存于危废暂存间，一定量后委托有资质单位处理。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 w:type="pct"/>
                  <w:tcBorders>
                    <w:tl2br w:val="nil"/>
                    <w:tr2bl w:val="nil"/>
                  </w:tcBorders>
                  <w:vAlign w:val="center"/>
                </w:tcPr>
                <w:p>
                  <w:pPr>
                    <w:pStyle w:val="36"/>
                    <w:jc w:val="center"/>
                    <w:rPr>
                      <w:rFonts w:hint="default" w:ascii="Times New Roman" w:hAnsi="Times New Roman" w:cs="Times New Roman"/>
                      <w:color w:val="000000" w:themeColor="text1"/>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SA"/>
                      <w14:textFill>
                        <w14:solidFill>
                          <w14:schemeClr w14:val="tx1"/>
                        </w14:solidFill>
                      </w14:textFill>
                    </w:rPr>
                    <w:t>5</w:t>
                  </w:r>
                </w:p>
              </w:tc>
              <w:tc>
                <w:tcPr>
                  <w:tcW w:w="2739" w:type="pct"/>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加强环境风险防控工作，认真落实《报告表》提出的各项风险防范措施，建立健全突发环境事件预防、预警和应急处置系统，加强污染防治设施的管理和维护，制定突发环境事件应急预案并通过亲清服务平台应急模块报我局备案。依法公开环境信息，防范与化解环境风险，维护群众环境权益和社会稳定。</w:t>
                  </w:r>
                </w:p>
              </w:tc>
              <w:tc>
                <w:tcPr>
                  <w:tcW w:w="2076" w:type="pct"/>
                  <w:tcBorders>
                    <w:tl2br w:val="nil"/>
                    <w:tr2bl w:val="nil"/>
                  </w:tcBorders>
                  <w:vAlign w:val="center"/>
                </w:tcPr>
                <w:p>
                  <w:pPr>
                    <w:pStyle w:val="80"/>
                    <w:widowControl w:val="0"/>
                    <w:spacing w:line="240" w:lineRule="auto"/>
                    <w:ind w:left="0" w:leftChars="0" w:firstLine="0" w:firstLineChars="0"/>
                    <w:jc w:val="left"/>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本项目应急预案正在编制中。</w:t>
                  </w:r>
                </w:p>
              </w:tc>
            </w:tr>
          </w:tbl>
          <w:p>
            <w:pPr>
              <w:pStyle w:val="36"/>
              <w:spacing w:line="360" w:lineRule="auto"/>
              <w:jc w:val="both"/>
              <w:rPr>
                <w:rFonts w:ascii="Times New Roman" w:hAnsi="Times New Roman" w:cs="Times New Roman"/>
                <w:color w:val="0000FF"/>
              </w:rPr>
            </w:pPr>
          </w:p>
        </w:tc>
      </w:tr>
    </w:tbl>
    <w:p>
      <w:pPr>
        <w:spacing w:line="360" w:lineRule="auto"/>
        <w:rPr>
          <w:rFonts w:ascii="Times New Roman" w:hAnsi="Times New Roman" w:eastAsia="宋体" w:cs="Times New Roman"/>
          <w:color w:val="0000FF"/>
          <w:sz w:val="21"/>
          <w:szCs w:val="21"/>
        </w:rPr>
        <w:sectPr>
          <w:footerReference r:id="rId5" w:type="default"/>
          <w:pgSz w:w="11906" w:h="16838"/>
          <w:pgMar w:top="1440" w:right="1440" w:bottom="1440" w:left="1701" w:header="709" w:footer="709" w:gutter="0"/>
          <w:pgBorders>
            <w:top w:val="none" w:sz="0" w:space="0"/>
            <w:left w:val="none" w:sz="0" w:space="0"/>
            <w:bottom w:val="none" w:sz="0" w:space="0"/>
            <w:right w:val="none" w:sz="0" w:space="0"/>
          </w:pgBorders>
          <w:cols w:space="0" w:num="1"/>
          <w:docGrid w:linePitch="360" w:charSpace="0"/>
        </w:sectPr>
      </w:pP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表五</w:t>
      </w:r>
    </w:p>
    <w:tbl>
      <w:tblPr>
        <w:tblStyle w:val="26"/>
        <w:tblW w:w="87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2" w:hRule="atLeast"/>
        </w:trPr>
        <w:tc>
          <w:tcPr>
            <w:tcW w:w="8797" w:type="dxa"/>
          </w:tcPr>
          <w:p>
            <w:pPr>
              <w:widowControl/>
              <w:spacing w:line="360" w:lineRule="auto"/>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验收监测质量保证及质量控制：</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1、监测分析方法</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此次验收监测的分析方法按环境要素说明各项监测因子监测分析方法名称、方法标准号或方法来源、分析方法的最低检出限，详见下表。</w:t>
            </w:r>
          </w:p>
          <w:p>
            <w:pPr>
              <w:keepNext w:val="0"/>
              <w:keepLines w:val="0"/>
              <w:pageBreakBefore w:val="0"/>
              <w:widowControl w:val="0"/>
              <w:kinsoku/>
              <w:wordWrap/>
              <w:overflowPunct/>
              <w:topLinePunct w:val="0"/>
              <w:autoSpaceDE/>
              <w:autoSpaceDN/>
              <w:bidi w:val="0"/>
              <w:adjustRightInd/>
              <w:snapToGrid w:val="0"/>
              <w:spacing w:line="240" w:lineRule="auto"/>
              <w:ind w:firstLine="422" w:firstLineChars="200"/>
              <w:jc w:val="center"/>
              <w:textAlignment w:val="auto"/>
              <w:rPr>
                <w:rFonts w:ascii="Times New Roman" w:hAnsi="Times New Roman" w:eastAsia="宋体" w:cs="Times New Roman"/>
                <w:b w:val="0"/>
                <w:bCs w:val="0"/>
                <w:color w:val="000000" w:themeColor="text1"/>
                <w:sz w:val="21"/>
                <w:szCs w:val="21"/>
                <w14:textFill>
                  <w14:solidFill>
                    <w14:schemeClr w14:val="tx1"/>
                  </w14:solidFill>
                </w14:textFill>
              </w:rPr>
            </w:pPr>
            <w:bookmarkStart w:id="3" w:name="_Toc1961"/>
            <w:r>
              <w:rPr>
                <w:rFonts w:ascii="Times New Roman" w:hAnsi="Times New Roman" w:eastAsia="宋体" w:cs="Times New Roman"/>
                <w:b/>
                <w:bCs/>
                <w:color w:val="000000" w:themeColor="text1"/>
                <w:sz w:val="21"/>
                <w:szCs w:val="21"/>
                <w14:textFill>
                  <w14:solidFill>
                    <w14:schemeClr w14:val="tx1"/>
                  </w14:solidFill>
                </w14:textFill>
              </w:rPr>
              <w:t>表5-1 监测分析方法</w:t>
            </w:r>
            <w:bookmarkEnd w:id="3"/>
            <w:r>
              <w:rPr>
                <w:rFonts w:ascii="Times New Roman" w:hAnsi="Times New Roman" w:eastAsia="宋体" w:cs="Times New Roman"/>
                <w:b/>
                <w:bCs/>
                <w:color w:val="000000" w:themeColor="text1"/>
                <w:sz w:val="21"/>
                <w:szCs w:val="21"/>
                <w14:textFill>
                  <w14:solidFill>
                    <w14:schemeClr w14:val="tx1"/>
                  </w14:solidFill>
                </w14:textFill>
              </w:rPr>
              <w:t>表</w:t>
            </w:r>
          </w:p>
          <w:tbl>
            <w:tblPr>
              <w:tblStyle w:val="25"/>
              <w:tblW w:w="8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489"/>
              <w:gridCol w:w="2034"/>
              <w:gridCol w:w="2444"/>
              <w:gridCol w:w="1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6" w:hRule="atLeast"/>
                <w:jc w:val="center"/>
              </w:trPr>
              <w:tc>
                <w:tcPr>
                  <w:tcW w:w="2270" w:type="dxa"/>
                  <w:gridSpan w:val="2"/>
                  <w:vAlign w:val="center"/>
                </w:tcPr>
                <w:p>
                  <w:pPr>
                    <w:spacing w:line="240" w:lineRule="auto"/>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检测项目</w:t>
                  </w:r>
                </w:p>
              </w:tc>
              <w:tc>
                <w:tcPr>
                  <w:tcW w:w="2034" w:type="dxa"/>
                  <w:vAlign w:val="center"/>
                </w:tcPr>
                <w:p>
                  <w:pPr>
                    <w:spacing w:line="240" w:lineRule="auto"/>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方法标准号</w:t>
                  </w:r>
                </w:p>
              </w:tc>
              <w:tc>
                <w:tcPr>
                  <w:tcW w:w="2444" w:type="dxa"/>
                  <w:vAlign w:val="center"/>
                </w:tcPr>
                <w:p>
                  <w:pPr>
                    <w:spacing w:line="240" w:lineRule="auto"/>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方法名称</w:t>
                  </w:r>
                </w:p>
              </w:tc>
              <w:tc>
                <w:tcPr>
                  <w:tcW w:w="1870" w:type="dxa"/>
                  <w:vAlign w:val="center"/>
                </w:tcPr>
                <w:p>
                  <w:pPr>
                    <w:spacing w:line="240" w:lineRule="auto"/>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6" w:hRule="atLeast"/>
                <w:jc w:val="center"/>
              </w:trPr>
              <w:tc>
                <w:tcPr>
                  <w:tcW w:w="781" w:type="dxa"/>
                  <w:vMerge w:val="restart"/>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废水</w:t>
                  </w:r>
                </w:p>
              </w:tc>
              <w:tc>
                <w:tcPr>
                  <w:tcW w:w="1489" w:type="dxa"/>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pH值</w:t>
                  </w:r>
                </w:p>
              </w:tc>
              <w:tc>
                <w:tcPr>
                  <w:tcW w:w="2034" w:type="dxa"/>
                  <w:vAlign w:val="center"/>
                </w:tcPr>
                <w:p>
                  <w:pPr>
                    <w:spacing w:line="240" w:lineRule="auto"/>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 xml:space="preserve">HJ </w:t>
                  </w:r>
                  <w:r>
                    <w:rPr>
                      <w:rFonts w:hint="default" w:ascii="Times New Roman" w:hAnsi="Times New Roman" w:eastAsia="宋体" w:cs="Times New Roman"/>
                      <w:bCs/>
                      <w:color w:val="000000" w:themeColor="text1"/>
                      <w:sz w:val="21"/>
                      <w:szCs w:val="21"/>
                      <w:lang w:eastAsia="zh-CN"/>
                      <w14:textFill>
                        <w14:solidFill>
                          <w14:schemeClr w14:val="tx1"/>
                        </w14:solidFill>
                      </w14:textFill>
                    </w:rPr>
                    <w:t>1147-2020</w:t>
                  </w:r>
                </w:p>
              </w:tc>
              <w:tc>
                <w:tcPr>
                  <w:tcW w:w="2444" w:type="dxa"/>
                  <w:vAlign w:val="center"/>
                </w:tcPr>
                <w:p>
                  <w:pPr>
                    <w:spacing w:line="240" w:lineRule="auto"/>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电极法</w:t>
                  </w:r>
                </w:p>
              </w:tc>
              <w:tc>
                <w:tcPr>
                  <w:tcW w:w="1870" w:type="dxa"/>
                  <w:vAlign w:val="center"/>
                </w:tcPr>
                <w:p>
                  <w:pPr>
                    <w:spacing w:line="240" w:lineRule="auto"/>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0.1无量纲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6" w:hRule="atLeast"/>
                <w:jc w:val="center"/>
              </w:trPr>
              <w:tc>
                <w:tcPr>
                  <w:tcW w:w="781" w:type="dxa"/>
                  <w:vMerge w:val="continue"/>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p>
              </w:tc>
              <w:tc>
                <w:tcPr>
                  <w:tcW w:w="1489" w:type="dxa"/>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悬浮物</w:t>
                  </w:r>
                </w:p>
              </w:tc>
              <w:tc>
                <w:tcPr>
                  <w:tcW w:w="2034" w:type="dxa"/>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GB 11901-1989</w:t>
                  </w:r>
                </w:p>
              </w:tc>
              <w:tc>
                <w:tcPr>
                  <w:tcW w:w="2444" w:type="dxa"/>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重量法</w:t>
                  </w:r>
                </w:p>
              </w:tc>
              <w:tc>
                <w:tcPr>
                  <w:tcW w:w="1870" w:type="dxa"/>
                  <w:vAlign w:val="center"/>
                </w:tcPr>
                <w:p>
                  <w:pPr>
                    <w:spacing w:line="240" w:lineRule="auto"/>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6" w:hRule="atLeast"/>
                <w:jc w:val="center"/>
              </w:trPr>
              <w:tc>
                <w:tcPr>
                  <w:tcW w:w="781" w:type="dxa"/>
                  <w:vMerge w:val="continue"/>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p>
              </w:tc>
              <w:tc>
                <w:tcPr>
                  <w:tcW w:w="1489" w:type="dxa"/>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五日生化需氧量</w:t>
                  </w:r>
                </w:p>
              </w:tc>
              <w:tc>
                <w:tcPr>
                  <w:tcW w:w="2034" w:type="dxa"/>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HJ 505-2009</w:t>
                  </w:r>
                </w:p>
              </w:tc>
              <w:tc>
                <w:tcPr>
                  <w:tcW w:w="2444" w:type="dxa"/>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稀释与接种法</w:t>
                  </w:r>
                </w:p>
              </w:tc>
              <w:tc>
                <w:tcPr>
                  <w:tcW w:w="1870" w:type="dxa"/>
                  <w:vAlign w:val="center"/>
                </w:tcPr>
                <w:p>
                  <w:pPr>
                    <w:spacing w:line="240" w:lineRule="auto"/>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81" w:type="dxa"/>
                  <w:vMerge w:val="continue"/>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p>
              </w:tc>
              <w:tc>
                <w:tcPr>
                  <w:tcW w:w="1489" w:type="dxa"/>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化学需氧量</w:t>
                  </w:r>
                </w:p>
              </w:tc>
              <w:tc>
                <w:tcPr>
                  <w:tcW w:w="2034" w:type="dxa"/>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HJ 828-2017</w:t>
                  </w:r>
                </w:p>
              </w:tc>
              <w:tc>
                <w:tcPr>
                  <w:tcW w:w="2444" w:type="dxa"/>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重铬酸盐法</w:t>
                  </w:r>
                </w:p>
              </w:tc>
              <w:tc>
                <w:tcPr>
                  <w:tcW w:w="1870" w:type="dxa"/>
                  <w:vAlign w:val="center"/>
                </w:tcPr>
                <w:p>
                  <w:pPr>
                    <w:spacing w:line="240" w:lineRule="auto"/>
                    <w:jc w:val="center"/>
                    <w:rPr>
                      <w:rFonts w:hint="default" w:ascii="Times New Roman" w:hAnsi="Times New Roman" w:eastAsia="宋体" w:cs="Times New Roman"/>
                      <w:bCs/>
                      <w:color w:val="000000" w:themeColor="text1"/>
                      <w:sz w:val="21"/>
                      <w:szCs w:val="21"/>
                      <w:lang w:val="en-US"/>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 xml:space="preserve">4mg/L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81" w:type="dxa"/>
                  <w:vMerge w:val="continue"/>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p>
              </w:tc>
              <w:tc>
                <w:tcPr>
                  <w:tcW w:w="1489" w:type="dxa"/>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氨氮</w:t>
                  </w:r>
                </w:p>
              </w:tc>
              <w:tc>
                <w:tcPr>
                  <w:tcW w:w="2034" w:type="dxa"/>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HJ 535-2009</w:t>
                  </w:r>
                </w:p>
              </w:tc>
              <w:tc>
                <w:tcPr>
                  <w:tcW w:w="2444" w:type="dxa"/>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纳氏试剂分光光度法</w:t>
                  </w:r>
                </w:p>
              </w:tc>
              <w:tc>
                <w:tcPr>
                  <w:tcW w:w="1870" w:type="dxa"/>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81" w:type="dxa"/>
                  <w:vAlign w:val="center"/>
                </w:tcPr>
                <w:p>
                  <w:pPr>
                    <w:spacing w:line="240" w:lineRule="auto"/>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有组织废气</w:t>
                  </w:r>
                </w:p>
              </w:tc>
              <w:tc>
                <w:tcPr>
                  <w:tcW w:w="1489" w:type="dxa"/>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非甲烷总烃</w:t>
                  </w:r>
                </w:p>
              </w:tc>
              <w:tc>
                <w:tcPr>
                  <w:tcW w:w="2034" w:type="dxa"/>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 xml:space="preserve">HJ </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38-2017</w:t>
                  </w:r>
                </w:p>
              </w:tc>
              <w:tc>
                <w:tcPr>
                  <w:tcW w:w="2444" w:type="dxa"/>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气相色谱法</w:t>
                  </w:r>
                </w:p>
              </w:tc>
              <w:tc>
                <w:tcPr>
                  <w:tcW w:w="1870" w:type="dxa"/>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0.07mg/m</w:t>
                  </w:r>
                  <w:r>
                    <w:rPr>
                      <w:rFonts w:hint="default" w:ascii="Times New Roman" w:hAnsi="Times New Roman" w:eastAsia="宋体" w:cs="Times New Roman"/>
                      <w:bCs/>
                      <w:color w:val="000000" w:themeColor="text1"/>
                      <w:sz w:val="21"/>
                      <w:szCs w:val="21"/>
                      <w:highlight w:val="none"/>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81" w:type="dxa"/>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无组织废气</w:t>
                  </w:r>
                </w:p>
              </w:tc>
              <w:tc>
                <w:tcPr>
                  <w:tcW w:w="1489" w:type="dxa"/>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非甲烷总烃</w:t>
                  </w:r>
                </w:p>
              </w:tc>
              <w:tc>
                <w:tcPr>
                  <w:tcW w:w="2034" w:type="dxa"/>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HJ 604-2017</w:t>
                  </w:r>
                </w:p>
              </w:tc>
              <w:tc>
                <w:tcPr>
                  <w:tcW w:w="2444" w:type="dxa"/>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气相色谱法</w:t>
                  </w:r>
                </w:p>
              </w:tc>
              <w:tc>
                <w:tcPr>
                  <w:tcW w:w="1870" w:type="dxa"/>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0.0</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bCs/>
                      <w:color w:val="000000" w:themeColor="text1"/>
                      <w:sz w:val="21"/>
                      <w:szCs w:val="21"/>
                      <w14:textFill>
                        <w14:solidFill>
                          <w14:schemeClr w14:val="tx1"/>
                        </w14:solidFill>
                      </w14:textFill>
                    </w:rPr>
                    <w:t xml:space="preserve"> mg/m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81" w:type="dxa"/>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噪声</w:t>
                  </w:r>
                </w:p>
              </w:tc>
              <w:tc>
                <w:tcPr>
                  <w:tcW w:w="1489" w:type="dxa"/>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厂界噪声</w:t>
                  </w:r>
                </w:p>
              </w:tc>
              <w:tc>
                <w:tcPr>
                  <w:tcW w:w="2034" w:type="dxa"/>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GB 12348-2008</w:t>
                  </w:r>
                </w:p>
              </w:tc>
              <w:tc>
                <w:tcPr>
                  <w:tcW w:w="2444" w:type="dxa"/>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声级计法</w:t>
                  </w:r>
                </w:p>
              </w:tc>
              <w:tc>
                <w:tcPr>
                  <w:tcW w:w="1870" w:type="dxa"/>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r>
          </w:tbl>
          <w:p>
            <w:pPr>
              <w:widowControl w:val="0"/>
              <w:adjustRightInd w:val="0"/>
              <w:snapToGrid w:val="0"/>
              <w:jc w:val="center"/>
              <w:rPr>
                <w:rFonts w:ascii="Times New Roman" w:hAnsi="Times New Roman" w:eastAsia="宋体" w:cs="Times New Roman"/>
                <w:b/>
                <w:bCs/>
                <w:color w:val="0000FF"/>
                <w:sz w:val="21"/>
                <w:szCs w:val="21"/>
              </w:rPr>
            </w:pP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2、质控措施</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（1）人员：承担监测任务的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环境检测单位</w:t>
            </w:r>
            <w:r>
              <w:rPr>
                <w:rFonts w:ascii="Times New Roman" w:hAnsi="Times New Roman" w:eastAsia="宋体" w:cs="Times New Roman"/>
                <w:color w:val="000000" w:themeColor="text1"/>
                <w:sz w:val="24"/>
                <w:szCs w:val="24"/>
                <w14:textFill>
                  <w14:solidFill>
                    <w14:schemeClr w14:val="tx1"/>
                  </w14:solidFill>
                </w14:textFill>
              </w:rPr>
              <w:t>通过资质认定，监测人员持证上岗。</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设备：监测过程中使用的仪器设备符合国家有关标准和技术要求。《中华人民共和国强制检定的工作计量器具明细目录》里的仪器设备，经计量检定合格并在有效期内；不属于明细目录里的仪器设备，校准合格并在有效期内使用。</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（3）监测时的工况调查：监测在企业生产设备处于正常运行状态下进行，核查工况，在建设项目竣工环境保护验收技术规范要求的负荷下采样。</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4）采样：采样点位选取应考虑到合适性和代表性，采样严格按技术规范要求进行，采样点位若现场与方案布设的采样点位有出入，在现场记录表格中的右上角用红笔星号（※）做标记以示区别。废气采样时保证采样系统的密封性，测试前气密性检查、校零校标，并提供校准校标记录作为附件；废气采样采集平行样。噪声采样记录上反映监测时的风速，监测时加带风罩，监测前后用标准声源对仪器进行校准，校准结果不超过0.5dB 数据方认为有效。</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（5）样品的保存及运输：凡能做现场测定的项目，均应在现场测定；不能现场测定的，应加保存剂保存并在保存期内测定。</w:t>
            </w:r>
          </w:p>
          <w:p>
            <w:pPr>
              <w:widowControl w:val="0"/>
              <w:adjustRightIn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6）实验室分析：保证实验室条件，实验室用水、使用试剂、器皿符合要求。分析现场采集水质密码样，实验室水质分析、样品分析能做平行双样的加测10%以上平行样。当平行双样测定合格率低于95%时，除对当批样品重新测定外再增加样品数10%～20%的平行样，直至平行双样测定合格率大于95%。平行双样最终结果以双样的平均值报出。有证环境标准样品的带有证环境标准样品进行分析。</w:t>
            </w:r>
          </w:p>
          <w:p>
            <w:pPr>
              <w:widowControl w:val="0"/>
              <w:adjustRightInd/>
              <w:spacing w:line="360" w:lineRule="auto"/>
              <w:ind w:firstLine="480" w:firstLineChars="200"/>
              <w:jc w:val="both"/>
              <w:rPr>
                <w:color w:val="000000" w:themeColor="text1"/>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（7）采样记录、分析结果、监测方案及报告均严格执行三级审核制度。</w:t>
            </w:r>
            <w:r>
              <w:rPr>
                <w:rFonts w:hint="eastAsia" w:ascii="Times New Roman" w:hAnsi="Times New Roman" w:eastAsia="宋体" w:cs="Times New Roman"/>
                <w:color w:val="000000" w:themeColor="text1"/>
                <w:sz w:val="24"/>
                <w:szCs w:val="24"/>
                <w14:textFill>
                  <w14:solidFill>
                    <w14:schemeClr w14:val="tx1"/>
                  </w14:solidFill>
                </w14:textFill>
              </w:rPr>
              <w:t>即所在检测科室的室主任、质控负责人和技术负责人逐级审核，发现问题及时解决，不得进入下一环节。</w:t>
            </w:r>
          </w:p>
          <w:p>
            <w:pPr>
              <w:pStyle w:val="24"/>
              <w:widowControl w:val="0"/>
              <w:rPr>
                <w:color w:val="0000FF"/>
              </w:rPr>
            </w:pPr>
          </w:p>
          <w:p>
            <w:pPr>
              <w:pStyle w:val="24"/>
              <w:widowControl w:val="0"/>
              <w:rPr>
                <w:color w:val="0000FF"/>
              </w:rPr>
            </w:pP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9"/>
        <w:rPr>
          <w:rFonts w:ascii="Times New Roman" w:hAnsi="Times New Roman" w:eastAsia="宋体" w:cs="Times New Roman"/>
          <w:b/>
          <w:color w:val="0000FF"/>
          <w:sz w:val="21"/>
          <w:szCs w:val="21"/>
        </w:rPr>
      </w:pP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表六</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9" w:hRule="atLeast"/>
        </w:trPr>
        <w:tc>
          <w:tcPr>
            <w:tcW w:w="8522" w:type="dxa"/>
          </w:tcPr>
          <w:p>
            <w:pPr>
              <w:widowControl/>
              <w:spacing w:line="360" w:lineRule="auto"/>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验收监测内容：</w:t>
            </w:r>
          </w:p>
          <w:p>
            <w:pPr>
              <w:widowControl w:val="0"/>
              <w:adjustRightInd/>
              <w:snapToGrid/>
              <w:spacing w:line="360" w:lineRule="auto"/>
              <w:ind w:firstLine="480" w:firstLineChars="200"/>
              <w:jc w:val="both"/>
              <w:outlineLvl w:val="1"/>
              <w:rPr>
                <w:rFonts w:ascii="Times New Roman" w:hAnsi="Times New Roman" w:eastAsia="宋体" w:cs="Times New Roman"/>
                <w:bCs/>
                <w:color w:val="000000" w:themeColor="text1"/>
                <w:sz w:val="24"/>
                <w:szCs w:val="24"/>
                <w14:textFill>
                  <w14:solidFill>
                    <w14:schemeClr w14:val="tx1"/>
                  </w14:solidFill>
                </w14:textFill>
              </w:rPr>
            </w:pPr>
            <w:bookmarkStart w:id="4" w:name="_Toc4084"/>
            <w:bookmarkStart w:id="5" w:name="_Toc24246"/>
            <w:r>
              <w:rPr>
                <w:rFonts w:ascii="Times New Roman" w:hAnsi="Times New Roman" w:eastAsia="宋体" w:cs="Times New Roman"/>
                <w:bCs/>
                <w:color w:val="000000" w:themeColor="text1"/>
                <w:sz w:val="24"/>
                <w:szCs w:val="24"/>
                <w14:textFill>
                  <w14:solidFill>
                    <w14:schemeClr w14:val="tx1"/>
                  </w14:solidFill>
                </w14:textFill>
              </w:rPr>
              <w:t>1、环境保护设施调试效果</w:t>
            </w:r>
            <w:bookmarkEnd w:id="4"/>
            <w:bookmarkEnd w:id="5"/>
          </w:p>
          <w:p>
            <w:pPr>
              <w:widowControl w:val="0"/>
              <w:adjustRightInd/>
              <w:snapToGrid/>
              <w:spacing w:line="360" w:lineRule="auto"/>
              <w:ind w:firstLine="480" w:firstLineChars="200"/>
              <w:jc w:val="both"/>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通过对各类污染物达标排放排放及各类污染治理设施去除效率的监测，来说明环境保护设施调试效果，具体监测内容如下：</w:t>
            </w:r>
          </w:p>
          <w:p>
            <w:pPr>
              <w:widowControl w:val="0"/>
              <w:numPr>
                <w:ilvl w:val="0"/>
                <w:numId w:val="4"/>
              </w:numPr>
              <w:adjustRightInd/>
              <w:snapToGrid/>
              <w:spacing w:line="360" w:lineRule="auto"/>
              <w:ind w:firstLine="480" w:firstLineChars="200"/>
              <w:jc w:val="both"/>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废</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水</w:t>
            </w:r>
          </w:p>
          <w:p>
            <w:pPr>
              <w:widowControl w:val="0"/>
              <w:adjustRightInd/>
              <w:snapToGrid/>
              <w:spacing w:line="360" w:lineRule="auto"/>
              <w:ind w:firstLine="480" w:firstLineChars="200"/>
              <w:jc w:val="both"/>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本次验收废</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水</w:t>
            </w:r>
            <w:r>
              <w:rPr>
                <w:rFonts w:ascii="Times New Roman" w:hAnsi="Times New Roman" w:eastAsia="宋体" w:cs="Times New Roman"/>
                <w:bCs/>
                <w:color w:val="000000" w:themeColor="text1"/>
                <w:sz w:val="24"/>
                <w:szCs w:val="24"/>
                <w14:textFill>
                  <w14:solidFill>
                    <w14:schemeClr w14:val="tx1"/>
                  </w14:solidFill>
                </w14:textFill>
              </w:rPr>
              <w:t>监测内容明细表见下表。</w:t>
            </w:r>
          </w:p>
          <w:p>
            <w:pPr>
              <w:widowControl w:val="0"/>
              <w:adjustRightInd/>
              <w:snapToGrid/>
              <w:spacing w:beforeLines="5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表6-</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 xml:space="preserve">1 </w:t>
            </w:r>
            <w:r>
              <w:rPr>
                <w:rFonts w:ascii="Times New Roman" w:hAnsi="Times New Roman" w:eastAsia="宋体" w:cs="Times New Roman"/>
                <w:b/>
                <w:color w:val="000000" w:themeColor="text1"/>
                <w:sz w:val="21"/>
                <w:szCs w:val="21"/>
                <w14:textFill>
                  <w14:solidFill>
                    <w14:schemeClr w14:val="tx1"/>
                  </w14:solidFill>
                </w14:textFill>
              </w:rPr>
              <w:t>废</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水</w:t>
            </w:r>
            <w:r>
              <w:rPr>
                <w:rFonts w:ascii="Times New Roman" w:hAnsi="Times New Roman" w:eastAsia="宋体" w:cs="Times New Roman"/>
                <w:b/>
                <w:color w:val="000000" w:themeColor="text1"/>
                <w:sz w:val="21"/>
                <w:szCs w:val="21"/>
                <w14:textFill>
                  <w14:solidFill>
                    <w14:schemeClr w14:val="tx1"/>
                  </w14:solidFill>
                </w14:textFill>
              </w:rPr>
              <w:t>监测明内容细</w:t>
            </w:r>
          </w:p>
          <w:tbl>
            <w:tblPr>
              <w:tblStyle w:val="26"/>
              <w:tblW w:w="8217"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2826"/>
              <w:gridCol w:w="2878"/>
              <w:gridCol w:w="141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73" w:hRule="atLeast"/>
                <w:jc w:val="center"/>
              </w:trPr>
              <w:tc>
                <w:tcPr>
                  <w:tcW w:w="1103"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监测项目</w:t>
                  </w:r>
                </w:p>
              </w:tc>
              <w:tc>
                <w:tcPr>
                  <w:tcW w:w="2826"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监测点位</w:t>
                  </w:r>
                </w:p>
              </w:tc>
              <w:tc>
                <w:tcPr>
                  <w:tcW w:w="2878"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环保设施</w:t>
                  </w:r>
                </w:p>
              </w:tc>
              <w:tc>
                <w:tcPr>
                  <w:tcW w:w="1410"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85" w:hRule="atLeast"/>
                <w:jc w:val="center"/>
              </w:trPr>
              <w:tc>
                <w:tcPr>
                  <w:tcW w:w="1103" w:type="dxa"/>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生活污水</w:t>
                  </w:r>
                </w:p>
              </w:tc>
              <w:tc>
                <w:tcPr>
                  <w:tcW w:w="2826" w:type="dxa"/>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生活污水处理设施出口</w:t>
                  </w:r>
                </w:p>
              </w:tc>
              <w:tc>
                <w:tcPr>
                  <w:tcW w:w="2878" w:type="dxa"/>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三级化粪池</w:t>
                  </w:r>
                </w:p>
              </w:tc>
              <w:tc>
                <w:tcPr>
                  <w:tcW w:w="1410" w:type="dxa"/>
                  <w:tcBorders>
                    <w:tl2br w:val="nil"/>
                    <w:tr2bl w:val="nil"/>
                  </w:tcBorders>
                  <w:vAlign w:val="center"/>
                </w:tcPr>
                <w:p>
                  <w:pPr>
                    <w:widowControl w:val="0"/>
                    <w:adjustRightInd/>
                    <w:snapToGrid/>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3次/天，2天</w:t>
                  </w:r>
                </w:p>
              </w:tc>
            </w:tr>
          </w:tbl>
          <w:p>
            <w:pPr>
              <w:pStyle w:val="3"/>
              <w:widowControl w:val="0"/>
              <w:numPr>
                <w:ilvl w:val="0"/>
                <w:numId w:val="0"/>
              </w:numPr>
              <w:spacing w:line="360" w:lineRule="auto"/>
              <w:ind w:firstLine="480" w:firstLineChars="200"/>
              <w:jc w:val="both"/>
              <w:rPr>
                <w:rFonts w:hint="eastAsia"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（2）废气</w:t>
            </w:r>
          </w:p>
          <w:p>
            <w:pPr>
              <w:widowControl w:val="0"/>
              <w:adjustRightInd/>
              <w:snapToGrid/>
              <w:spacing w:line="360" w:lineRule="auto"/>
              <w:ind w:firstLine="480" w:firstLineChars="200"/>
              <w:jc w:val="both"/>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本次验收废气监测内容明细表见下表。</w:t>
            </w:r>
          </w:p>
          <w:p>
            <w:pPr>
              <w:widowControl w:val="0"/>
              <w:adjustRightInd/>
              <w:snapToGrid/>
              <w:spacing w:beforeLines="5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表6-</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 xml:space="preserve">2 </w:t>
            </w:r>
            <w:r>
              <w:rPr>
                <w:rFonts w:ascii="Times New Roman" w:hAnsi="Times New Roman" w:eastAsia="宋体" w:cs="Times New Roman"/>
                <w:b/>
                <w:color w:val="000000" w:themeColor="text1"/>
                <w:sz w:val="21"/>
                <w:szCs w:val="21"/>
                <w14:textFill>
                  <w14:solidFill>
                    <w14:schemeClr w14:val="tx1"/>
                  </w14:solidFill>
                </w14:textFill>
              </w:rPr>
              <w:t>废气监测明内容细</w:t>
            </w:r>
          </w:p>
          <w:tbl>
            <w:tblPr>
              <w:tblStyle w:val="26"/>
              <w:tblW w:w="8215"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2825"/>
              <w:gridCol w:w="2877"/>
              <w:gridCol w:w="141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1103"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监测项目</w:t>
                  </w:r>
                </w:p>
              </w:tc>
              <w:tc>
                <w:tcPr>
                  <w:tcW w:w="2825"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监测点位</w:t>
                  </w:r>
                </w:p>
              </w:tc>
              <w:tc>
                <w:tcPr>
                  <w:tcW w:w="2877"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环保设施</w:t>
                  </w:r>
                </w:p>
              </w:tc>
              <w:tc>
                <w:tcPr>
                  <w:tcW w:w="1410"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0" w:hRule="atLeast"/>
                <w:jc w:val="center"/>
              </w:trPr>
              <w:tc>
                <w:tcPr>
                  <w:tcW w:w="1103" w:type="dxa"/>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有机废气</w:t>
                  </w:r>
                </w:p>
              </w:tc>
              <w:tc>
                <w:tcPr>
                  <w:tcW w:w="2825" w:type="dxa"/>
                  <w:tcBorders>
                    <w:tl2br w:val="nil"/>
                    <w:tr2bl w:val="nil"/>
                  </w:tcBorders>
                  <w:vAlign w:val="center"/>
                </w:tcPr>
                <w:p>
                  <w:pPr>
                    <w:widowControl w:val="0"/>
                    <w:adjustRightInd/>
                    <w:snapToGrid/>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有机废气处理设施进出口</w:t>
                  </w:r>
                </w:p>
              </w:tc>
              <w:tc>
                <w:tcPr>
                  <w:tcW w:w="2877" w:type="dxa"/>
                  <w:tcBorders>
                    <w:tl2br w:val="nil"/>
                    <w:tr2bl w:val="nil"/>
                  </w:tcBorders>
                  <w:vAlign w:val="center"/>
                </w:tcPr>
                <w:p>
                  <w:pPr>
                    <w:widowControl w:val="0"/>
                    <w:adjustRightInd/>
                    <w:snapToGrid/>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活性炭吸附</w:t>
                  </w:r>
                </w:p>
              </w:tc>
              <w:tc>
                <w:tcPr>
                  <w:tcW w:w="1410" w:type="dxa"/>
                  <w:tcBorders>
                    <w:tl2br w:val="nil"/>
                    <w:tr2bl w:val="nil"/>
                  </w:tcBorders>
                  <w:vAlign w:val="center"/>
                </w:tcPr>
                <w:p>
                  <w:pPr>
                    <w:widowControl w:val="0"/>
                    <w:adjustRightInd/>
                    <w:snapToGrid/>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3次/天，2天</w:t>
                  </w:r>
                </w:p>
              </w:tc>
            </w:tr>
          </w:tbl>
          <w:p>
            <w:pPr>
              <w:widowControl w:val="0"/>
              <w:adjustRightInd/>
              <w:spacing w:line="360" w:lineRule="auto"/>
              <w:ind w:firstLine="480" w:firstLineChars="200"/>
              <w:jc w:val="both"/>
              <w:outlineLvl w:val="2"/>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3</w:t>
            </w:r>
            <w:r>
              <w:rPr>
                <w:rFonts w:ascii="Times New Roman" w:hAnsi="Times New Roman" w:eastAsia="宋体" w:cs="Times New Roman"/>
                <w:bCs/>
                <w:color w:val="000000" w:themeColor="text1"/>
                <w:sz w:val="24"/>
                <w:szCs w:val="24"/>
                <w14:textFill>
                  <w14:solidFill>
                    <w14:schemeClr w14:val="tx1"/>
                  </w14:solidFill>
                </w14:textFill>
              </w:rPr>
              <w:t>）厂界噪声监测</w:t>
            </w:r>
          </w:p>
          <w:p>
            <w:pPr>
              <w:widowControl w:val="0"/>
              <w:adjustRightInd/>
              <w:spacing w:line="360" w:lineRule="auto"/>
              <w:ind w:firstLine="480" w:firstLineChars="200"/>
              <w:jc w:val="both"/>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本次验收厂界噪声监测明细表见下表。</w:t>
            </w:r>
          </w:p>
          <w:p>
            <w:pPr>
              <w:widowControl w:val="0"/>
              <w:adjustRightInd/>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表6-</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3</w:t>
            </w:r>
            <w:r>
              <w:rPr>
                <w:rFonts w:ascii="Times New Roman" w:hAnsi="Times New Roman" w:eastAsia="宋体" w:cs="Times New Roman"/>
                <w:b/>
                <w:color w:val="000000" w:themeColor="text1"/>
                <w:sz w:val="21"/>
                <w:szCs w:val="21"/>
                <w14:textFill>
                  <w14:solidFill>
                    <w14:schemeClr w14:val="tx1"/>
                  </w14:solidFill>
                </w14:textFill>
              </w:rPr>
              <w:t>厂界噪声监测内容明细</w:t>
            </w:r>
          </w:p>
          <w:tbl>
            <w:tblPr>
              <w:tblStyle w:val="26"/>
              <w:tblW w:w="7958"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761"/>
              <w:gridCol w:w="1955"/>
              <w:gridCol w:w="1415"/>
              <w:gridCol w:w="282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0" w:hRule="atLeast"/>
                <w:jc w:val="center"/>
              </w:trPr>
              <w:tc>
                <w:tcPr>
                  <w:tcW w:w="1761"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监测项目</w:t>
                  </w:r>
                </w:p>
              </w:tc>
              <w:tc>
                <w:tcPr>
                  <w:tcW w:w="1955"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监测点位</w:t>
                  </w:r>
                </w:p>
              </w:tc>
              <w:tc>
                <w:tcPr>
                  <w:tcW w:w="1415"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环保设施</w:t>
                  </w:r>
                </w:p>
              </w:tc>
              <w:tc>
                <w:tcPr>
                  <w:tcW w:w="2827" w:type="dxa"/>
                  <w:tcBorders>
                    <w:tl2br w:val="nil"/>
                    <w:tr2bl w:val="nil"/>
                  </w:tcBorders>
                  <w:vAlign w:val="center"/>
                </w:tcPr>
                <w:p>
                  <w:pPr>
                    <w:widowControl w:val="0"/>
                    <w:adjustRightInd/>
                    <w:snapToGri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0" w:hRule="atLeast"/>
                <w:jc w:val="center"/>
              </w:trPr>
              <w:tc>
                <w:tcPr>
                  <w:tcW w:w="1761" w:type="dxa"/>
                  <w:vMerge w:val="restart"/>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厂界噪声</w:t>
                  </w:r>
                </w:p>
              </w:tc>
              <w:tc>
                <w:tcPr>
                  <w:tcW w:w="1955" w:type="dxa"/>
                  <w:tcBorders>
                    <w:tl2br w:val="nil"/>
                    <w:tr2bl w:val="nil"/>
                  </w:tcBorders>
                  <w:vAlign w:val="center"/>
                </w:tcPr>
                <w:p>
                  <w:pPr>
                    <w:widowControl/>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厂界1</w:t>
                  </w:r>
                </w:p>
              </w:tc>
              <w:tc>
                <w:tcPr>
                  <w:tcW w:w="1415" w:type="dxa"/>
                  <w:vMerge w:val="restart"/>
                  <w:tcBorders>
                    <w:tl2br w:val="nil"/>
                    <w:tr2bl w:val="nil"/>
                  </w:tcBorders>
                  <w:vAlign w:val="center"/>
                </w:tcPr>
                <w:p>
                  <w:pPr>
                    <w:widowControl w:val="0"/>
                    <w:adjustRightInd/>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隔声</w:t>
                  </w:r>
                  <w:r>
                    <w:rPr>
                      <w:rFonts w:hint="eastAsia" w:ascii="Times New Roman" w:hAnsi="Times New Roman" w:eastAsia="宋体" w:cs="Times New Roman"/>
                      <w:bCs/>
                      <w:color w:val="000000" w:themeColor="text1"/>
                      <w:sz w:val="21"/>
                      <w:szCs w:val="21"/>
                      <w14:textFill>
                        <w14:solidFill>
                          <w14:schemeClr w14:val="tx1"/>
                        </w14:solidFill>
                      </w14:textFill>
                    </w:rPr>
                    <w:t>、合理布局机台</w:t>
                  </w:r>
                </w:p>
              </w:tc>
              <w:tc>
                <w:tcPr>
                  <w:tcW w:w="2827" w:type="dxa"/>
                  <w:vMerge w:val="restart"/>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昼</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夜各</w:t>
                  </w:r>
                  <w:r>
                    <w:rPr>
                      <w:rFonts w:ascii="Times New Roman" w:hAnsi="Times New Roman" w:eastAsia="宋体" w:cs="Times New Roman"/>
                      <w:bCs/>
                      <w:color w:val="000000" w:themeColor="text1"/>
                      <w:sz w:val="21"/>
                      <w:szCs w:val="21"/>
                      <w14:textFill>
                        <w14:solidFill>
                          <w14:schemeClr w14:val="tx1"/>
                        </w14:solidFill>
                      </w14:textFill>
                    </w:rPr>
                    <w:t>1次/天，2天</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0" w:hRule="atLeast"/>
                <w:jc w:val="center"/>
              </w:trPr>
              <w:tc>
                <w:tcPr>
                  <w:tcW w:w="1761"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c>
                <w:tcPr>
                  <w:tcW w:w="1955" w:type="dxa"/>
                  <w:tcBorders>
                    <w:tl2br w:val="nil"/>
                    <w:tr2bl w:val="nil"/>
                  </w:tcBorders>
                  <w:vAlign w:val="center"/>
                </w:tcPr>
                <w:p>
                  <w:pPr>
                    <w:widowControl/>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厂界2</w:t>
                  </w:r>
                </w:p>
              </w:tc>
              <w:tc>
                <w:tcPr>
                  <w:tcW w:w="1415"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c>
                <w:tcPr>
                  <w:tcW w:w="2827"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c>
                <w:tcPr>
                  <w:tcW w:w="1955" w:type="dxa"/>
                  <w:tcBorders>
                    <w:tl2br w:val="nil"/>
                    <w:tr2bl w:val="nil"/>
                  </w:tcBorders>
                  <w:vAlign w:val="center"/>
                </w:tcPr>
                <w:p>
                  <w:pPr>
                    <w:widowControl/>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厂界3</w:t>
                  </w:r>
                </w:p>
              </w:tc>
              <w:tc>
                <w:tcPr>
                  <w:tcW w:w="1415"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c>
                <w:tcPr>
                  <w:tcW w:w="2827"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c>
                <w:tcPr>
                  <w:tcW w:w="1955"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厂界</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415"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c>
                <w:tcPr>
                  <w:tcW w:w="2827"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tc>
            </w:tr>
          </w:tbl>
          <w:p>
            <w:pPr>
              <w:pStyle w:val="24"/>
              <w:widowControl w:val="0"/>
              <w:ind w:left="0" w:leftChars="0" w:firstLine="0" w:firstLineChars="0"/>
              <w:jc w:val="both"/>
              <w:rPr>
                <w:rFonts w:hint="eastAsia"/>
                <w:color w:val="000000" w:themeColor="text1"/>
                <w:lang w:val="en-US" w:eastAsia="zh-CN"/>
                <w14:textFill>
                  <w14:solidFill>
                    <w14:schemeClr w14:val="tx1"/>
                  </w14:solidFill>
                </w14:textFill>
              </w:rPr>
            </w:pPr>
          </w:p>
          <w:p>
            <w:pPr>
              <w:pStyle w:val="24"/>
              <w:widowControl w:val="0"/>
              <w:ind w:left="0" w:leftChars="0" w:firstLine="480" w:firstLineChars="200"/>
              <w:jc w:val="both"/>
              <w:rPr>
                <w:rFonts w:hint="eastAsia" w:ascii="Times New Roman" w:hAnsi="Times New Roman" w:eastAsia="宋体" w:cs="Times New Roman"/>
                <w:bCs/>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bidi="ar-SA"/>
                <w14:textFill>
                  <w14:solidFill>
                    <w14:schemeClr w14:val="tx1"/>
                  </w14:solidFill>
                </w14:textFill>
              </w:rPr>
              <w:t>监测点位见下图6-1：</w:t>
            </w:r>
          </w:p>
          <w:p>
            <w:pPr>
              <w:pStyle w:val="24"/>
              <w:widowControl w:val="0"/>
              <w:ind w:left="0" w:leftChars="0" w:firstLine="0" w:firstLineChars="0"/>
              <w:jc w:val="center"/>
              <w:rPr>
                <w:color w:val="000000" w:themeColor="text1"/>
                <w14:textFill>
                  <w14:solidFill>
                    <w14:schemeClr w14:val="tx1"/>
                  </w14:solidFill>
                </w14:textFill>
              </w:rPr>
            </w:pPr>
          </w:p>
          <w:p>
            <w:pPr>
              <w:pStyle w:val="24"/>
              <w:widowControl w:val="0"/>
              <w:ind w:left="0" w:leftChars="0" w:firstLine="0" w:firstLineChars="0"/>
              <w:jc w:val="center"/>
              <w:rPr>
                <w:rFonts w:hint="default" w:eastAsia="楷体_GB2312"/>
                <w:color w:val="0000FF"/>
                <w:lang w:val="en-US" w:eastAsia="zh-CN"/>
              </w:rPr>
            </w:pPr>
            <w:r>
              <w:drawing>
                <wp:inline distT="0" distB="0" distL="114300" distR="114300">
                  <wp:extent cx="5271135" cy="3667125"/>
                  <wp:effectExtent l="0" t="0" r="5715"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5271135" cy="3667125"/>
                          </a:xfrm>
                          <a:prstGeom prst="rect">
                            <a:avLst/>
                          </a:prstGeom>
                          <a:noFill/>
                          <a:ln>
                            <a:noFill/>
                          </a:ln>
                        </pic:spPr>
                      </pic:pic>
                    </a:graphicData>
                  </a:graphic>
                </wp:inline>
              </w:drawing>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图6-1  监测点位图</w:t>
            </w:r>
          </w:p>
        </w:tc>
      </w:tr>
    </w:tbl>
    <w:p>
      <w:pPr>
        <w:spacing w:line="360" w:lineRule="auto"/>
        <w:outlineLvl w:val="0"/>
        <w:rPr>
          <w:rFonts w:ascii="Times New Roman" w:hAnsi="Times New Roman" w:eastAsia="宋体" w:cs="Times New Roman"/>
          <w:b/>
          <w:color w:val="0000FF"/>
          <w:sz w:val="21"/>
          <w:szCs w:val="21"/>
        </w:rPr>
        <w:sectPr>
          <w:pgSz w:w="11906" w:h="16838"/>
          <w:pgMar w:top="1440" w:right="1440" w:bottom="1440" w:left="1701" w:header="709" w:footer="709" w:gutter="0"/>
          <w:pgBorders>
            <w:top w:val="none" w:sz="0" w:space="0"/>
            <w:left w:val="none" w:sz="0" w:space="0"/>
            <w:bottom w:val="none" w:sz="0" w:space="0"/>
            <w:right w:val="none" w:sz="0" w:space="0"/>
          </w:pgBorders>
          <w:cols w:space="0" w:num="1"/>
          <w:docGrid w:linePitch="360" w:charSpace="0"/>
        </w:sectPr>
      </w:pP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表七</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3" w:hRule="atLeast"/>
        </w:trPr>
        <w:tc>
          <w:tcPr>
            <w:tcW w:w="8522" w:type="dxa"/>
          </w:tcPr>
          <w:p>
            <w:pPr>
              <w:widowControl/>
              <w:spacing w:line="360" w:lineRule="auto"/>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验收监测期间生产工况记录：</w:t>
            </w:r>
          </w:p>
          <w:p>
            <w:pPr>
              <w:widowControl w:val="0"/>
              <w:adjustRightInd/>
              <w:snapToGrid/>
              <w:spacing w:line="360" w:lineRule="auto"/>
              <w:ind w:firstLine="480" w:firstLineChars="200"/>
              <w:jc w:val="both"/>
              <w:outlineLvl w:val="1"/>
              <w:rPr>
                <w:rFonts w:ascii="Times New Roman" w:hAnsi="Times New Roman" w:eastAsia="宋体" w:cs="Times New Roman"/>
                <w:color w:val="000000" w:themeColor="text1"/>
                <w:sz w:val="24"/>
                <w:szCs w:val="24"/>
                <w14:textFill>
                  <w14:solidFill>
                    <w14:schemeClr w14:val="tx1"/>
                  </w14:solidFill>
                </w14:textFill>
              </w:rPr>
            </w:pPr>
            <w:bookmarkStart w:id="6" w:name="_Toc23720"/>
            <w:bookmarkStart w:id="7" w:name="_Toc8105"/>
            <w:r>
              <w:rPr>
                <w:rFonts w:ascii="Times New Roman" w:hAnsi="Times New Roman" w:eastAsia="宋体" w:cs="Times New Roman"/>
                <w:color w:val="000000" w:themeColor="text1"/>
                <w:sz w:val="24"/>
                <w:szCs w:val="24"/>
                <w14:textFill>
                  <w14:solidFill>
                    <w14:schemeClr w14:val="tx1"/>
                  </w14:solidFill>
                </w14:textFill>
              </w:rPr>
              <w:t>1、生产工况</w:t>
            </w:r>
            <w:bookmarkEnd w:id="6"/>
            <w:bookmarkEnd w:id="7"/>
          </w:p>
          <w:p>
            <w:pPr>
              <w:widowControl w:val="0"/>
              <w:adjustRightInd/>
              <w:snapToGri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厦门威正</w:t>
            </w:r>
            <w:r>
              <w:rPr>
                <w:rFonts w:hint="eastAsia" w:ascii="Times New Roman" w:hAnsi="Times New Roman" w:eastAsia="宋体" w:cs="Times New Roman"/>
                <w:color w:val="000000" w:themeColor="text1"/>
                <w:sz w:val="24"/>
                <w:szCs w:val="24"/>
                <w:lang w:eastAsia="zh-CN"/>
                <w14:textFill>
                  <w14:solidFill>
                    <w14:schemeClr w14:val="tx1"/>
                  </w14:solidFill>
                </w14:textFill>
              </w:rPr>
              <w:t>检测技术有限公司</w:t>
            </w:r>
            <w:r>
              <w:rPr>
                <w:rFonts w:hint="eastAsia"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2021年8月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eastAsia="zh-CN"/>
                <w14:textFill>
                  <w14:solidFill>
                    <w14:schemeClr w14:val="tx1"/>
                  </w14:solidFill>
                </w14:textFill>
              </w:rPr>
              <w:t>日至2021年8月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日</w:t>
            </w:r>
            <w:r>
              <w:rPr>
                <w:rFonts w:hint="eastAsia" w:ascii="Times New Roman" w:hAnsi="Times New Roman" w:eastAsia="宋体" w:cs="Times New Roman"/>
                <w:color w:val="000000" w:themeColor="text1"/>
                <w:sz w:val="24"/>
                <w:szCs w:val="24"/>
                <w14:textFill>
                  <w14:solidFill>
                    <w14:schemeClr w14:val="tx1"/>
                  </w14:solidFill>
                </w14:textFill>
              </w:rPr>
              <w:t>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福建省金城伟业印刷有限公司</w:t>
            </w:r>
            <w:r>
              <w:rPr>
                <w:rFonts w:hint="eastAsia" w:ascii="Times New Roman" w:hAnsi="Times New Roman" w:eastAsia="宋体" w:cs="Times New Roman"/>
                <w:color w:val="000000" w:themeColor="text1"/>
                <w:sz w:val="24"/>
                <w:szCs w:val="24"/>
                <w14:textFill>
                  <w14:solidFill>
                    <w14:schemeClr w14:val="tx1"/>
                  </w14:solidFill>
                </w14:textFill>
              </w:rPr>
              <w:t>进行现场监测，项目环评设计</w:t>
            </w:r>
            <w:r>
              <w:rPr>
                <w:rFonts w:hint="default" w:ascii="Times New Roman" w:hAnsi="Times New Roman" w:eastAsia="宋体" w:cs="Times New Roman"/>
                <w:color w:val="000000" w:themeColor="text1"/>
                <w:sz w:val="24"/>
                <w:szCs w:val="24"/>
                <w:lang w:eastAsia="zh-CN"/>
                <w14:textFill>
                  <w14:solidFill>
                    <w14:schemeClr w14:val="tx1"/>
                  </w14:solidFill>
                </w14:textFill>
              </w:rPr>
              <w:t>年印刷不干胶标签330t</w:t>
            </w:r>
            <w:r>
              <w:rPr>
                <w:rFonts w:hint="eastAsia" w:ascii="Times New Roman" w:hAnsi="Times New Roman" w:eastAsia="宋体" w:cs="Times New Roman"/>
                <w:color w:val="000000" w:themeColor="text1"/>
                <w:sz w:val="24"/>
                <w:szCs w:val="24"/>
                <w14:textFill>
                  <w14:solidFill>
                    <w14:schemeClr w14:val="tx1"/>
                  </w14:solidFill>
                </w14:textFill>
              </w:rPr>
              <w:t>，目前项目实际生产能力为</w:t>
            </w:r>
            <w:r>
              <w:rPr>
                <w:rFonts w:hint="default" w:ascii="Times New Roman" w:hAnsi="Times New Roman" w:eastAsia="宋体" w:cs="Times New Roman"/>
                <w:color w:val="000000" w:themeColor="text1"/>
                <w:sz w:val="24"/>
                <w:szCs w:val="24"/>
                <w:lang w:eastAsia="zh-CN"/>
                <w14:textFill>
                  <w14:solidFill>
                    <w14:schemeClr w14:val="tx1"/>
                  </w14:solidFill>
                </w14:textFill>
              </w:rPr>
              <w:t>年印刷不干胶标签330t</w:t>
            </w:r>
            <w:r>
              <w:rPr>
                <w:rFonts w:hint="eastAsia" w:ascii="Times New Roman" w:hAnsi="Times New Roman" w:eastAsia="宋体" w:cs="Times New Roman"/>
                <w:color w:val="000000" w:themeColor="text1"/>
                <w:sz w:val="24"/>
                <w:szCs w:val="24"/>
                <w14:textFill>
                  <w14:solidFill>
                    <w14:schemeClr w14:val="tx1"/>
                  </w14:solidFill>
                </w14:textFill>
              </w:rPr>
              <w:t>。在验收期间，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w:t>
            </w:r>
            <w:r>
              <w:rPr>
                <w:rFonts w:hint="eastAsia"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日</w:t>
            </w:r>
            <w:r>
              <w:rPr>
                <w:rFonts w:hint="default" w:ascii="Times New Roman" w:hAnsi="Times New Roman" w:eastAsia="宋体" w:cs="Times New Roman"/>
                <w:color w:val="000000" w:themeColor="text1"/>
                <w:sz w:val="24"/>
                <w:szCs w:val="24"/>
                <w:lang w:eastAsia="zh-CN"/>
                <w14:textFill>
                  <w14:solidFill>
                    <w14:schemeClr w14:val="tx1"/>
                  </w14:solidFill>
                </w14:textFill>
              </w:rPr>
              <w:t>印刷不干胶标签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0.99t</w:t>
            </w:r>
            <w:r>
              <w:rPr>
                <w:rFonts w:hint="eastAsia" w:ascii="Times New Roman" w:hAnsi="Times New Roman" w:eastAsia="宋体" w:cs="Times New Roman"/>
                <w:color w:val="000000" w:themeColor="text1"/>
                <w:sz w:val="24"/>
                <w:szCs w:val="24"/>
                <w14:textFill>
                  <w14:solidFill>
                    <w14:schemeClr w14:val="tx1"/>
                  </w14:solidFill>
                </w14:textFill>
              </w:rPr>
              <w:t>，生产负荷率为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90</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w:t>
            </w:r>
            <w:r>
              <w:rPr>
                <w:rFonts w:hint="eastAsia"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号</w:t>
            </w:r>
            <w:r>
              <w:rPr>
                <w:rFonts w:hint="default" w:ascii="Times New Roman" w:hAnsi="Times New Roman" w:eastAsia="宋体" w:cs="Times New Roman"/>
                <w:color w:val="000000" w:themeColor="text1"/>
                <w:sz w:val="24"/>
                <w:szCs w:val="24"/>
                <w:lang w:eastAsia="zh-CN"/>
                <w14:textFill>
                  <w14:solidFill>
                    <w14:schemeClr w14:val="tx1"/>
                  </w14:solidFill>
                </w14:textFill>
              </w:rPr>
              <w:t>印刷不干胶标签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1t</w:t>
            </w:r>
            <w:r>
              <w:rPr>
                <w:rFonts w:hint="eastAsia" w:ascii="Times New Roman" w:hAnsi="Times New Roman" w:eastAsia="宋体" w:cs="Times New Roman"/>
                <w:color w:val="000000" w:themeColor="text1"/>
                <w:sz w:val="24"/>
                <w:szCs w:val="24"/>
                <w14:textFill>
                  <w14:solidFill>
                    <w14:schemeClr w14:val="tx1"/>
                  </w14:solidFill>
                </w14:textFill>
              </w:rPr>
              <w:t>，生产负荷率为9</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14:textFill>
                  <w14:solidFill>
                    <w14:schemeClr w14:val="tx1"/>
                  </w14:solidFill>
                </w14:textFill>
              </w:rPr>
              <w:t>%。采样期间的现场工况见下表。</w:t>
            </w:r>
          </w:p>
          <w:p>
            <w:pPr>
              <w:widowControl w:val="0"/>
              <w:adjustRightInd/>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表7-1 生产负荷表</w:t>
            </w:r>
          </w:p>
          <w:tbl>
            <w:tblPr>
              <w:tblStyle w:val="26"/>
              <w:tblW w:w="4724"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1649"/>
              <w:gridCol w:w="1529"/>
              <w:gridCol w:w="2420"/>
              <w:gridCol w:w="995"/>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790" w:type="pct"/>
                  <w:tcBorders>
                    <w:tl2br w:val="nil"/>
                    <w:tr2bl w:val="nil"/>
                  </w:tcBorders>
                  <w:vAlign w:val="center"/>
                </w:tcPr>
                <w:p>
                  <w:pPr>
                    <w:widowControl w:val="0"/>
                    <w:adjustRightInd/>
                    <w:snapToGrid/>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日期</w:t>
                  </w:r>
                </w:p>
              </w:tc>
              <w:tc>
                <w:tcPr>
                  <w:tcW w:w="1052" w:type="pct"/>
                  <w:tcBorders>
                    <w:tl2br w:val="nil"/>
                    <w:tr2bl w:val="nil"/>
                  </w:tcBorders>
                  <w:vAlign w:val="center"/>
                </w:tcPr>
                <w:p>
                  <w:pPr>
                    <w:widowControl w:val="0"/>
                    <w:adjustRightInd/>
                    <w:snapToGrid/>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环评设计产能</w:t>
                  </w:r>
                </w:p>
              </w:tc>
              <w:tc>
                <w:tcPr>
                  <w:tcW w:w="976" w:type="pct"/>
                  <w:tcBorders>
                    <w:tl2br w:val="nil"/>
                    <w:tr2bl w:val="nil"/>
                  </w:tcBorders>
                  <w:vAlign w:val="center"/>
                </w:tcPr>
                <w:p>
                  <w:pPr>
                    <w:widowControl w:val="0"/>
                    <w:adjustRightInd/>
                    <w:snapToGrid/>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实际产能</w:t>
                  </w:r>
                </w:p>
              </w:tc>
              <w:tc>
                <w:tcPr>
                  <w:tcW w:w="1544" w:type="pct"/>
                  <w:tcBorders>
                    <w:tl2br w:val="nil"/>
                    <w:tr2bl w:val="nil"/>
                  </w:tcBorders>
                  <w:vAlign w:val="center"/>
                </w:tcPr>
                <w:p>
                  <w:pPr>
                    <w:widowControl w:val="0"/>
                    <w:adjustRightInd/>
                    <w:snapToGrid/>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采样当天产能</w:t>
                  </w:r>
                </w:p>
              </w:tc>
              <w:tc>
                <w:tcPr>
                  <w:tcW w:w="634" w:type="pct"/>
                  <w:tcBorders>
                    <w:tl2br w:val="nil"/>
                    <w:tr2bl w:val="nil"/>
                  </w:tcBorders>
                  <w:vAlign w:val="center"/>
                </w:tcPr>
                <w:p>
                  <w:pPr>
                    <w:widowControl w:val="0"/>
                    <w:adjustRightInd/>
                    <w:snapToGrid/>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负荷</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0" w:hRule="atLeast"/>
                <w:jc w:val="center"/>
              </w:trPr>
              <w:tc>
                <w:tcPr>
                  <w:tcW w:w="790" w:type="pct"/>
                  <w:tcBorders>
                    <w:tl2br w:val="nil"/>
                    <w:tr2bl w:val="nil"/>
                  </w:tcBorders>
                  <w:vAlign w:val="center"/>
                </w:tcPr>
                <w:p>
                  <w:pPr>
                    <w:widowControl w:val="0"/>
                    <w:adjustRightInd/>
                    <w:snapToGrid/>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r>
                    <w:rPr>
                      <w:rFonts w:hint="eastAsia" w:ascii="Times New Roman" w:hAnsi="Times New Roman" w:eastAsia="宋体" w:cs="Times New Roman"/>
                      <w:color w:val="000000" w:themeColor="text1"/>
                      <w:sz w:val="21"/>
                      <w:szCs w:val="21"/>
                      <w14:textFill>
                        <w14:solidFill>
                          <w14:schemeClr w14:val="tx1"/>
                        </w14:solidFill>
                      </w14:textFill>
                    </w:rPr>
                    <w:t>月</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14:textFill>
                        <w14:solidFill>
                          <w14:schemeClr w14:val="tx1"/>
                        </w14:solidFill>
                      </w14:textFill>
                    </w:rPr>
                    <w:t>日</w:t>
                  </w:r>
                </w:p>
              </w:tc>
              <w:tc>
                <w:tcPr>
                  <w:tcW w:w="1052" w:type="pct"/>
                  <w:vMerge w:val="restart"/>
                  <w:tcBorders>
                    <w:tl2br w:val="nil"/>
                    <w:tr2bl w:val="nil"/>
                  </w:tcBorders>
                  <w:vAlign w:val="center"/>
                </w:tcPr>
                <w:p>
                  <w:pPr>
                    <w:widowControl w:val="0"/>
                    <w:adjustRightInd/>
                    <w:snapToGrid/>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年印刷不干胶标签330t</w:t>
                  </w:r>
                </w:p>
              </w:tc>
              <w:tc>
                <w:tcPr>
                  <w:tcW w:w="976" w:type="pct"/>
                  <w:vMerge w:val="restart"/>
                  <w:tcBorders>
                    <w:tl2br w:val="nil"/>
                    <w:tr2bl w:val="nil"/>
                  </w:tcBorders>
                  <w:vAlign w:val="center"/>
                </w:tcPr>
                <w:p>
                  <w:pPr>
                    <w:widowControl w:val="0"/>
                    <w:adjustRightInd/>
                    <w:snapToGrid/>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年印刷不干胶标签330t</w:t>
                  </w:r>
                </w:p>
              </w:tc>
              <w:tc>
                <w:tcPr>
                  <w:tcW w:w="1544" w:type="pct"/>
                  <w:tcBorders>
                    <w:tl2br w:val="nil"/>
                    <w:tr2bl w:val="nil"/>
                  </w:tcBorders>
                  <w:vAlign w:val="center"/>
                </w:tcPr>
                <w:p>
                  <w:pPr>
                    <w:widowControl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印刷不干胶标签</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0.99t</w:t>
                  </w:r>
                </w:p>
              </w:tc>
              <w:tc>
                <w:tcPr>
                  <w:tcW w:w="634" w:type="pct"/>
                  <w:vMerge w:val="restart"/>
                  <w:tcBorders>
                    <w:tl2br w:val="nil"/>
                    <w:tr2bl w:val="nil"/>
                  </w:tcBorders>
                  <w:vAlign w:val="center"/>
                </w:tcPr>
                <w:p>
                  <w:pPr>
                    <w:widowControl w:val="0"/>
                    <w:adjustRightInd/>
                    <w:snapToGrid/>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≥75%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0" w:type="pct"/>
                  <w:tcBorders>
                    <w:tl2br w:val="nil"/>
                    <w:tr2bl w:val="nil"/>
                  </w:tcBorders>
                  <w:vAlign w:val="center"/>
                </w:tcPr>
                <w:p>
                  <w:pPr>
                    <w:widowControl w:val="0"/>
                    <w:adjustRightInd/>
                    <w:snapToGrid/>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r>
                    <w:rPr>
                      <w:rFonts w:hint="eastAsia" w:ascii="Times New Roman" w:hAnsi="Times New Roman" w:eastAsia="宋体" w:cs="Times New Roman"/>
                      <w:color w:val="000000" w:themeColor="text1"/>
                      <w:sz w:val="21"/>
                      <w:szCs w:val="21"/>
                      <w14:textFill>
                        <w14:solidFill>
                          <w14:schemeClr w14:val="tx1"/>
                        </w14:solidFill>
                      </w14:textFill>
                    </w:rPr>
                    <w:t>月</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日</w:t>
                  </w:r>
                </w:p>
              </w:tc>
              <w:tc>
                <w:tcPr>
                  <w:tcW w:w="1052" w:type="pct"/>
                  <w:vMerge w:val="continue"/>
                  <w:tcBorders>
                    <w:tl2br w:val="nil"/>
                    <w:tr2bl w:val="nil"/>
                  </w:tcBorders>
                  <w:vAlign w:val="center"/>
                </w:tcPr>
                <w:p>
                  <w:pPr>
                    <w:widowControl w:val="0"/>
                    <w:adjustRightInd/>
                    <w:snapToGrid/>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976" w:type="pct"/>
                  <w:vMerge w:val="continue"/>
                  <w:tcBorders>
                    <w:tl2br w:val="nil"/>
                    <w:tr2bl w:val="nil"/>
                  </w:tcBorders>
                  <w:vAlign w:val="center"/>
                </w:tcPr>
                <w:p>
                  <w:pPr>
                    <w:widowControl w:val="0"/>
                    <w:adjustRightInd/>
                    <w:snapToGrid/>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544" w:type="pct"/>
                  <w:tcBorders>
                    <w:tl2br w:val="nil"/>
                    <w:tr2bl w:val="nil"/>
                  </w:tcBorders>
                  <w:vAlign w:val="center"/>
                </w:tcPr>
                <w:p>
                  <w:pPr>
                    <w:widowControl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印刷不干胶标签</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1t</w:t>
                  </w:r>
                </w:p>
              </w:tc>
              <w:tc>
                <w:tcPr>
                  <w:tcW w:w="634" w:type="pct"/>
                  <w:vMerge w:val="continue"/>
                  <w:tcBorders>
                    <w:tl2br w:val="nil"/>
                    <w:tr2bl w:val="nil"/>
                  </w:tcBorders>
                  <w:vAlign w:val="center"/>
                </w:tcPr>
                <w:p>
                  <w:pPr>
                    <w:widowControl w:val="0"/>
                    <w:adjustRightInd/>
                    <w:snapToGrid/>
                    <w:jc w:val="center"/>
                    <w:rPr>
                      <w:rFonts w:ascii="Times New Roman" w:hAnsi="Times New Roman" w:eastAsia="宋体" w:cs="Times New Roman"/>
                      <w:color w:val="000000" w:themeColor="text1"/>
                      <w:sz w:val="21"/>
                      <w:szCs w:val="21"/>
                      <w14:textFill>
                        <w14:solidFill>
                          <w14:schemeClr w14:val="tx1"/>
                        </w14:solidFill>
                      </w14:textFill>
                    </w:rPr>
                  </w:pPr>
                </w:p>
              </w:tc>
            </w:tr>
          </w:tbl>
          <w:p>
            <w:pPr>
              <w:widowControl/>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验收监测结果：</w:t>
            </w:r>
          </w:p>
          <w:p>
            <w:pPr>
              <w:pStyle w:val="3"/>
              <w:widowControl/>
              <w:spacing w:line="360" w:lineRule="auto"/>
              <w:ind w:firstLine="480" w:firstLineChars="200"/>
              <w:jc w:val="both"/>
              <w:outlineLvl w:val="0"/>
              <w:rPr>
                <w:rFonts w:ascii="Times New Roman" w:hAnsi="Times New Roman" w:eastAsia="宋体" w:cs="Times New Roman"/>
                <w:b w:val="0"/>
                <w:bCs w:val="0"/>
                <w:color w:val="000000" w:themeColor="text1"/>
                <w:sz w:val="24"/>
                <w:szCs w:val="24"/>
                <w14:textFill>
                  <w14:solidFill>
                    <w14:schemeClr w14:val="tx1"/>
                  </w14:solidFill>
                </w14:textFill>
              </w:rPr>
            </w:pPr>
            <w:r>
              <w:rPr>
                <w:rFonts w:ascii="Times New Roman" w:hAnsi="Times New Roman" w:eastAsia="宋体" w:cs="Times New Roman"/>
                <w:b w:val="0"/>
                <w:bCs w:val="0"/>
                <w:color w:val="000000" w:themeColor="text1"/>
                <w:sz w:val="24"/>
                <w:szCs w:val="24"/>
                <w14:textFill>
                  <w14:solidFill>
                    <w14:schemeClr w14:val="tx1"/>
                  </w14:solidFill>
                </w14:textFill>
              </w:rPr>
              <w:t>（1）废水</w:t>
            </w:r>
          </w:p>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w:t>
            </w:r>
            <w:r>
              <w:rPr>
                <w:rFonts w:hint="eastAsia" w:ascii="Times New Roman" w:hAnsi="Times New Roman" w:cs="Times New Roman"/>
                <w:color w:val="000000" w:themeColor="text1"/>
                <w:sz w:val="24"/>
                <w:szCs w:val="24"/>
                <w:lang w:val="en-US" w:eastAsia="zh-CN"/>
                <w14:textFill>
                  <w14:solidFill>
                    <w14:schemeClr w14:val="tx1"/>
                  </w14:solidFill>
                </w14:textFill>
              </w:rPr>
              <w:t>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监测结果见下表。</w:t>
            </w:r>
          </w:p>
          <w:p>
            <w:pPr>
              <w:pStyle w:val="36"/>
              <w:spacing w:line="240" w:lineRule="auto"/>
              <w:ind w:firstLine="422" w:firstLineChars="20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表7-</w:t>
            </w:r>
            <w:r>
              <w:rPr>
                <w:rFonts w:hint="eastAsia" w:ascii="Times New Roman" w:hAnsi="Times New Roman"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废</w:t>
            </w:r>
            <w:r>
              <w:rPr>
                <w:rFonts w:hint="eastAsia" w:ascii="Times New Roman" w:hAnsi="Times New Roman" w:cs="Times New Roman"/>
                <w:b/>
                <w:bCs/>
                <w:color w:val="000000" w:themeColor="text1"/>
                <w:sz w:val="21"/>
                <w:szCs w:val="21"/>
                <w:lang w:val="en-US" w:eastAsia="zh-CN"/>
                <w14:textFill>
                  <w14:solidFill>
                    <w14:schemeClr w14:val="tx1"/>
                  </w14:solidFill>
                </w14:textFill>
              </w:rPr>
              <w:t>水</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监测结果</w:t>
            </w:r>
          </w:p>
          <w:tbl>
            <w:tblPr>
              <w:tblStyle w:val="26"/>
              <w:tblW w:w="8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840"/>
              <w:gridCol w:w="1155"/>
              <w:gridCol w:w="1035"/>
              <w:gridCol w:w="930"/>
              <w:gridCol w:w="1260"/>
              <w:gridCol w:w="1350"/>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037" w:type="dxa"/>
                  <w:vMerge w:val="restart"/>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日期</w:t>
                  </w:r>
                </w:p>
              </w:tc>
              <w:tc>
                <w:tcPr>
                  <w:tcW w:w="840" w:type="dxa"/>
                  <w:vMerge w:val="restart"/>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监测</w:t>
                  </w:r>
                </w:p>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点位</w:t>
                  </w:r>
                </w:p>
              </w:tc>
              <w:tc>
                <w:tcPr>
                  <w:tcW w:w="1155" w:type="dxa"/>
                  <w:vMerge w:val="restart"/>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监测</w:t>
                  </w:r>
                </w:p>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项目</w:t>
                  </w:r>
                </w:p>
              </w:tc>
              <w:tc>
                <w:tcPr>
                  <w:tcW w:w="5286" w:type="dxa"/>
                  <w:gridSpan w:val="5"/>
                  <w:tcBorders>
                    <w:tl2br w:val="nil"/>
                    <w:tr2bl w:val="nil"/>
                  </w:tcBorders>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监测结果（单位：mg/L，pH值除外）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 w:hRule="atLeast"/>
                <w:jc w:val="center"/>
              </w:trPr>
              <w:tc>
                <w:tcPr>
                  <w:tcW w:w="1037" w:type="dxa"/>
                  <w:vMerge w:val="continue"/>
                  <w:tcBorders>
                    <w:tl2br w:val="nil"/>
                    <w:tr2bl w:val="nil"/>
                  </w:tcBorders>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840" w:type="dxa"/>
                  <w:vMerge w:val="continue"/>
                  <w:tcBorders>
                    <w:tl2br w:val="nil"/>
                    <w:tr2bl w:val="nil"/>
                  </w:tcBorders>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155" w:type="dxa"/>
                  <w:vMerge w:val="continue"/>
                  <w:tcBorders>
                    <w:tl2br w:val="nil"/>
                    <w:tr2bl w:val="nil"/>
                  </w:tcBorders>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035" w:type="dxa"/>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第一次</w:t>
                  </w:r>
                </w:p>
              </w:tc>
              <w:tc>
                <w:tcPr>
                  <w:tcW w:w="930" w:type="dxa"/>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第二次</w:t>
                  </w:r>
                </w:p>
              </w:tc>
              <w:tc>
                <w:tcPr>
                  <w:tcW w:w="1260" w:type="dxa"/>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第三次</w:t>
                  </w:r>
                </w:p>
              </w:tc>
              <w:tc>
                <w:tcPr>
                  <w:tcW w:w="1350" w:type="dxa"/>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平均值或范围值</w:t>
                  </w:r>
                </w:p>
              </w:tc>
              <w:tc>
                <w:tcPr>
                  <w:tcW w:w="711" w:type="dxa"/>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037" w:type="dxa"/>
                  <w:vMerge w:val="restart"/>
                  <w:tcBorders>
                    <w:tl2br w:val="nil"/>
                    <w:tr2bl w:val="nil"/>
                  </w:tcBorders>
                  <w:vAlign w:val="center"/>
                </w:tcPr>
                <w:p>
                  <w:pPr>
                    <w:widowControl w:val="0"/>
                    <w:adjustRightInd/>
                    <w:snapToGrid/>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2021.8.2</w:t>
                  </w:r>
                </w:p>
              </w:tc>
              <w:tc>
                <w:tcPr>
                  <w:tcW w:w="840" w:type="dxa"/>
                  <w:vMerge w:val="restart"/>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处理设施 出</w:t>
                  </w:r>
                  <w:r>
                    <w:rPr>
                      <w:rFonts w:hint="default" w:ascii="Times New Roman" w:hAnsi="Times New Roman" w:eastAsia="宋体" w:cs="Times New Roman"/>
                      <w:color w:val="000000" w:themeColor="text1"/>
                      <w:sz w:val="21"/>
                      <w:szCs w:val="21"/>
                      <w14:textFill>
                        <w14:solidFill>
                          <w14:schemeClr w14:val="tx1"/>
                        </w14:solidFill>
                      </w14:textFill>
                    </w:rPr>
                    <w:t>口</w:t>
                  </w:r>
                </w:p>
              </w:tc>
              <w:tc>
                <w:tcPr>
                  <w:tcW w:w="1155" w:type="dxa"/>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pH</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7.41</w:t>
                  </w:r>
                </w:p>
              </w:tc>
              <w:tc>
                <w:tcPr>
                  <w:tcW w:w="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7.56</w:t>
                  </w:r>
                </w:p>
              </w:tc>
              <w:tc>
                <w:tcPr>
                  <w:tcW w:w="12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7.37</w:t>
                  </w:r>
                </w:p>
              </w:tc>
              <w:tc>
                <w:tcPr>
                  <w:tcW w:w="13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711" w:type="dxa"/>
                  <w:tcBorders>
                    <w:tl2br w:val="nil"/>
                    <w:tr2bl w:val="nil"/>
                  </w:tcBorders>
                  <w:vAlign w:val="top"/>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037"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40"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tcBorders>
                    <w:tl2br w:val="nil"/>
                    <w:tr2bl w:val="nil"/>
                  </w:tcBorders>
                  <w:vAlign w:val="center"/>
                </w:tcPr>
                <w:p>
                  <w:pPr>
                    <w:widowControl w:val="0"/>
                    <w:spacing w:beforeLines="25" w:afterLines="25" w:line="240" w:lineRule="exact"/>
                    <w:jc w:val="cente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CODcr</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98</w:t>
                  </w:r>
                </w:p>
              </w:tc>
              <w:tc>
                <w:tcPr>
                  <w:tcW w:w="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39</w:t>
                  </w:r>
                </w:p>
              </w:tc>
              <w:tc>
                <w:tcPr>
                  <w:tcW w:w="12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42</w:t>
                  </w:r>
                </w:p>
              </w:tc>
              <w:tc>
                <w:tcPr>
                  <w:tcW w:w="13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40</w:t>
                  </w:r>
                </w:p>
              </w:tc>
              <w:tc>
                <w:tcPr>
                  <w:tcW w:w="7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7"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40"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tcBorders>
                    <w:tl2br w:val="nil"/>
                    <w:tr2bl w:val="nil"/>
                  </w:tcBorders>
                  <w:vAlign w:val="center"/>
                </w:tcPr>
                <w:p>
                  <w:pPr>
                    <w:widowControl w:val="0"/>
                    <w:spacing w:beforeLines="25" w:afterLines="25" w:line="240" w:lineRule="exact"/>
                    <w:jc w:val="cente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BOD5</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12.9</w:t>
                  </w:r>
                </w:p>
              </w:tc>
              <w:tc>
                <w:tcPr>
                  <w:tcW w:w="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13.0</w:t>
                  </w:r>
                </w:p>
              </w:tc>
              <w:tc>
                <w:tcPr>
                  <w:tcW w:w="12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13.9</w:t>
                  </w:r>
                </w:p>
              </w:tc>
              <w:tc>
                <w:tcPr>
                  <w:tcW w:w="13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13.3</w:t>
                  </w:r>
                </w:p>
              </w:tc>
              <w:tc>
                <w:tcPr>
                  <w:tcW w:w="7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7"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40"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SS</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w:t>
                  </w:r>
                </w:p>
              </w:tc>
              <w:tc>
                <w:tcPr>
                  <w:tcW w:w="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w:t>
                  </w:r>
                </w:p>
              </w:tc>
              <w:tc>
                <w:tcPr>
                  <w:tcW w:w="12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w:t>
                  </w:r>
                </w:p>
              </w:tc>
              <w:tc>
                <w:tcPr>
                  <w:tcW w:w="13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w:t>
                  </w:r>
                </w:p>
              </w:tc>
              <w:tc>
                <w:tcPr>
                  <w:tcW w:w="7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7"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40"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氨氮</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1.73</w:t>
                  </w:r>
                </w:p>
              </w:tc>
              <w:tc>
                <w:tcPr>
                  <w:tcW w:w="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184</w:t>
                  </w:r>
                </w:p>
              </w:tc>
              <w:tc>
                <w:tcPr>
                  <w:tcW w:w="12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1.52</w:t>
                  </w:r>
                </w:p>
              </w:tc>
              <w:tc>
                <w:tcPr>
                  <w:tcW w:w="13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1.70</w:t>
                  </w:r>
                </w:p>
              </w:tc>
              <w:tc>
                <w:tcPr>
                  <w:tcW w:w="7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37" w:type="dxa"/>
                  <w:vMerge w:val="restart"/>
                  <w:tcBorders>
                    <w:tl2br w:val="nil"/>
                    <w:tr2bl w:val="nil"/>
                  </w:tcBorders>
                  <w:vAlign w:val="center"/>
                </w:tcPr>
                <w:p>
                  <w:pPr>
                    <w:widowControl w:val="0"/>
                    <w:adjustRightInd/>
                    <w:snapToGrid/>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2021.8.3</w:t>
                  </w:r>
                </w:p>
              </w:tc>
              <w:tc>
                <w:tcPr>
                  <w:tcW w:w="840" w:type="dxa"/>
                  <w:vMerge w:val="restart"/>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处理设施 出</w:t>
                  </w:r>
                  <w:r>
                    <w:rPr>
                      <w:rFonts w:hint="default" w:ascii="Times New Roman" w:hAnsi="Times New Roman" w:eastAsia="宋体" w:cs="Times New Roman"/>
                      <w:color w:val="000000" w:themeColor="text1"/>
                      <w:sz w:val="21"/>
                      <w:szCs w:val="21"/>
                      <w14:textFill>
                        <w14:solidFill>
                          <w14:schemeClr w14:val="tx1"/>
                        </w14:solidFill>
                      </w14:textFill>
                    </w:rPr>
                    <w:t>口</w:t>
                  </w:r>
                </w:p>
              </w:tc>
              <w:tc>
                <w:tcPr>
                  <w:tcW w:w="1155" w:type="dxa"/>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pH</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7.63</w:t>
                  </w:r>
                </w:p>
              </w:tc>
              <w:tc>
                <w:tcPr>
                  <w:tcW w:w="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7.48</w:t>
                  </w:r>
                </w:p>
              </w:tc>
              <w:tc>
                <w:tcPr>
                  <w:tcW w:w="12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7.54</w:t>
                  </w:r>
                </w:p>
              </w:tc>
              <w:tc>
                <w:tcPr>
                  <w:tcW w:w="13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711" w:type="dxa"/>
                  <w:tcBorders>
                    <w:tl2br w:val="nil"/>
                    <w:tr2bl w:val="nil"/>
                  </w:tcBorders>
                  <w:vAlign w:val="top"/>
                </w:tcPr>
                <w:p>
                  <w:pPr>
                    <w:pStyle w:val="36"/>
                    <w:jc w:val="cente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7"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40"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tcBorders>
                    <w:tl2br w:val="nil"/>
                    <w:tr2bl w:val="nil"/>
                  </w:tcBorders>
                  <w:vAlign w:val="center"/>
                </w:tcPr>
                <w:p>
                  <w:pPr>
                    <w:widowControl w:val="0"/>
                    <w:spacing w:beforeLines="25" w:afterLines="25" w:line="240" w:lineRule="exact"/>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CODcr</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46</w:t>
                  </w:r>
                </w:p>
              </w:tc>
              <w:tc>
                <w:tcPr>
                  <w:tcW w:w="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44</w:t>
                  </w:r>
                </w:p>
              </w:tc>
              <w:tc>
                <w:tcPr>
                  <w:tcW w:w="12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41</w:t>
                  </w:r>
                </w:p>
              </w:tc>
              <w:tc>
                <w:tcPr>
                  <w:tcW w:w="13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44</w:t>
                  </w:r>
                </w:p>
              </w:tc>
              <w:tc>
                <w:tcPr>
                  <w:tcW w:w="7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1037"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40"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tcBorders>
                    <w:tl2br w:val="nil"/>
                    <w:tr2bl w:val="nil"/>
                  </w:tcBorders>
                  <w:vAlign w:val="center"/>
                </w:tcPr>
                <w:p>
                  <w:pPr>
                    <w:widowControl w:val="0"/>
                    <w:spacing w:beforeLines="25" w:afterLines="25" w:line="240" w:lineRule="exact"/>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BOD5</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13.5</w:t>
                  </w:r>
                </w:p>
              </w:tc>
              <w:tc>
                <w:tcPr>
                  <w:tcW w:w="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13.3</w:t>
                  </w:r>
                </w:p>
              </w:tc>
              <w:tc>
                <w:tcPr>
                  <w:tcW w:w="12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12.7</w:t>
                  </w:r>
                </w:p>
              </w:tc>
              <w:tc>
                <w:tcPr>
                  <w:tcW w:w="13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13.2</w:t>
                  </w:r>
                </w:p>
              </w:tc>
              <w:tc>
                <w:tcPr>
                  <w:tcW w:w="7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7"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40"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SS</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8</w:t>
                  </w:r>
                </w:p>
              </w:tc>
              <w:tc>
                <w:tcPr>
                  <w:tcW w:w="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w:t>
                  </w:r>
                </w:p>
              </w:tc>
              <w:tc>
                <w:tcPr>
                  <w:tcW w:w="12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8</w:t>
                  </w:r>
                </w:p>
              </w:tc>
              <w:tc>
                <w:tcPr>
                  <w:tcW w:w="13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8</w:t>
                  </w:r>
                </w:p>
              </w:tc>
              <w:tc>
                <w:tcPr>
                  <w:tcW w:w="7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7"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40" w:type="dxa"/>
                  <w:vMerge w:val="continue"/>
                  <w:tcBorders>
                    <w:tl2br w:val="nil"/>
                    <w:tr2bl w:val="nil"/>
                  </w:tcBorders>
                  <w:vAlign w:val="center"/>
                </w:tcPr>
                <w:p>
                  <w:pPr>
                    <w:pStyle w:val="36"/>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氨氮</w:t>
                  </w:r>
                </w:p>
              </w:tc>
              <w:tc>
                <w:tcPr>
                  <w:tcW w:w="10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1.46</w:t>
                  </w:r>
                </w:p>
              </w:tc>
              <w:tc>
                <w:tcPr>
                  <w:tcW w:w="93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1.37</w:t>
                  </w:r>
                </w:p>
              </w:tc>
              <w:tc>
                <w:tcPr>
                  <w:tcW w:w="126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1.57</w:t>
                  </w:r>
                </w:p>
              </w:tc>
              <w:tc>
                <w:tcPr>
                  <w:tcW w:w="13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1.47</w:t>
                  </w:r>
                </w:p>
              </w:tc>
              <w:tc>
                <w:tcPr>
                  <w:tcW w:w="71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45</w:t>
                  </w:r>
                </w:p>
              </w:tc>
            </w:tr>
          </w:tbl>
          <w:p>
            <w:pPr>
              <w:pStyle w:val="24"/>
              <w:widowControl w:val="0"/>
              <w:numPr>
                <w:ilvl w:val="0"/>
                <w:numId w:val="0"/>
              </w:numPr>
              <w:spacing w:after="60" w:line="360" w:lineRule="auto"/>
              <w:ind w:firstLine="480" w:firstLineChars="20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由上表7-2监测结果可知，</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本项目废水污染物排放满足《污水综合排放标准》（GB8978-1996）表4三级标准，即：pH：6~9、COD：500mg/L、BOD5：300mg/L、SS：400mg/L；以及《污水排入城镇下水道水质标准》(GB/T 31962-2015)表1标准，即：氨氮：45mg/L</w:t>
            </w:r>
          </w:p>
          <w:p>
            <w:pPr>
              <w:widowControl/>
              <w:numPr>
                <w:ilvl w:val="0"/>
                <w:numId w:val="0"/>
              </w:numPr>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废气</w:t>
            </w:r>
          </w:p>
          <w:p>
            <w:pPr>
              <w:pStyle w:val="36"/>
              <w:spacing w:line="24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废气监测结果见下表。</w:t>
            </w:r>
          </w:p>
          <w:p>
            <w:pPr>
              <w:pStyle w:val="36"/>
              <w:spacing w:line="240" w:lineRule="auto"/>
              <w:ind w:firstLine="480" w:firstLineChars="200"/>
              <w:jc w:val="both"/>
              <w:rPr>
                <w:rFonts w:ascii="Times New Roman" w:hAnsi="Times New Roman" w:cs="Times New Roman"/>
                <w:color w:val="000000" w:themeColor="text1"/>
                <w14:textFill>
                  <w14:solidFill>
                    <w14:schemeClr w14:val="tx1"/>
                  </w14:solidFill>
                </w14:textFill>
              </w:rPr>
            </w:pPr>
          </w:p>
          <w:p>
            <w:pPr>
              <w:pStyle w:val="36"/>
              <w:spacing w:line="240" w:lineRule="auto"/>
              <w:ind w:firstLine="480" w:firstLineChars="200"/>
              <w:jc w:val="both"/>
              <w:rPr>
                <w:rFonts w:ascii="Times New Roman" w:hAnsi="Times New Roman" w:cs="Times New Roman"/>
                <w:color w:val="000000" w:themeColor="text1"/>
                <w14:textFill>
                  <w14:solidFill>
                    <w14:schemeClr w14:val="tx1"/>
                  </w14:solidFill>
                </w14:textFill>
              </w:rPr>
            </w:pPr>
          </w:p>
          <w:p>
            <w:pPr>
              <w:pStyle w:val="36"/>
              <w:spacing w:line="240" w:lineRule="auto"/>
              <w:ind w:firstLine="480" w:firstLineChars="200"/>
              <w:jc w:val="both"/>
              <w:rPr>
                <w:rFonts w:ascii="Times New Roman" w:hAnsi="Times New Roman" w:cs="Times New Roman"/>
                <w:color w:val="000000" w:themeColor="text1"/>
                <w14:textFill>
                  <w14:solidFill>
                    <w14:schemeClr w14:val="tx1"/>
                  </w14:solidFill>
                </w14:textFill>
              </w:rPr>
            </w:pPr>
          </w:p>
          <w:p>
            <w:pPr>
              <w:pStyle w:val="36"/>
              <w:ind w:firstLine="422" w:firstLineChars="20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表7-</w:t>
            </w:r>
            <w:r>
              <w:rPr>
                <w:rFonts w:hint="eastAsia" w:ascii="Times New Roman" w:hAnsi="Times New Roman" w:cs="Times New Roman"/>
                <w:b/>
                <w:bCs/>
                <w:color w:val="000000" w:themeColor="text1"/>
                <w:sz w:val="21"/>
                <w:szCs w:val="21"/>
                <w:lang w:val="en-US" w:eastAsia="zh-CN"/>
                <w14:textFill>
                  <w14:solidFill>
                    <w14:schemeClr w14:val="tx1"/>
                  </w14:solidFill>
                </w14:textFill>
              </w:rPr>
              <w:t>3</w:t>
            </w:r>
            <w:r>
              <w:rPr>
                <w:rFonts w:ascii="Times New Roman" w:hAnsi="Times New Roman" w:cs="Times New Roman"/>
                <w:b/>
                <w:bCs/>
                <w:color w:val="000000" w:themeColor="text1"/>
                <w:sz w:val="21"/>
                <w:szCs w:val="21"/>
                <w14:textFill>
                  <w14:solidFill>
                    <w14:schemeClr w14:val="tx1"/>
                  </w14:solidFill>
                </w14:textFill>
              </w:rPr>
              <w:t xml:space="preserve"> 废气监测结果</w:t>
            </w:r>
          </w:p>
          <w:tbl>
            <w:tblPr>
              <w:tblStyle w:val="26"/>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855"/>
              <w:gridCol w:w="525"/>
              <w:gridCol w:w="2719"/>
              <w:gridCol w:w="1200"/>
              <w:gridCol w:w="1200"/>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756" w:type="dxa"/>
                  <w:vMerge w:val="restart"/>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项目</w:t>
                  </w:r>
                </w:p>
              </w:tc>
              <w:tc>
                <w:tcPr>
                  <w:tcW w:w="855" w:type="dxa"/>
                  <w:vMerge w:val="restart"/>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设施</w:t>
                  </w:r>
                </w:p>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名称</w:t>
                  </w:r>
                </w:p>
              </w:tc>
              <w:tc>
                <w:tcPr>
                  <w:tcW w:w="3244" w:type="dxa"/>
                  <w:gridSpan w:val="2"/>
                  <w:vMerge w:val="restart"/>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20955</wp:posOffset>
                            </wp:positionV>
                            <wp:extent cx="2059940" cy="323215"/>
                            <wp:effectExtent l="635" t="4445" r="15875" b="15240"/>
                            <wp:wrapNone/>
                            <wp:docPr id="187" name="直接连接符 187"/>
                            <wp:cNvGraphicFramePr/>
                            <a:graphic xmlns:a="http://schemas.openxmlformats.org/drawingml/2006/main">
                              <a:graphicData uri="http://schemas.microsoft.com/office/word/2010/wordprocessingShape">
                                <wps:wsp>
                                  <wps:cNvCnPr/>
                                  <wps:spPr>
                                    <a:xfrm>
                                      <a:off x="2165985" y="6535420"/>
                                      <a:ext cx="205994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4pt;margin-top:1.65pt;height:25.45pt;width:162.2pt;z-index:251660288;mso-width-relative:page;mso-height-relative:page;" filled="f" stroked="t" coordsize="21600,21600" o:gfxdata="UEsDBAoAAAAAAIdO4kAAAAAAAAAAAAAAAAAEAAAAZHJzL1BLAwQUAAAACACHTuJAXGLmD9cAAAAI&#10;AQAADwAAAGRycy9kb3ducmV2LnhtbE2PMU/DMBCFdyT+g3VIbK2dBtoqxOmAxICEBAQGRje+xmnt&#10;c4jdJPx7zETH03v63nflbnaWjTiEzpOEbCmAITVed9RK+Px4WmyBhahIK+sJJfxggF11fVWqQvuJ&#10;3nGsY8sShEKhJJgY+4Lz0Bh0Kix9j5Sygx+ciukcWq4HNSW4s3wlxJo71VFaMKrHR4PNqT67RKHN&#10;92G2w9fb64vZ1tMRn8cNSnl7k4kHYBHn+F+GP/2kDlVy2vsz6cCshEUmknqUkOfAUp5n+RrYXsL9&#10;3Qp4VfLLB6pfUEsDBBQAAAAIAIdO4kA0/eKQ9wEAAMYDAAAOAAAAZHJzL2Uyb0RvYy54bWytU82O&#10;0zAQviPxDpbvNGm6KW3UdA9bLRcElYAHmDpOYsl/sr1N+xK8ABI3OHHkztuwPAZjJ+wuy2UP5OCM&#10;xzPfzPd5vLk8KUmO3HlhdE3ns5wSrplphO5q+uH99YsVJT6AbkAazWt65p5ebp8/2wy24oXpjWy4&#10;IwiifTXYmvYh2CrLPOu5Aj8zlms8bI1TEHDruqxxMCC6klmR58tsMK6xzjDuPXp34yGdEN1TAE3b&#10;CsZ3ht0orsOI6riEgJR8L6yn29Rt23IW3rat54HImiLTkFYsgvYhrtl2A1XnwPaCTS3AU1p4xEmB&#10;0Fj0DmoHAciNE/9AKcGc8aYNM2ZUNhJJiiCLef5Im3c9WJ64oNTe3onu/x8se3PcOyIanITVS0o0&#10;KLzy20/ff3788uvHZ1xvv30l8QiFGqyvMP5K792083bvIutT61T8Ix9yqmkxX5brVUnJuabLclFe&#10;FJPQ/BQIiwF5uV5f4B0wjFgUi2JexgLZPZJ1PrziRpFo1FQKHYWACo6vfRhD/4REtzbXQkr0QyU1&#10;GbDsoozwgAPa4mCgqSyS9LqjBGSHk8+CS4jeSNHE7JjsXXe4ko4cIc5L+qbG/gqLpXfg+zEuHcUw&#10;qJQI+DikUDVdPcyWGtlF/UbFonUwzTkJmfx4vYn/NIpxfh7uU/b989v+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xi5g/XAAAACAEAAA8AAAAAAAAAAQAgAAAAIgAAAGRycy9kb3ducmV2LnhtbFBL&#10;AQIUABQAAAAIAIdO4kA0/eKQ9wEAAMYDAAAOAAAAAAAAAAEAIAAAACYBAABkcnMvZTJvRG9jLnht&#10;bFBLBQYAAAAABgAGAFkBAACPBQAAAAA=&#10;">
                            <v:fill on="f" focussize="0,0"/>
                            <v:stroke weight="0.5pt" color="#000000 [3213]" miterlimit="8" joinstyle="miter"/>
                            <v:imagedata o:title=""/>
                            <o:lock v:ext="edit" aspectratio="f"/>
                          </v:line>
                        </w:pict>
                      </mc:Fallback>
                    </mc:AlternateConten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 xml:space="preserve">                 监测内容</w:t>
                  </w:r>
                </w:p>
                <w:p>
                  <w:pPr>
                    <w:pStyle w:val="36"/>
                    <w:ind w:firstLine="420" w:firstLineChars="200"/>
                    <w:jc w:val="both"/>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监测点位</w:t>
                  </w:r>
                </w:p>
              </w:tc>
              <w:tc>
                <w:tcPr>
                  <w:tcW w:w="2400" w:type="dxa"/>
                  <w:gridSpan w:val="2"/>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监测结果</w:t>
                  </w:r>
                </w:p>
              </w:tc>
              <w:tc>
                <w:tcPr>
                  <w:tcW w:w="1051" w:type="dxa"/>
                  <w:vMerge w:val="restart"/>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标准</w:t>
                  </w:r>
                </w:p>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56"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855"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3244" w:type="dxa"/>
                  <w:gridSpan w:val="2"/>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200" w:type="dxa"/>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2021.</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8.2</w:t>
                  </w:r>
                </w:p>
              </w:tc>
              <w:tc>
                <w:tcPr>
                  <w:tcW w:w="1200" w:type="dxa"/>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2021.</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8.3</w:t>
                  </w:r>
                </w:p>
              </w:tc>
              <w:tc>
                <w:tcPr>
                  <w:tcW w:w="1051"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6" w:type="dxa"/>
                  <w:vMerge w:val="restart"/>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有机废气</w:t>
                  </w:r>
                </w:p>
              </w:tc>
              <w:tc>
                <w:tcPr>
                  <w:tcW w:w="855" w:type="dxa"/>
                  <w:vMerge w:val="restart"/>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活性炭</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吸附</w:t>
                  </w:r>
                </w:p>
              </w:tc>
              <w:tc>
                <w:tcPr>
                  <w:tcW w:w="525" w:type="dxa"/>
                  <w:vMerge w:val="restart"/>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进口</w:t>
                  </w: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标杆流量</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/h)</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微软雅黑" w:cs="Times New Roman"/>
                      <w:b w:val="0"/>
                      <w:bCs w:val="0"/>
                      <w:color w:val="000000" w:themeColor="text1"/>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bidi="ar-SA"/>
                      <w14:textFill>
                        <w14:solidFill>
                          <w14:schemeClr w14:val="tx1"/>
                        </w14:solidFill>
                      </w14:textFill>
                    </w:rPr>
                    <w:t>8360</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微软雅黑" w:cs="Times New Roman"/>
                      <w:b w:val="0"/>
                      <w:bCs w:val="0"/>
                      <w:color w:val="000000" w:themeColor="text1"/>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bidi="ar-SA"/>
                      <w14:textFill>
                        <w14:solidFill>
                          <w14:schemeClr w14:val="tx1"/>
                        </w14:solidFill>
                      </w14:textFill>
                    </w:rPr>
                    <w:t>8280</w:t>
                  </w:r>
                </w:p>
              </w:tc>
              <w:tc>
                <w:tcPr>
                  <w:tcW w:w="105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855"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非甲烷总烃浓度(mg/m³)</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1.77</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1.85</w:t>
                  </w:r>
                </w:p>
              </w:tc>
              <w:tc>
                <w:tcPr>
                  <w:tcW w:w="105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855"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非甲烷总烃产生速率(kg/h）</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0.015</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0.015</w:t>
                  </w:r>
                </w:p>
              </w:tc>
              <w:tc>
                <w:tcPr>
                  <w:tcW w:w="105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855"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525" w:type="dxa"/>
                  <w:vMerge w:val="restart"/>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出口</w:t>
                  </w: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标杆流量</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/h)</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9040</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8930</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855"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非甲烷总烃浓度(mg/m³)</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0.61</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0.64</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855"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vertAlign w:val="baseline"/>
                      <w:lang w:val="en-US" w:eastAsia="zh-CN" w:bidi="ar-SA"/>
                      <w14:textFill>
                        <w14:solidFill>
                          <w14:schemeClr w14:val="tx1"/>
                        </w14:solidFill>
                      </w14:textFill>
                    </w:rPr>
                    <w:t>非甲烷总烃产生速率(kg/h）</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0.00551</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0.00572</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1.5</w:t>
                  </w:r>
                </w:p>
              </w:tc>
            </w:tr>
          </w:tbl>
          <w:p>
            <w:pPr>
              <w:pStyle w:val="24"/>
              <w:widowControl w:val="0"/>
              <w:numPr>
                <w:ilvl w:val="0"/>
                <w:numId w:val="0"/>
              </w:numPr>
              <w:spacing w:after="60" w:line="360" w:lineRule="auto"/>
              <w:ind w:firstLine="480" w:firstLineChars="200"/>
              <w:jc w:val="both"/>
              <w:rPr>
                <w:rFonts w:hint="eastAsia" w:ascii="Times New Roman" w:hAnsi="Times New Roman" w:cs="Times New Roman"/>
                <w:b w:val="0"/>
                <w:bCs w:val="0"/>
                <w:color w:val="0000FF"/>
                <w:sz w:val="24"/>
                <w:szCs w:val="24"/>
                <w:lang w:val="en-US" w:eastAsia="zh-CN"/>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由上表7-</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监测结果可知</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项目</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有机</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废气排放满足《印刷行业挥发性有机物排放标准》（DB35/1784-2018）中表1排放限值</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即</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非甲烷总烃：</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0mg/m</w:t>
            </w:r>
            <w:r>
              <w:rPr>
                <w:rFonts w:hint="default" w:ascii="Times New Roman" w:hAnsi="Times New Roman" w:eastAsia="宋体" w:cs="Times New Roman"/>
                <w:color w:val="000000" w:themeColor="text1"/>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w:t>
            </w:r>
          </w:p>
          <w:p>
            <w:pPr>
              <w:pStyle w:val="3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表7-</w:t>
            </w:r>
            <w:r>
              <w:rPr>
                <w:rFonts w:hint="eastAsia" w:ascii="Times New Roman" w:hAnsi="Times New Roman" w:cs="Times New Roman"/>
                <w:b/>
                <w:bCs/>
                <w:color w:val="000000" w:themeColor="text1"/>
                <w:sz w:val="21"/>
                <w:szCs w:val="21"/>
                <w:lang w:val="en-US" w:eastAsia="zh-CN"/>
                <w14:textFill>
                  <w14:solidFill>
                    <w14:schemeClr w14:val="tx1"/>
                  </w14:solidFill>
                </w14:textFill>
              </w:rPr>
              <w:t>4</w:t>
            </w:r>
            <w:r>
              <w:rPr>
                <w:rFonts w:ascii="Times New Roman" w:hAnsi="Times New Roman" w:cs="Times New Roman"/>
                <w:b/>
                <w:bCs/>
                <w:color w:val="000000" w:themeColor="text1"/>
                <w:sz w:val="21"/>
                <w:szCs w:val="21"/>
                <w14:textFill>
                  <w14:solidFill>
                    <w14:schemeClr w14:val="tx1"/>
                  </w14:solidFill>
                </w14:textFill>
              </w:rPr>
              <w:t xml:space="preserve"> </w:t>
            </w:r>
            <w:r>
              <w:rPr>
                <w:rFonts w:hint="eastAsia" w:ascii="Times New Roman" w:hAnsi="Times New Roman" w:cs="Times New Roman"/>
                <w:b/>
                <w:bCs/>
                <w:color w:val="000000" w:themeColor="text1"/>
                <w:sz w:val="21"/>
                <w:szCs w:val="21"/>
                <w:lang w:val="en-US" w:eastAsia="zh-CN"/>
                <w14:textFill>
                  <w14:solidFill>
                    <w14:schemeClr w14:val="tx1"/>
                  </w14:solidFill>
                </w14:textFill>
              </w:rPr>
              <w:t>无组织</w:t>
            </w:r>
            <w:r>
              <w:rPr>
                <w:rFonts w:ascii="Times New Roman" w:hAnsi="Times New Roman" w:cs="Times New Roman"/>
                <w:b/>
                <w:bCs/>
                <w:color w:val="000000" w:themeColor="text1"/>
                <w:sz w:val="21"/>
                <w:szCs w:val="21"/>
                <w14:textFill>
                  <w14:solidFill>
                    <w14:schemeClr w14:val="tx1"/>
                  </w14:solidFill>
                </w14:textFill>
              </w:rPr>
              <w:t>废气监测结果</w:t>
            </w:r>
          </w:p>
          <w:tbl>
            <w:tblPr>
              <w:tblStyle w:val="26"/>
              <w:tblW w:w="4980" w:type="pct"/>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586"/>
              <w:gridCol w:w="1357"/>
              <w:gridCol w:w="1210"/>
              <w:gridCol w:w="1257"/>
              <w:gridCol w:w="1169"/>
              <w:gridCol w:w="96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0" w:hRule="atLeast"/>
              </w:trPr>
              <w:tc>
                <w:tcPr>
                  <w:tcW w:w="434" w:type="pct"/>
                  <w:vMerge w:val="restart"/>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监测</w:t>
                  </w:r>
                </w:p>
                <w:p>
                  <w:pPr>
                    <w:pStyle w:val="3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时间</w:t>
                  </w:r>
                </w:p>
              </w:tc>
              <w:tc>
                <w:tcPr>
                  <w:tcW w:w="960" w:type="pct"/>
                  <w:vMerge w:val="restart"/>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监测点位</w:t>
                  </w:r>
                </w:p>
              </w:tc>
              <w:tc>
                <w:tcPr>
                  <w:tcW w:w="821" w:type="pct"/>
                  <w:vMerge w:val="restart"/>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分析</w:t>
                  </w:r>
                </w:p>
                <w:p>
                  <w:pPr>
                    <w:pStyle w:val="3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项目</w:t>
                  </w:r>
                </w:p>
              </w:tc>
              <w:tc>
                <w:tcPr>
                  <w:tcW w:w="2784" w:type="pct"/>
                  <w:gridSpan w:val="4"/>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监测结果</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p>
              </w:tc>
              <w:tc>
                <w:tcPr>
                  <w:tcW w:w="960" w:type="pct"/>
                  <w:vMerge w:val="continue"/>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p>
              </w:tc>
              <w:tc>
                <w:tcPr>
                  <w:tcW w:w="821" w:type="pct"/>
                  <w:vMerge w:val="continue"/>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p>
              </w:tc>
              <w:tc>
                <w:tcPr>
                  <w:tcW w:w="732" w:type="pct"/>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w:t>
                  </w:r>
                </w:p>
              </w:tc>
              <w:tc>
                <w:tcPr>
                  <w:tcW w:w="760" w:type="pct"/>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w:t>
                  </w:r>
                </w:p>
              </w:tc>
              <w:tc>
                <w:tcPr>
                  <w:tcW w:w="707" w:type="pct"/>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w:t>
                  </w:r>
                </w:p>
              </w:tc>
              <w:tc>
                <w:tcPr>
                  <w:tcW w:w="583" w:type="pct"/>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 w:val="0"/>
                      <w:bCs w:val="0"/>
                      <w:color w:val="000000" w:themeColor="text1"/>
                      <w:sz w:val="21"/>
                      <w:szCs w:val="21"/>
                      <w14:textFill>
                        <w14:solidFill>
                          <w14:schemeClr w14:val="tx1"/>
                        </w14:solidFill>
                      </w14:textFill>
                    </w:rPr>
                    <w:t>最大值</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434" w:type="pct"/>
                  <w:vMerge w:val="restart"/>
                  <w:tcBorders>
                    <w:tl2br w:val="nil"/>
                    <w:tr2bl w:val="nil"/>
                  </w:tcBorders>
                  <w:vAlign w:val="center"/>
                </w:tcPr>
                <w:p>
                  <w:pPr>
                    <w:widowControl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2021.8.2</w:t>
                  </w:r>
                </w:p>
              </w:tc>
              <w:tc>
                <w:tcPr>
                  <w:tcW w:w="960" w:type="pct"/>
                  <w:tcBorders>
                    <w:tl2br w:val="nil"/>
                    <w:tr2bl w:val="nil"/>
                  </w:tcBorders>
                  <w:vAlign w:val="center"/>
                </w:tcPr>
                <w:p>
                  <w:pPr>
                    <w:widowControl w:val="0"/>
                    <w:spacing w:before="60" w:beforeLines="25" w:after="60" w:afterLines="25" w:line="240" w:lineRule="exact"/>
                    <w:jc w:val="center"/>
                    <w:rPr>
                      <w:rFonts w:hint="default" w:ascii="Times New Roman" w:hAnsi="Times New Roman" w:eastAsia="宋体" w:cs="Times New Roman"/>
                      <w:b w:val="0"/>
                      <w:bCs w:val="0"/>
                      <w:color w:val="000000" w:themeColor="text1"/>
                      <w:sz w:val="22"/>
                      <w:szCs w:val="22"/>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厂界上风向1#</w:t>
                  </w:r>
                </w:p>
              </w:tc>
              <w:tc>
                <w:tcPr>
                  <w:tcW w:w="821" w:type="pct"/>
                  <w:vMerge w:val="restart"/>
                  <w:tcBorders>
                    <w:tl2br w:val="nil"/>
                    <w:tr2bl w:val="nil"/>
                  </w:tcBorders>
                  <w:vAlign w:val="center"/>
                </w:tcPr>
                <w:p>
                  <w:pPr>
                    <w:widowControl w:val="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非甲烷总烃</w:t>
                  </w:r>
                  <w:r>
                    <w:rPr>
                      <w:rFonts w:hint="default" w:ascii="Times New Roman" w:hAnsi="Times New Roman" w:eastAsia="宋体" w:cs="Times New Roman"/>
                      <w:b w:val="0"/>
                      <w:bCs w:val="0"/>
                      <w:color w:val="000000" w:themeColor="text1"/>
                      <w:sz w:val="21"/>
                      <w:szCs w:val="21"/>
                      <w14:textFill>
                        <w14:solidFill>
                          <w14:schemeClr w14:val="tx1"/>
                        </w14:solidFill>
                      </w14:textFill>
                    </w:rPr>
                    <w:t>（mg/m</w:t>
                  </w:r>
                  <w:r>
                    <w:rPr>
                      <w:rFonts w:hint="default" w:ascii="Times New Roman" w:hAnsi="Times New Roman" w:eastAsia="宋体" w:cs="Times New Roman"/>
                      <w:b w:val="0"/>
                      <w:bCs w:val="0"/>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14:textFill>
                        <w14:solidFill>
                          <w14:schemeClr w14:val="tx1"/>
                        </w14:solidFill>
                      </w14:textFill>
                    </w:rPr>
                    <w:t>）</w:t>
                  </w:r>
                </w:p>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73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0.96</w:t>
                  </w:r>
                </w:p>
              </w:tc>
              <w:tc>
                <w:tcPr>
                  <w:tcW w:w="76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bidi="ar-SA"/>
                      <w14:textFill>
                        <w14:solidFill>
                          <w14:schemeClr w14:val="tx1"/>
                        </w14:solidFill>
                      </w14:textFill>
                    </w:rPr>
                    <w:t>0.95</w:t>
                  </w:r>
                </w:p>
              </w:tc>
              <w:tc>
                <w:tcPr>
                  <w:tcW w:w="70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bidi="ar-SA"/>
                      <w14:textFill>
                        <w14:solidFill>
                          <w14:schemeClr w14:val="tx1"/>
                        </w14:solidFill>
                      </w14:textFill>
                    </w:rPr>
                    <w:t>0.91</w:t>
                  </w:r>
                </w:p>
              </w:tc>
              <w:tc>
                <w:tcPr>
                  <w:tcW w:w="583" w:type="pct"/>
                  <w:vMerge w:val="restart"/>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1.43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4" w:type="pct"/>
                  <w:vMerge w:val="continue"/>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p>
              </w:tc>
              <w:tc>
                <w:tcPr>
                  <w:tcW w:w="960" w:type="pct"/>
                  <w:tcBorders>
                    <w:tl2br w:val="nil"/>
                    <w:tr2bl w:val="nil"/>
                  </w:tcBorders>
                  <w:vAlign w:val="center"/>
                </w:tcPr>
                <w:p>
                  <w:pPr>
                    <w:widowControl w:val="0"/>
                    <w:spacing w:before="60" w:beforeLines="25" w:after="60" w:afterLines="25" w:line="240" w:lineRule="exact"/>
                    <w:jc w:val="center"/>
                    <w:rPr>
                      <w:rFonts w:hint="default" w:ascii="Times New Roman" w:hAnsi="Times New Roman" w:eastAsia="宋体" w:cs="Times New Roman"/>
                      <w:b w:val="0"/>
                      <w:bCs w:val="0"/>
                      <w:color w:val="000000" w:themeColor="text1"/>
                      <w:sz w:val="22"/>
                      <w:szCs w:val="22"/>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厂界下风向2#</w:t>
                  </w:r>
                </w:p>
              </w:tc>
              <w:tc>
                <w:tcPr>
                  <w:tcW w:w="821" w:type="pct"/>
                  <w:vMerge w:val="continue"/>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73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1.08</w:t>
                  </w:r>
                </w:p>
              </w:tc>
              <w:tc>
                <w:tcPr>
                  <w:tcW w:w="76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bidi="ar-SA"/>
                      <w14:textFill>
                        <w14:solidFill>
                          <w14:schemeClr w14:val="tx1"/>
                        </w14:solidFill>
                      </w14:textFill>
                    </w:rPr>
                    <w:t>1.09</w:t>
                  </w:r>
                </w:p>
              </w:tc>
              <w:tc>
                <w:tcPr>
                  <w:tcW w:w="70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bidi="ar-SA"/>
                      <w14:textFill>
                        <w14:solidFill>
                          <w14:schemeClr w14:val="tx1"/>
                        </w14:solidFill>
                      </w14:textFill>
                    </w:rPr>
                    <w:t>1.02</w:t>
                  </w:r>
                </w:p>
              </w:tc>
              <w:tc>
                <w:tcPr>
                  <w:tcW w:w="583" w:type="pct"/>
                  <w:vMerge w:val="continue"/>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p>
              </w:tc>
              <w:tc>
                <w:tcPr>
                  <w:tcW w:w="960" w:type="pct"/>
                  <w:tcBorders>
                    <w:tl2br w:val="nil"/>
                    <w:tr2bl w:val="nil"/>
                  </w:tcBorders>
                  <w:vAlign w:val="center"/>
                </w:tcPr>
                <w:p>
                  <w:pPr>
                    <w:widowControl w:val="0"/>
                    <w:spacing w:before="60" w:beforeLines="25" w:after="60" w:afterLines="25" w:line="240" w:lineRule="exact"/>
                    <w:jc w:val="center"/>
                    <w:rPr>
                      <w:rFonts w:hint="default" w:ascii="Times New Roman" w:hAnsi="Times New Roman" w:eastAsia="宋体" w:cs="Times New Roman"/>
                      <w:b w:val="0"/>
                      <w:bCs w:val="0"/>
                      <w:color w:val="000000" w:themeColor="text1"/>
                      <w:sz w:val="22"/>
                      <w:szCs w:val="22"/>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厂界下风向3#</w:t>
                  </w:r>
                </w:p>
              </w:tc>
              <w:tc>
                <w:tcPr>
                  <w:tcW w:w="821" w:type="pct"/>
                  <w:vMerge w:val="continue"/>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73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1.16</w:t>
                  </w:r>
                </w:p>
              </w:tc>
              <w:tc>
                <w:tcPr>
                  <w:tcW w:w="76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1.30</w:t>
                  </w:r>
                </w:p>
              </w:tc>
              <w:tc>
                <w:tcPr>
                  <w:tcW w:w="70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1.28</w:t>
                  </w:r>
                </w:p>
              </w:tc>
              <w:tc>
                <w:tcPr>
                  <w:tcW w:w="583" w:type="pct"/>
                  <w:vMerge w:val="continue"/>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p>
              </w:tc>
              <w:tc>
                <w:tcPr>
                  <w:tcW w:w="960" w:type="pct"/>
                  <w:tcBorders>
                    <w:tl2br w:val="nil"/>
                    <w:tr2bl w:val="nil"/>
                  </w:tcBorders>
                  <w:vAlign w:val="center"/>
                </w:tcPr>
                <w:p>
                  <w:pPr>
                    <w:widowControl w:val="0"/>
                    <w:spacing w:before="60" w:beforeLines="25" w:after="60" w:afterLines="25" w:line="240" w:lineRule="exact"/>
                    <w:jc w:val="center"/>
                    <w:rPr>
                      <w:rFonts w:hint="default" w:ascii="Times New Roman" w:hAnsi="Times New Roman" w:eastAsia="宋体" w:cs="Times New Roman"/>
                      <w:b w:val="0"/>
                      <w:bCs w:val="0"/>
                      <w:color w:val="000000" w:themeColor="text1"/>
                      <w:sz w:val="22"/>
                      <w:szCs w:val="22"/>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厂界下风向4#</w:t>
                  </w:r>
                </w:p>
              </w:tc>
              <w:tc>
                <w:tcPr>
                  <w:tcW w:w="821" w:type="pct"/>
                  <w:vMerge w:val="continue"/>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73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1.39</w:t>
                  </w:r>
                </w:p>
              </w:tc>
              <w:tc>
                <w:tcPr>
                  <w:tcW w:w="76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1.38</w:t>
                  </w:r>
                </w:p>
              </w:tc>
              <w:tc>
                <w:tcPr>
                  <w:tcW w:w="70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1.43</w:t>
                  </w:r>
                </w:p>
              </w:tc>
              <w:tc>
                <w:tcPr>
                  <w:tcW w:w="583" w:type="pct"/>
                  <w:vMerge w:val="continue"/>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restart"/>
                  <w:tcBorders>
                    <w:tl2br w:val="nil"/>
                    <w:tr2bl w:val="nil"/>
                  </w:tcBorders>
                  <w:vAlign w:val="center"/>
                </w:tcPr>
                <w:p>
                  <w:pPr>
                    <w:widowControl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2021.8.3</w:t>
                  </w:r>
                </w:p>
              </w:tc>
              <w:tc>
                <w:tcPr>
                  <w:tcW w:w="960" w:type="pct"/>
                  <w:tcBorders>
                    <w:tl2br w:val="nil"/>
                    <w:tr2bl w:val="nil"/>
                  </w:tcBorders>
                  <w:vAlign w:val="center"/>
                </w:tcPr>
                <w:p>
                  <w:pPr>
                    <w:widowControl w:val="0"/>
                    <w:spacing w:before="60" w:beforeLines="25" w:after="60" w:afterLines="25" w:line="240" w:lineRule="exact"/>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厂界上风向1#</w:t>
                  </w:r>
                </w:p>
              </w:tc>
              <w:tc>
                <w:tcPr>
                  <w:tcW w:w="821" w:type="pct"/>
                  <w:vMerge w:val="restart"/>
                  <w:tcBorders>
                    <w:tl2br w:val="nil"/>
                    <w:tr2bl w:val="nil"/>
                  </w:tcBorders>
                  <w:vAlign w:val="center"/>
                </w:tcPr>
                <w:p>
                  <w:pPr>
                    <w:widowControl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非甲烷总烃</w:t>
                  </w:r>
                  <w:r>
                    <w:rPr>
                      <w:rFonts w:hint="default" w:ascii="Times New Roman" w:hAnsi="Times New Roman" w:eastAsia="宋体" w:cs="Times New Roman"/>
                      <w:b w:val="0"/>
                      <w:bCs w:val="0"/>
                      <w:color w:val="000000" w:themeColor="text1"/>
                      <w:sz w:val="21"/>
                      <w:szCs w:val="21"/>
                      <w14:textFill>
                        <w14:solidFill>
                          <w14:schemeClr w14:val="tx1"/>
                        </w14:solidFill>
                      </w14:textFill>
                    </w:rPr>
                    <w:t>（mg/m</w:t>
                  </w:r>
                  <w:r>
                    <w:rPr>
                      <w:rFonts w:hint="default" w:ascii="Times New Roman" w:hAnsi="Times New Roman" w:eastAsia="宋体" w:cs="Times New Roman"/>
                      <w:b w:val="0"/>
                      <w:bCs w:val="0"/>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14:textFill>
                        <w14:solidFill>
                          <w14:schemeClr w14:val="tx1"/>
                        </w14:solidFill>
                      </w14:textFill>
                    </w:rPr>
                    <w:t>）</w:t>
                  </w:r>
                </w:p>
                <w:p>
                  <w:pPr>
                    <w:widowControl w:val="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p>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73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0.95</w:t>
                  </w:r>
                </w:p>
              </w:tc>
              <w:tc>
                <w:tcPr>
                  <w:tcW w:w="76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0.92</w:t>
                  </w:r>
                </w:p>
              </w:tc>
              <w:tc>
                <w:tcPr>
                  <w:tcW w:w="70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0.90</w:t>
                  </w:r>
                </w:p>
              </w:tc>
              <w:tc>
                <w:tcPr>
                  <w:tcW w:w="583" w:type="pct"/>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1.64</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p>
              </w:tc>
              <w:tc>
                <w:tcPr>
                  <w:tcW w:w="960" w:type="pct"/>
                  <w:tcBorders>
                    <w:tl2br w:val="nil"/>
                    <w:tr2bl w:val="nil"/>
                  </w:tcBorders>
                  <w:vAlign w:val="center"/>
                </w:tcPr>
                <w:p>
                  <w:pPr>
                    <w:widowControl w:val="0"/>
                    <w:spacing w:before="60" w:beforeLines="25" w:after="60" w:afterLines="25" w:line="240" w:lineRule="exact"/>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厂界下风向2#</w:t>
                  </w:r>
                </w:p>
              </w:tc>
              <w:tc>
                <w:tcPr>
                  <w:tcW w:w="821" w:type="pct"/>
                  <w:vMerge w:val="continue"/>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73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1.17</w:t>
                  </w:r>
                </w:p>
              </w:tc>
              <w:tc>
                <w:tcPr>
                  <w:tcW w:w="76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1.11</w:t>
                  </w:r>
                </w:p>
              </w:tc>
              <w:tc>
                <w:tcPr>
                  <w:tcW w:w="70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1.14</w:t>
                  </w:r>
                </w:p>
              </w:tc>
              <w:tc>
                <w:tcPr>
                  <w:tcW w:w="583" w:type="pct"/>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FF"/>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p>
              </w:tc>
              <w:tc>
                <w:tcPr>
                  <w:tcW w:w="960" w:type="pct"/>
                  <w:tcBorders>
                    <w:tl2br w:val="nil"/>
                    <w:tr2bl w:val="nil"/>
                  </w:tcBorders>
                  <w:vAlign w:val="center"/>
                </w:tcPr>
                <w:p>
                  <w:pPr>
                    <w:widowControl w:val="0"/>
                    <w:spacing w:before="60" w:beforeLines="25" w:after="60" w:afterLines="25" w:line="240" w:lineRule="exact"/>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厂界下风向3#</w:t>
                  </w:r>
                </w:p>
              </w:tc>
              <w:tc>
                <w:tcPr>
                  <w:tcW w:w="821" w:type="pct"/>
                  <w:vMerge w:val="continue"/>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73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1.43</w:t>
                  </w:r>
                </w:p>
              </w:tc>
              <w:tc>
                <w:tcPr>
                  <w:tcW w:w="76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1.44</w:t>
                  </w:r>
                </w:p>
              </w:tc>
              <w:tc>
                <w:tcPr>
                  <w:tcW w:w="70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1.34</w:t>
                  </w:r>
                </w:p>
              </w:tc>
              <w:tc>
                <w:tcPr>
                  <w:tcW w:w="583" w:type="pct"/>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FF"/>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p>
              </w:tc>
              <w:tc>
                <w:tcPr>
                  <w:tcW w:w="960" w:type="pct"/>
                  <w:tcBorders>
                    <w:tl2br w:val="nil"/>
                    <w:tr2bl w:val="nil"/>
                  </w:tcBorders>
                  <w:vAlign w:val="center"/>
                </w:tcPr>
                <w:p>
                  <w:pPr>
                    <w:widowControl w:val="0"/>
                    <w:spacing w:before="60" w:beforeLines="25" w:after="60" w:afterLines="25" w:line="240" w:lineRule="exact"/>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厂界下风向4#</w:t>
                  </w:r>
                </w:p>
              </w:tc>
              <w:tc>
                <w:tcPr>
                  <w:tcW w:w="821" w:type="pct"/>
                  <w:vMerge w:val="continue"/>
                  <w:tcBorders>
                    <w:tl2br w:val="nil"/>
                    <w:tr2bl w:val="nil"/>
                  </w:tcBorders>
                  <w:vAlign w:val="center"/>
                </w:tcPr>
                <w:p>
                  <w:pPr>
                    <w:widowControl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p>
              </w:tc>
              <w:tc>
                <w:tcPr>
                  <w:tcW w:w="73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1.56</w:t>
                  </w:r>
                </w:p>
              </w:tc>
              <w:tc>
                <w:tcPr>
                  <w:tcW w:w="76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1.63</w:t>
                  </w:r>
                </w:p>
              </w:tc>
              <w:tc>
                <w:tcPr>
                  <w:tcW w:w="70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1.64</w:t>
                  </w:r>
                </w:p>
              </w:tc>
              <w:tc>
                <w:tcPr>
                  <w:tcW w:w="583" w:type="pct"/>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FF"/>
                      <w:kern w:val="2"/>
                      <w:sz w:val="21"/>
                      <w:szCs w:val="21"/>
                      <w:lang w:val="en-US" w:eastAsia="zh-CN" w:bidi="ar-SA"/>
                    </w:rPr>
                  </w:pPr>
                </w:p>
              </w:tc>
            </w:tr>
          </w:tbl>
          <w:p>
            <w:pPr>
              <w:pStyle w:val="24"/>
              <w:widowControl w:val="0"/>
              <w:numPr>
                <w:ilvl w:val="0"/>
                <w:numId w:val="0"/>
              </w:numPr>
              <w:spacing w:after="60" w:line="360" w:lineRule="auto"/>
              <w:ind w:firstLine="480" w:firstLineChars="200"/>
              <w:jc w:val="both"/>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由上表7-</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监测结果可知</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项目</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厂界</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无组织废气</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排放满足</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《印刷行业挥发性有机物排放标准》（DB35/1784-2018）中表</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排放限值</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即</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非甲烷总烃：</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2.0</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mg/m</w:t>
            </w:r>
            <w:r>
              <w:rPr>
                <w:rFonts w:hint="default" w:ascii="Times New Roman" w:hAnsi="Times New Roman" w:eastAsia="宋体" w:cs="Times New Roman"/>
                <w:color w:val="000000" w:themeColor="text1"/>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w:t>
            </w:r>
          </w:p>
          <w:p>
            <w:pPr>
              <w:pStyle w:val="36"/>
              <w:numPr>
                <w:ilvl w:val="0"/>
                <w:numId w:val="0"/>
              </w:numPr>
              <w:ind w:left="440" w:leftChars="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lang w:eastAsia="zh-CN"/>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噪声</w:t>
            </w:r>
          </w:p>
          <w:p>
            <w:pPr>
              <w:pStyle w:val="36"/>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厂界噪声监测结果见下表。</w:t>
            </w:r>
          </w:p>
          <w:p>
            <w:pPr>
              <w:pStyle w:val="36"/>
              <w:ind w:firstLine="422" w:firstLineChars="20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表7-</w:t>
            </w:r>
            <w:r>
              <w:rPr>
                <w:rFonts w:hint="eastAsia" w:ascii="Times New Roman" w:hAnsi="Times New Roman" w:cs="Times New Roman"/>
                <w:b/>
                <w:bCs/>
                <w:color w:val="000000" w:themeColor="text1"/>
                <w:sz w:val="21"/>
                <w:szCs w:val="21"/>
                <w:lang w:val="en-US" w:eastAsia="zh-CN"/>
                <w14:textFill>
                  <w14:solidFill>
                    <w14:schemeClr w14:val="tx1"/>
                  </w14:solidFill>
                </w14:textFill>
              </w:rPr>
              <w:t>5</w:t>
            </w:r>
            <w:r>
              <w:rPr>
                <w:rFonts w:ascii="Times New Roman" w:hAnsi="Times New Roman" w:cs="Times New Roman"/>
                <w:b/>
                <w:bCs/>
                <w:color w:val="000000" w:themeColor="text1"/>
                <w:sz w:val="21"/>
                <w:szCs w:val="21"/>
                <w14:textFill>
                  <w14:solidFill>
                    <w14:schemeClr w14:val="tx1"/>
                  </w14:solidFill>
                </w14:textFill>
              </w:rPr>
              <w:t xml:space="preserve"> 噪声监测结果</w:t>
            </w:r>
          </w:p>
          <w:tbl>
            <w:tblPr>
              <w:tblStyle w:val="26"/>
              <w:tblW w:w="8177"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830"/>
              <w:gridCol w:w="1050"/>
              <w:gridCol w:w="1035"/>
              <w:gridCol w:w="1155"/>
              <w:gridCol w:w="990"/>
              <w:gridCol w:w="148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restart"/>
                  <w:tcBorders>
                    <w:tl2br w:val="nil"/>
                    <w:tr2bl w:val="nil"/>
                  </w:tcBorders>
                  <w:vAlign w:val="center"/>
                </w:tcPr>
                <w:p>
                  <w:pPr>
                    <w:pStyle w:val="40"/>
                    <w:widowControl/>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监测日期</w:t>
                  </w:r>
                </w:p>
              </w:tc>
              <w:tc>
                <w:tcPr>
                  <w:tcW w:w="1830" w:type="dxa"/>
                  <w:vMerge w:val="restart"/>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监测点位</w:t>
                  </w:r>
                </w:p>
              </w:tc>
              <w:tc>
                <w:tcPr>
                  <w:tcW w:w="3240" w:type="dxa"/>
                  <w:gridSpan w:val="3"/>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昼间</w:t>
                  </w:r>
                  <w:r>
                    <w:rPr>
                      <w:rFonts w:ascii="Times New Roman" w:hAnsi="Times New Roman" w:eastAsia="宋体" w:cs="Times New Roman"/>
                      <w:color w:val="000000" w:themeColor="text1"/>
                      <w:sz w:val="21"/>
                      <w:szCs w:val="21"/>
                      <w14:textFill>
                        <w14:solidFill>
                          <w14:schemeClr w14:val="tx1"/>
                        </w14:solidFill>
                      </w14:textFill>
                    </w:rPr>
                    <w:t>检测结果dB(A)</w:t>
                  </w:r>
                </w:p>
              </w:tc>
              <w:tc>
                <w:tcPr>
                  <w:tcW w:w="990" w:type="dxa"/>
                  <w:vMerge w:val="restart"/>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主要</w:t>
                  </w:r>
                </w:p>
                <w:p>
                  <w:pPr>
                    <w:widowControl/>
                    <w:tabs>
                      <w:tab w:val="left" w:pos="0"/>
                    </w:tabs>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声源</w:t>
                  </w:r>
                </w:p>
              </w:tc>
              <w:tc>
                <w:tcPr>
                  <w:tcW w:w="1480" w:type="dxa"/>
                  <w:vMerge w:val="restart"/>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气象</w:t>
                  </w:r>
                </w:p>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条件</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pPr>
                    <w:pStyle w:val="40"/>
                    <w:widowControl/>
                    <w:jc w:val="center"/>
                    <w:rPr>
                      <w:rFonts w:ascii="Times New Roman" w:hAnsi="Times New Roman" w:eastAsia="宋体" w:cs="Times New Roman"/>
                      <w:color w:val="000000" w:themeColor="text1"/>
                      <w:sz w:val="21"/>
                      <w14:textFill>
                        <w14:solidFill>
                          <w14:schemeClr w14:val="tx1"/>
                        </w14:solidFill>
                      </w14:textFill>
                    </w:rPr>
                  </w:pPr>
                </w:p>
              </w:tc>
              <w:tc>
                <w:tcPr>
                  <w:tcW w:w="1830"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c>
                <w:tcPr>
                  <w:tcW w:w="1050" w:type="dxa"/>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测量值</w:t>
                  </w:r>
                </w:p>
              </w:tc>
              <w:tc>
                <w:tcPr>
                  <w:tcW w:w="1035" w:type="dxa"/>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背景值</w:t>
                  </w:r>
                </w:p>
              </w:tc>
              <w:tc>
                <w:tcPr>
                  <w:tcW w:w="1155" w:type="dxa"/>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实际值</w:t>
                  </w:r>
                </w:p>
              </w:tc>
              <w:tc>
                <w:tcPr>
                  <w:tcW w:w="990" w:type="dxa"/>
                  <w:vMerge w:val="continue"/>
                  <w:tcBorders>
                    <w:tl2br w:val="nil"/>
                    <w:tr2bl w:val="nil"/>
                  </w:tcBorders>
                  <w:vAlign w:val="center"/>
                </w:tcPr>
                <w:p>
                  <w:pPr>
                    <w:widowControl/>
                    <w:tabs>
                      <w:tab w:val="left" w:pos="0"/>
                    </w:tabs>
                    <w:jc w:val="center"/>
                    <w:rPr>
                      <w:rFonts w:ascii="Times New Roman" w:hAnsi="Times New Roman" w:eastAsia="宋体" w:cs="Times New Roman"/>
                      <w:color w:val="000000" w:themeColor="text1"/>
                      <w:sz w:val="21"/>
                      <w:szCs w:val="21"/>
                      <w14:textFill>
                        <w14:solidFill>
                          <w14:schemeClr w14:val="tx1"/>
                        </w14:solidFill>
                      </w14:textFill>
                    </w:rPr>
                  </w:pPr>
                </w:p>
              </w:tc>
              <w:tc>
                <w:tcPr>
                  <w:tcW w:w="1480" w:type="dxa"/>
                  <w:vMerge w:val="continue"/>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7" w:type="dxa"/>
                  <w:vMerge w:val="restart"/>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2021.8.2</w:t>
                  </w:r>
                </w:p>
              </w:tc>
              <w:tc>
                <w:tcPr>
                  <w:tcW w:w="18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1昼间</w:t>
                  </w:r>
                </w:p>
              </w:tc>
              <w:tc>
                <w:tcPr>
                  <w:tcW w:w="105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62.4</w:t>
                  </w:r>
                </w:p>
              </w:tc>
              <w:tc>
                <w:tcPr>
                  <w:tcW w:w="103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55.6</w:t>
                  </w:r>
                </w:p>
              </w:tc>
              <w:tc>
                <w:tcPr>
                  <w:tcW w:w="115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61</w:t>
                  </w:r>
                </w:p>
              </w:tc>
              <w:tc>
                <w:tcPr>
                  <w:tcW w:w="990"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p>
              </w:tc>
              <w:tc>
                <w:tcPr>
                  <w:tcW w:w="1480" w:type="dxa"/>
                  <w:vMerge w:val="restart"/>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天气条件：</w:t>
                  </w:r>
                </w:p>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天气：阴； </w:t>
                  </w:r>
                </w:p>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风速：1.5-2.4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m/s</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7" w:type="dxa"/>
                  <w:vMerge w:val="continue"/>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8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1夜间</w:t>
                  </w:r>
                </w:p>
              </w:tc>
              <w:tc>
                <w:tcPr>
                  <w:tcW w:w="105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46.3</w:t>
                  </w:r>
                </w:p>
              </w:tc>
              <w:tc>
                <w:tcPr>
                  <w:tcW w:w="103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15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46.3</w:t>
                  </w:r>
                </w:p>
              </w:tc>
              <w:tc>
                <w:tcPr>
                  <w:tcW w:w="99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环境</w:t>
                  </w:r>
                </w:p>
              </w:tc>
              <w:tc>
                <w:tcPr>
                  <w:tcW w:w="1480" w:type="dxa"/>
                  <w:vMerge w:val="continue"/>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c>
                <w:tcPr>
                  <w:tcW w:w="18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2昼间</w:t>
                  </w:r>
                </w:p>
              </w:tc>
              <w:tc>
                <w:tcPr>
                  <w:tcW w:w="105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63.7</w:t>
                  </w:r>
                </w:p>
              </w:tc>
              <w:tc>
                <w:tcPr>
                  <w:tcW w:w="103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56.3</w:t>
                  </w:r>
                </w:p>
              </w:tc>
              <w:tc>
                <w:tcPr>
                  <w:tcW w:w="115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63</w:t>
                  </w:r>
                </w:p>
              </w:tc>
              <w:tc>
                <w:tcPr>
                  <w:tcW w:w="990" w:type="dxa"/>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p>
              </w:tc>
              <w:tc>
                <w:tcPr>
                  <w:tcW w:w="1480"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c>
                <w:tcPr>
                  <w:tcW w:w="18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2夜间</w:t>
                  </w:r>
                </w:p>
              </w:tc>
              <w:tc>
                <w:tcPr>
                  <w:tcW w:w="105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48.2</w:t>
                  </w:r>
                </w:p>
              </w:tc>
              <w:tc>
                <w:tcPr>
                  <w:tcW w:w="103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15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48.2</w:t>
                  </w:r>
                </w:p>
              </w:tc>
              <w:tc>
                <w:tcPr>
                  <w:tcW w:w="990"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环境</w:t>
                  </w:r>
                </w:p>
              </w:tc>
              <w:tc>
                <w:tcPr>
                  <w:tcW w:w="1480"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637"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c>
                <w:tcPr>
                  <w:tcW w:w="18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3昼间</w:t>
                  </w:r>
                </w:p>
              </w:tc>
              <w:tc>
                <w:tcPr>
                  <w:tcW w:w="105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64.7</w:t>
                  </w:r>
                </w:p>
              </w:tc>
              <w:tc>
                <w:tcPr>
                  <w:tcW w:w="103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57.1</w:t>
                  </w:r>
                </w:p>
              </w:tc>
              <w:tc>
                <w:tcPr>
                  <w:tcW w:w="115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p>
              </w:tc>
              <w:tc>
                <w:tcPr>
                  <w:tcW w:w="990"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p>
              </w:tc>
              <w:tc>
                <w:tcPr>
                  <w:tcW w:w="1480"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637"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c>
                <w:tcPr>
                  <w:tcW w:w="18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3夜间</w:t>
                  </w:r>
                </w:p>
              </w:tc>
              <w:tc>
                <w:tcPr>
                  <w:tcW w:w="105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49.7</w:t>
                  </w:r>
                </w:p>
              </w:tc>
              <w:tc>
                <w:tcPr>
                  <w:tcW w:w="103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15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49.7</w:t>
                  </w:r>
                </w:p>
              </w:tc>
              <w:tc>
                <w:tcPr>
                  <w:tcW w:w="990"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环境</w:t>
                  </w:r>
                </w:p>
              </w:tc>
              <w:tc>
                <w:tcPr>
                  <w:tcW w:w="1480"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637"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c>
                <w:tcPr>
                  <w:tcW w:w="18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4昼间</w:t>
                  </w:r>
                </w:p>
              </w:tc>
              <w:tc>
                <w:tcPr>
                  <w:tcW w:w="105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62.1</w:t>
                  </w:r>
                </w:p>
              </w:tc>
              <w:tc>
                <w:tcPr>
                  <w:tcW w:w="103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54.8</w:t>
                  </w:r>
                </w:p>
              </w:tc>
              <w:tc>
                <w:tcPr>
                  <w:tcW w:w="115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61</w:t>
                  </w:r>
                </w:p>
              </w:tc>
              <w:tc>
                <w:tcPr>
                  <w:tcW w:w="990"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p>
              </w:tc>
              <w:tc>
                <w:tcPr>
                  <w:tcW w:w="1480"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c>
                <w:tcPr>
                  <w:tcW w:w="18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4夜间</w:t>
                  </w:r>
                </w:p>
              </w:tc>
              <w:tc>
                <w:tcPr>
                  <w:tcW w:w="105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45.8</w:t>
                  </w:r>
                </w:p>
              </w:tc>
              <w:tc>
                <w:tcPr>
                  <w:tcW w:w="103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15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45.8</w:t>
                  </w:r>
                </w:p>
              </w:tc>
              <w:tc>
                <w:tcPr>
                  <w:tcW w:w="990" w:type="dxa"/>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环境</w:t>
                  </w:r>
                </w:p>
              </w:tc>
              <w:tc>
                <w:tcPr>
                  <w:tcW w:w="1480"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restart"/>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监测日期</w:t>
                  </w:r>
                </w:p>
              </w:tc>
              <w:tc>
                <w:tcPr>
                  <w:tcW w:w="1830" w:type="dxa"/>
                  <w:vMerge w:val="restart"/>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监测点位</w:t>
                  </w:r>
                </w:p>
              </w:tc>
              <w:tc>
                <w:tcPr>
                  <w:tcW w:w="3240" w:type="dxa"/>
                  <w:gridSpan w:val="3"/>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昼间</w:t>
                  </w:r>
                  <w:r>
                    <w:rPr>
                      <w:rFonts w:ascii="Times New Roman" w:hAnsi="Times New Roman" w:eastAsia="宋体" w:cs="Times New Roman"/>
                      <w:color w:val="000000" w:themeColor="text1"/>
                      <w:sz w:val="21"/>
                      <w:szCs w:val="21"/>
                      <w14:textFill>
                        <w14:solidFill>
                          <w14:schemeClr w14:val="tx1"/>
                        </w14:solidFill>
                      </w14:textFill>
                    </w:rPr>
                    <w:t>检测结果dB(A)</w:t>
                  </w:r>
                </w:p>
              </w:tc>
              <w:tc>
                <w:tcPr>
                  <w:tcW w:w="990" w:type="dxa"/>
                  <w:vMerge w:val="restart"/>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主要</w:t>
                  </w:r>
                </w:p>
                <w:p>
                  <w:pPr>
                    <w:widowControl/>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声源</w:t>
                  </w:r>
                </w:p>
              </w:tc>
              <w:tc>
                <w:tcPr>
                  <w:tcW w:w="1480" w:type="dxa"/>
                  <w:vMerge w:val="restart"/>
                  <w:tcBorders>
                    <w:tl2br w:val="nil"/>
                    <w:tr2bl w:val="nil"/>
                  </w:tcBorders>
                  <w:vAlign w:val="center"/>
                </w:tcPr>
                <w:p>
                  <w:pPr>
                    <w:pStyle w:val="3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气象</w:t>
                  </w:r>
                </w:p>
                <w:p>
                  <w:pPr>
                    <w:pStyle w:val="36"/>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条件</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c>
                <w:tcPr>
                  <w:tcW w:w="1830" w:type="dxa"/>
                  <w:vMerge w:val="continue"/>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050"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测量值</w:t>
                  </w:r>
                </w:p>
              </w:tc>
              <w:tc>
                <w:tcPr>
                  <w:tcW w:w="1035"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背景值</w:t>
                  </w:r>
                </w:p>
              </w:tc>
              <w:tc>
                <w:tcPr>
                  <w:tcW w:w="1155"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实际值</w:t>
                  </w:r>
                </w:p>
              </w:tc>
              <w:tc>
                <w:tcPr>
                  <w:tcW w:w="990" w:type="dxa"/>
                  <w:vMerge w:val="continue"/>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14:textFill>
                        <w14:solidFill>
                          <w14:schemeClr w14:val="tx1"/>
                        </w14:solidFill>
                      </w14:textFill>
                    </w:rPr>
                  </w:pPr>
                </w:p>
              </w:tc>
              <w:tc>
                <w:tcPr>
                  <w:tcW w:w="1480"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37" w:type="dxa"/>
                  <w:vMerge w:val="restart"/>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2021.8.3</w:t>
                  </w:r>
                </w:p>
              </w:tc>
              <w:tc>
                <w:tcPr>
                  <w:tcW w:w="18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1昼间</w:t>
                  </w:r>
                </w:p>
              </w:tc>
              <w:tc>
                <w:tcPr>
                  <w:tcW w:w="105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61.9</w:t>
                  </w:r>
                </w:p>
              </w:tc>
              <w:tc>
                <w:tcPr>
                  <w:tcW w:w="103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55.9</w:t>
                  </w:r>
                </w:p>
              </w:tc>
              <w:tc>
                <w:tcPr>
                  <w:tcW w:w="115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61</w:t>
                  </w:r>
                </w:p>
              </w:tc>
              <w:tc>
                <w:tcPr>
                  <w:tcW w:w="990"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p>
              </w:tc>
              <w:tc>
                <w:tcPr>
                  <w:tcW w:w="1480" w:type="dxa"/>
                  <w:vMerge w:val="restart"/>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天气条件：</w:t>
                  </w:r>
                </w:p>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天气：阴； </w:t>
                  </w:r>
                </w:p>
                <w:p>
                  <w:pPr>
                    <w:widowControl/>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风速：1.4-2.3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m/s</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37" w:type="dxa"/>
                  <w:vMerge w:val="continue"/>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8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1夜间</w:t>
                  </w:r>
                </w:p>
              </w:tc>
              <w:tc>
                <w:tcPr>
                  <w:tcW w:w="105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45.8</w:t>
                  </w:r>
                </w:p>
              </w:tc>
              <w:tc>
                <w:tcPr>
                  <w:tcW w:w="103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15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45.8</w:t>
                  </w:r>
                </w:p>
              </w:tc>
              <w:tc>
                <w:tcPr>
                  <w:tcW w:w="990"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环境</w:t>
                  </w:r>
                </w:p>
              </w:tc>
              <w:tc>
                <w:tcPr>
                  <w:tcW w:w="1480" w:type="dxa"/>
                  <w:vMerge w:val="continue"/>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37" w:type="dxa"/>
                  <w:vMerge w:val="continue"/>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8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2昼间</w:t>
                  </w:r>
                </w:p>
              </w:tc>
              <w:tc>
                <w:tcPr>
                  <w:tcW w:w="105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63.3</w:t>
                  </w:r>
                </w:p>
              </w:tc>
              <w:tc>
                <w:tcPr>
                  <w:tcW w:w="103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54.8</w:t>
                  </w:r>
                </w:p>
              </w:tc>
              <w:tc>
                <w:tcPr>
                  <w:tcW w:w="115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62</w:t>
                  </w:r>
                </w:p>
              </w:tc>
              <w:tc>
                <w:tcPr>
                  <w:tcW w:w="990"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p>
              </w:tc>
              <w:tc>
                <w:tcPr>
                  <w:tcW w:w="1480" w:type="dxa"/>
                  <w:vMerge w:val="continue"/>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7"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c>
                <w:tcPr>
                  <w:tcW w:w="18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2夜间</w:t>
                  </w:r>
                </w:p>
              </w:tc>
              <w:tc>
                <w:tcPr>
                  <w:tcW w:w="105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48.3</w:t>
                  </w:r>
                </w:p>
              </w:tc>
              <w:tc>
                <w:tcPr>
                  <w:tcW w:w="103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15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48.3</w:t>
                  </w:r>
                </w:p>
              </w:tc>
              <w:tc>
                <w:tcPr>
                  <w:tcW w:w="990"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环境</w:t>
                  </w:r>
                </w:p>
              </w:tc>
              <w:tc>
                <w:tcPr>
                  <w:tcW w:w="1480"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c>
                <w:tcPr>
                  <w:tcW w:w="18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3昼间</w:t>
                  </w:r>
                </w:p>
              </w:tc>
              <w:tc>
                <w:tcPr>
                  <w:tcW w:w="105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64.6</w:t>
                  </w:r>
                </w:p>
              </w:tc>
              <w:tc>
                <w:tcPr>
                  <w:tcW w:w="103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55.7</w:t>
                  </w:r>
                </w:p>
              </w:tc>
              <w:tc>
                <w:tcPr>
                  <w:tcW w:w="115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64</w:t>
                  </w:r>
                </w:p>
              </w:tc>
              <w:tc>
                <w:tcPr>
                  <w:tcW w:w="990"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p>
              </w:tc>
              <w:tc>
                <w:tcPr>
                  <w:tcW w:w="1480"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c>
                <w:tcPr>
                  <w:tcW w:w="18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3夜间</w:t>
                  </w:r>
                </w:p>
              </w:tc>
              <w:tc>
                <w:tcPr>
                  <w:tcW w:w="105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49.1</w:t>
                  </w:r>
                </w:p>
              </w:tc>
              <w:tc>
                <w:tcPr>
                  <w:tcW w:w="103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15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49.1</w:t>
                  </w:r>
                </w:p>
              </w:tc>
              <w:tc>
                <w:tcPr>
                  <w:tcW w:w="990"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环境</w:t>
                  </w:r>
                </w:p>
              </w:tc>
              <w:tc>
                <w:tcPr>
                  <w:tcW w:w="1480"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c>
                <w:tcPr>
                  <w:tcW w:w="18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4昼间</w:t>
                  </w:r>
                </w:p>
              </w:tc>
              <w:tc>
                <w:tcPr>
                  <w:tcW w:w="105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62.6</w:t>
                  </w:r>
                </w:p>
              </w:tc>
              <w:tc>
                <w:tcPr>
                  <w:tcW w:w="103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53.9</w:t>
                  </w:r>
                </w:p>
              </w:tc>
              <w:tc>
                <w:tcPr>
                  <w:tcW w:w="115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62</w:t>
                  </w:r>
                </w:p>
              </w:tc>
              <w:tc>
                <w:tcPr>
                  <w:tcW w:w="990"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p>
              </w:tc>
              <w:tc>
                <w:tcPr>
                  <w:tcW w:w="1480"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c>
                <w:tcPr>
                  <w:tcW w:w="183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4夜间</w:t>
                  </w:r>
                </w:p>
              </w:tc>
              <w:tc>
                <w:tcPr>
                  <w:tcW w:w="1050"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46.2</w:t>
                  </w:r>
                </w:p>
              </w:tc>
              <w:tc>
                <w:tcPr>
                  <w:tcW w:w="103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155" w:type="dxa"/>
                  <w:tcBorders>
                    <w:tl2br w:val="nil"/>
                    <w:tr2bl w:val="nil"/>
                  </w:tcBorders>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46.2</w:t>
                  </w:r>
                </w:p>
              </w:tc>
              <w:tc>
                <w:tcPr>
                  <w:tcW w:w="990" w:type="dxa"/>
                  <w:tcBorders>
                    <w:tl2br w:val="nil"/>
                    <w:tr2bl w:val="nil"/>
                  </w:tcBorders>
                  <w:vAlign w:val="center"/>
                </w:tcPr>
                <w:p>
                  <w:pPr>
                    <w:widowControl/>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环境</w:t>
                  </w:r>
                </w:p>
              </w:tc>
              <w:tc>
                <w:tcPr>
                  <w:tcW w:w="1480" w:type="dxa"/>
                  <w:vMerge w:val="continue"/>
                  <w:tcBorders>
                    <w:tl2br w:val="nil"/>
                    <w:tr2bl w:val="nil"/>
                  </w:tcBorders>
                  <w:vAlign w:val="center"/>
                </w:tcPr>
                <w:p>
                  <w:pPr>
                    <w:widowControl/>
                    <w:jc w:val="center"/>
                    <w:rPr>
                      <w:rFonts w:ascii="Times New Roman" w:hAnsi="Times New Roman" w:eastAsia="宋体" w:cs="Times New Roman"/>
                      <w:color w:val="000000" w:themeColor="text1"/>
                      <w:sz w:val="21"/>
                      <w:szCs w:val="21"/>
                      <w14:textFill>
                        <w14:solidFill>
                          <w14:schemeClr w14:val="tx1"/>
                        </w14:solidFill>
                      </w14:textFill>
                    </w:rPr>
                  </w:pPr>
                </w:p>
              </w:tc>
            </w:tr>
          </w:tbl>
          <w:p>
            <w:pPr>
              <w:pStyle w:val="36"/>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由7-</w:t>
            </w:r>
            <w:r>
              <w:rPr>
                <w:rFonts w:hint="eastAsia" w:ascii="Times New Roman" w:hAnsi="Times New Roman" w:cs="Times New Roman"/>
                <w:color w:val="000000" w:themeColor="text1"/>
                <w:lang w:val="en-US" w:eastAsia="zh-CN"/>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噪声监测结果可知，本项目噪声排放符合</w:t>
            </w:r>
            <w:r>
              <w:rPr>
                <w:rFonts w:hint="eastAsia" w:ascii="Times New Roman" w:hAnsi="Times New Roman" w:cs="Times New Roman"/>
                <w:color w:val="000000" w:themeColor="text1"/>
                <w14:textFill>
                  <w14:solidFill>
                    <w14:schemeClr w14:val="tx1"/>
                  </w14:solidFill>
                </w14:textFill>
              </w:rPr>
              <w:t>《工业企业厂界环境噪声排放标准》（GB12348-2008</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中的</w:t>
            </w:r>
            <w:r>
              <w:rPr>
                <w:rFonts w:hint="eastAsia" w:ascii="Times New Roman" w:hAnsi="Times New Roman"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t>类</w:t>
            </w:r>
            <w:r>
              <w:rPr>
                <w:rFonts w:hint="eastAsia" w:ascii="Times New Roman" w:hAnsi="Times New Roman" w:eastAsia="宋体" w:cs="Times New Roman"/>
                <w:color w:val="000000" w:themeColor="text1"/>
                <w14:textFill>
                  <w14:solidFill>
                    <w14:schemeClr w14:val="tx1"/>
                  </w14:solidFill>
                </w14:textFill>
              </w:rPr>
              <w:t>标准，即：</w:t>
            </w:r>
            <w:r>
              <w:rPr>
                <w:rFonts w:hint="eastAsia" w:ascii="Times New Roman" w:hAnsi="Times New Roman" w:eastAsia="宋体" w:cs="Times New Roman"/>
                <w:color w:val="000000" w:themeColor="text1"/>
                <w:lang w:val="en-US" w:eastAsia="zh-CN"/>
                <w14:textFill>
                  <w14:solidFill>
                    <w14:schemeClr w14:val="tx1"/>
                  </w14:solidFill>
                </w14:textFill>
              </w:rPr>
              <w:t>3类昼间：65dB（A），夜间55dB（A）</w:t>
            </w:r>
            <w:r>
              <w:rPr>
                <w:rFonts w:ascii="Times New Roman" w:hAnsi="Times New Roman" w:eastAsia="宋体" w:cs="Times New Roman"/>
                <w:color w:val="000000" w:themeColor="text1"/>
                <w14:textFill>
                  <w14:solidFill>
                    <w14:schemeClr w14:val="tx1"/>
                  </w14:solidFill>
                </w14:textFill>
              </w:rPr>
              <w:t>。</w:t>
            </w:r>
          </w:p>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200"/>
              <w:jc w:val="both"/>
              <w:textAlignment w:val="auto"/>
              <w:outlineLvl w:val="9"/>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污染物排放总量核</w:t>
            </w:r>
            <w:r>
              <w:rPr>
                <w:rFonts w:hint="eastAsia" w:ascii="Times New Roman" w:hAnsi="Times New Roman" w:cs="Times New Roman"/>
                <w:color w:val="000000" w:themeColor="text1"/>
                <w:sz w:val="24"/>
                <w:szCs w:val="24"/>
                <w:lang w:val="en-US" w:eastAsia="zh-CN"/>
                <w14:textFill>
                  <w14:solidFill>
                    <w14:schemeClr w14:val="tx1"/>
                  </w14:solidFill>
                </w14:textFill>
              </w:rPr>
              <w:t>算</w:t>
            </w:r>
          </w:p>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Chars="0" w:firstLine="422" w:firstLineChars="200"/>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表7-</w:t>
            </w:r>
            <w:r>
              <w:rPr>
                <w:rFonts w:hint="eastAsia" w:ascii="Times New Roman" w:hAnsi="Times New Roman" w:cs="Times New Roman"/>
                <w:b/>
                <w:bCs/>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b/>
                <w:bCs/>
                <w:color w:val="000000" w:themeColor="text1"/>
                <w:sz w:val="21"/>
                <w:szCs w:val="21"/>
                <w:lang w:val="en-US" w:eastAsia="zh-CN"/>
                <w14:textFill>
                  <w14:solidFill>
                    <w14:schemeClr w14:val="tx1"/>
                  </w14:solidFill>
                </w14:textFill>
              </w:rPr>
              <w:t>有机</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废气污染物排放总量</w:t>
            </w:r>
          </w:p>
          <w:tbl>
            <w:tblPr>
              <w:tblStyle w:val="26"/>
              <w:tblW w:w="8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885"/>
              <w:gridCol w:w="1155"/>
              <w:gridCol w:w="2280"/>
              <w:gridCol w:w="1153"/>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120"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监测点位</w:t>
                  </w:r>
                </w:p>
              </w:tc>
              <w:tc>
                <w:tcPr>
                  <w:tcW w:w="885"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污染物</w:t>
                  </w:r>
                </w:p>
              </w:tc>
              <w:tc>
                <w:tcPr>
                  <w:tcW w:w="1155"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设施名称</w:t>
                  </w:r>
                </w:p>
              </w:tc>
              <w:tc>
                <w:tcPr>
                  <w:tcW w:w="2280"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标杆流量：m³/h</w:t>
                  </w:r>
                </w:p>
              </w:tc>
              <w:tc>
                <w:tcPr>
                  <w:tcW w:w="1153"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8320</w:t>
                  </w:r>
                </w:p>
              </w:tc>
              <w:tc>
                <w:tcPr>
                  <w:tcW w:w="1526"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环评批复总量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120" w:type="dxa"/>
                  <w:vMerge w:val="restar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有机废气处理设施进口</w:t>
                  </w:r>
                </w:p>
              </w:tc>
              <w:tc>
                <w:tcPr>
                  <w:tcW w:w="885" w:type="dxa"/>
                  <w:vMerge w:val="restar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非甲烷总烃</w:t>
                  </w:r>
                </w:p>
              </w:tc>
              <w:tc>
                <w:tcPr>
                  <w:tcW w:w="1155" w:type="dxa"/>
                  <w:vMerge w:val="restar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活性炭吸附</w:t>
                  </w:r>
                </w:p>
              </w:tc>
              <w:tc>
                <w:tcPr>
                  <w:tcW w:w="2280"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排放浓度（</w:t>
                  </w:r>
                  <w: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t>mg</w:t>
                  </w:r>
                  <w:r>
                    <w:rPr>
                      <w:rFonts w:hint="default" w:ascii="Times New Roman" w:hAnsi="Times New Roman" w:eastAsia="宋体" w:cs="Times New Roman"/>
                      <w:b w:val="0"/>
                      <w:bCs w:val="0"/>
                      <w:color w:val="000000" w:themeColor="text1"/>
                      <w:szCs w:val="21"/>
                      <w14:textFill>
                        <w14:solidFill>
                          <w14:schemeClr w14:val="tx1"/>
                        </w14:solidFill>
                      </w14:textFill>
                    </w:rPr>
                    <w:t>/m</w:t>
                  </w:r>
                  <w:r>
                    <w:rPr>
                      <w:rFonts w:hint="default" w:ascii="Times New Roman" w:hAnsi="Times New Roman" w:eastAsia="宋体" w:cs="Times New Roman"/>
                      <w:b w:val="0"/>
                      <w:bCs w:val="0"/>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153"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1.81</w:t>
                  </w:r>
                </w:p>
              </w:tc>
              <w:tc>
                <w:tcPr>
                  <w:tcW w:w="1526" w:type="dxa"/>
                  <w:vMerge w:val="restar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120"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85"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280"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产生</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速率（</w:t>
                  </w:r>
                  <w:r>
                    <w:rPr>
                      <w:rFonts w:hint="default" w:ascii="Times New Roman" w:hAnsi="Times New Roman" w:eastAsia="宋体" w:cs="Times New Roman"/>
                      <w:b w:val="0"/>
                      <w:bCs w:val="0"/>
                      <w:color w:val="000000" w:themeColor="text1"/>
                      <w:szCs w:val="21"/>
                      <w14:textFill>
                        <w14:solidFill>
                          <w14:schemeClr w14:val="tx1"/>
                        </w14:solidFill>
                      </w14:textFill>
                    </w:rPr>
                    <w:t>kg/h</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153"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0.015</w:t>
                  </w:r>
                </w:p>
              </w:tc>
              <w:tc>
                <w:tcPr>
                  <w:tcW w:w="1526"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120"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85"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280"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废气</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量（万标立方米）</w:t>
                  </w:r>
                </w:p>
              </w:tc>
              <w:tc>
                <w:tcPr>
                  <w:tcW w:w="1153"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1996.8</w:t>
                  </w:r>
                </w:p>
              </w:tc>
              <w:tc>
                <w:tcPr>
                  <w:tcW w:w="1526"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120"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85"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280"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产生</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量（t/a）</w:t>
                  </w:r>
                </w:p>
              </w:tc>
              <w:tc>
                <w:tcPr>
                  <w:tcW w:w="1153"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0.036</w:t>
                  </w:r>
                </w:p>
              </w:tc>
              <w:tc>
                <w:tcPr>
                  <w:tcW w:w="1526"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120" w:type="dxa"/>
                  <w:vMerge w:val="restart"/>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有机废气处理设施出口</w:t>
                  </w:r>
                </w:p>
              </w:tc>
              <w:tc>
                <w:tcPr>
                  <w:tcW w:w="885"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280"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标杆流量：m³/h</w:t>
                  </w:r>
                </w:p>
              </w:tc>
              <w:tc>
                <w:tcPr>
                  <w:tcW w:w="1153"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8985</w:t>
                  </w:r>
                </w:p>
              </w:tc>
              <w:tc>
                <w:tcPr>
                  <w:tcW w:w="1526"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120"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85"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280"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排放浓度（</w:t>
                  </w:r>
                  <w: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t>mg</w:t>
                  </w:r>
                  <w:r>
                    <w:rPr>
                      <w:rFonts w:hint="default" w:ascii="Times New Roman" w:hAnsi="Times New Roman" w:eastAsia="宋体" w:cs="Times New Roman"/>
                      <w:b w:val="0"/>
                      <w:bCs w:val="0"/>
                      <w:color w:val="000000" w:themeColor="text1"/>
                      <w:szCs w:val="21"/>
                      <w14:textFill>
                        <w14:solidFill>
                          <w14:schemeClr w14:val="tx1"/>
                        </w14:solidFill>
                      </w14:textFill>
                    </w:rPr>
                    <w:t>/m</w:t>
                  </w:r>
                  <w:r>
                    <w:rPr>
                      <w:rFonts w:hint="default" w:ascii="Times New Roman" w:hAnsi="Times New Roman" w:eastAsia="宋体" w:cs="Times New Roman"/>
                      <w:b w:val="0"/>
                      <w:bCs w:val="0"/>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153"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0.625</w:t>
                  </w:r>
                </w:p>
              </w:tc>
              <w:tc>
                <w:tcPr>
                  <w:tcW w:w="1526"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120"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85"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280"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排放速率（</w:t>
                  </w:r>
                  <w:r>
                    <w:rPr>
                      <w:rFonts w:hint="default" w:ascii="Times New Roman" w:hAnsi="Times New Roman" w:eastAsia="宋体" w:cs="Times New Roman"/>
                      <w:b w:val="0"/>
                      <w:bCs w:val="0"/>
                      <w:color w:val="000000" w:themeColor="text1"/>
                      <w:szCs w:val="21"/>
                      <w14:textFill>
                        <w14:solidFill>
                          <w14:schemeClr w14:val="tx1"/>
                        </w14:solidFill>
                      </w14:textFill>
                    </w:rPr>
                    <w:t>kg/h</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153"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0.005615</w:t>
                  </w:r>
                </w:p>
              </w:tc>
              <w:tc>
                <w:tcPr>
                  <w:tcW w:w="1526"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0"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85"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280"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废气</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量（万标立方米）</w:t>
                  </w:r>
                </w:p>
              </w:tc>
              <w:tc>
                <w:tcPr>
                  <w:tcW w:w="1153"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2156.4</w:t>
                  </w:r>
                </w:p>
              </w:tc>
              <w:tc>
                <w:tcPr>
                  <w:tcW w:w="1526"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0"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885"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5"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280"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排放总量（t/a）</w:t>
                  </w:r>
                </w:p>
              </w:tc>
              <w:tc>
                <w:tcPr>
                  <w:tcW w:w="1153" w:type="dxa"/>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0.013</w:t>
                  </w:r>
                </w:p>
              </w:tc>
              <w:tc>
                <w:tcPr>
                  <w:tcW w:w="1526" w:type="dxa"/>
                  <w:vMerge w:val="continue"/>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9" w:type="dxa"/>
                  <w:gridSpan w:val="6"/>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本项目年工作时间为2400小时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3160" w:type="dxa"/>
                  <w:gridSpan w:val="3"/>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有机废气排放量</w:t>
                  </w:r>
                </w:p>
              </w:tc>
              <w:tc>
                <w:tcPr>
                  <w:tcW w:w="4959" w:type="dxa"/>
                  <w:gridSpan w:val="3"/>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2156.4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3160" w:type="dxa"/>
                  <w:gridSpan w:val="3"/>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非甲烷总烃总产生量</w:t>
                  </w:r>
                </w:p>
              </w:tc>
              <w:tc>
                <w:tcPr>
                  <w:tcW w:w="4959" w:type="dxa"/>
                  <w:gridSpan w:val="3"/>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3160" w:type="dxa"/>
                  <w:gridSpan w:val="3"/>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非甲烷总烃总排放量</w:t>
                  </w:r>
                </w:p>
              </w:tc>
              <w:tc>
                <w:tcPr>
                  <w:tcW w:w="4959" w:type="dxa"/>
                  <w:gridSpan w:val="3"/>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3160" w:type="dxa"/>
                  <w:gridSpan w:val="3"/>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非甲烷总烃削减量</w:t>
                  </w:r>
                </w:p>
              </w:tc>
              <w:tc>
                <w:tcPr>
                  <w:tcW w:w="4959" w:type="dxa"/>
                  <w:gridSpan w:val="3"/>
                  <w:tcBorders>
                    <w:tl2br w:val="nil"/>
                    <w:tr2bl w:val="nil"/>
                  </w:tcBorders>
                  <w:vAlign w:val="center"/>
                </w:tcPr>
                <w:p>
                  <w:pPr>
                    <w:pStyle w:val="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0.023</w:t>
                  </w:r>
                </w:p>
              </w:tc>
            </w:tr>
          </w:tbl>
          <w:p>
            <w:pPr>
              <w:pStyle w:val="36"/>
              <w:numPr>
                <w:ilvl w:val="0"/>
                <w:numId w:val="0"/>
              </w:numPr>
              <w:spacing w:line="360" w:lineRule="auto"/>
              <w:ind w:firstLine="480" w:firstLineChars="200"/>
              <w:jc w:val="both"/>
              <w:rPr>
                <w:rFonts w:hint="default"/>
                <w:color w:val="0000FF"/>
                <w:lang w:val="en-US" w:eastAsia="zh-CN"/>
              </w:rPr>
            </w:pP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由</w:t>
            </w:r>
            <w:r>
              <w:rPr>
                <w:rFonts w:hint="eastAsia" w:ascii="Times New Roman" w:hAnsi="Times New Roman" w:cs="Times New Roman"/>
                <w:color w:val="000000" w:themeColor="text1"/>
                <w:sz w:val="24"/>
                <w:szCs w:val="24"/>
                <w:lang w:val="en-US" w:eastAsia="zh-CN" w:bidi="ar-SA"/>
                <w14:textFill>
                  <w14:solidFill>
                    <w14:schemeClr w14:val="tx1"/>
                  </w14:solidFill>
                </w14:textFill>
              </w:rPr>
              <w:t>上表</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可知</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w:t>
            </w:r>
            <w:r>
              <w:rPr>
                <w:rFonts w:hint="eastAsia" w:ascii="Times New Roman" w:hAnsi="Times New Roman" w:cs="Times New Roman"/>
                <w:color w:val="000000" w:themeColor="text1"/>
                <w:sz w:val="24"/>
                <w:szCs w:val="24"/>
                <w:lang w:val="en-US" w:eastAsia="zh-CN" w:bidi="ar-SA"/>
                <w14:textFill>
                  <w14:solidFill>
                    <w14:schemeClr w14:val="tx1"/>
                  </w14:solidFill>
                </w14:textFill>
              </w:rPr>
              <w:t>非甲烷总烃总</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排放量为</w:t>
            </w:r>
            <w:r>
              <w:rPr>
                <w:rFonts w:hint="eastAsia" w:ascii="Times New Roman" w:hAnsi="Times New Roman" w:cs="Times New Roman"/>
                <w:color w:val="000000" w:themeColor="text1"/>
                <w:sz w:val="24"/>
                <w:szCs w:val="24"/>
                <w:lang w:val="en-US" w:eastAsia="zh-CN" w:bidi="ar-SA"/>
                <w14:textFill>
                  <w14:solidFill>
                    <w14:schemeClr w14:val="tx1"/>
                  </w14:solidFill>
                </w14:textFill>
              </w:rPr>
              <w:t>0.013</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t/a。废气污染物排放总量满足环评批复要求：非甲烷总烃排放量0.</w:t>
            </w:r>
            <w:r>
              <w:rPr>
                <w:rFonts w:hint="eastAsia" w:ascii="Times New Roman" w:hAnsi="Times New Roman" w:cs="Times New Roman"/>
                <w:color w:val="000000" w:themeColor="text1"/>
                <w:sz w:val="24"/>
                <w:szCs w:val="24"/>
                <w:lang w:val="en-US" w:eastAsia="zh-CN" w:bidi="ar-SA"/>
                <w14:textFill>
                  <w14:solidFill>
                    <w14:schemeClr w14:val="tx1"/>
                  </w14:solidFill>
                </w14:textFill>
              </w:rPr>
              <w:t>273</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t/a。</w:t>
            </w:r>
          </w:p>
        </w:tc>
      </w:tr>
    </w:tbl>
    <w:p>
      <w:pPr>
        <w:pStyle w:val="3"/>
        <w:rPr>
          <w:rFonts w:ascii="Times New Roman" w:hAnsi="Times New Roman" w:eastAsia="宋体" w:cs="Times New Roman"/>
          <w:color w:val="0000FF"/>
        </w:rPr>
        <w:sectPr>
          <w:pgSz w:w="11906" w:h="16838"/>
          <w:pgMar w:top="1440" w:right="1440" w:bottom="1440" w:left="1701" w:header="709" w:footer="709" w:gutter="0"/>
          <w:pgBorders>
            <w:top w:val="none" w:sz="0" w:space="0"/>
            <w:left w:val="none" w:sz="0" w:space="0"/>
            <w:bottom w:val="none" w:sz="0" w:space="0"/>
            <w:right w:val="none" w:sz="0" w:space="0"/>
          </w:pgBorders>
          <w:cols w:space="0" w:num="1"/>
          <w:docGrid w:linePitch="360" w:charSpace="0"/>
        </w:sectPr>
      </w:pP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表八</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6" w:hRule="atLeast"/>
        </w:trPr>
        <w:tc>
          <w:tcPr>
            <w:tcW w:w="8522" w:type="dxa"/>
          </w:tcPr>
          <w:p>
            <w:pPr>
              <w:widowControl w:val="0"/>
              <w:spacing w:line="360" w:lineRule="auto"/>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验收监测结论：</w:t>
            </w:r>
          </w:p>
          <w:p>
            <w:pPr>
              <w:pStyle w:val="36"/>
              <w:spacing w:line="360" w:lineRule="auto"/>
              <w:ind w:firstLine="482" w:firstLineChars="200"/>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本次验收针对</w:t>
            </w:r>
            <w:r>
              <w:rPr>
                <w:rFonts w:hint="eastAsia" w:ascii="Times New Roman" w:hAnsi="Times New Roman" w:cs="Times New Roman"/>
                <w:b/>
                <w:bCs/>
                <w:color w:val="000000" w:themeColor="text1"/>
                <w:lang w:val="en-US" w:eastAsia="zh-CN"/>
                <w14:textFill>
                  <w14:solidFill>
                    <w14:schemeClr w14:val="tx1"/>
                  </w14:solidFill>
                </w14:textFill>
              </w:rPr>
              <w:t>福建省金城伟业印刷有限公司金城伟业不干胶标签印刷加工项目</w:t>
            </w:r>
            <w:r>
              <w:rPr>
                <w:rFonts w:ascii="Times New Roman" w:hAnsi="Times New Roman" w:cs="Times New Roman"/>
                <w:b/>
                <w:bCs/>
                <w:color w:val="000000" w:themeColor="text1"/>
                <w14:textFill>
                  <w14:solidFill>
                    <w14:schemeClr w14:val="tx1"/>
                  </w14:solidFill>
                </w14:textFill>
              </w:rPr>
              <w:t>进行验收。验收期间本项目的性质、规模、地点、生产工艺等均未发生重大改变。故本次验收结论如下：</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bookmarkStart w:id="8" w:name="_Toc9522"/>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（1） 废水</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环保竣工</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验收监测期间，</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本项目废水污染物排放满足《污水综合排放标准》（GB8978-1996）表4标准，即：pH：6~9、COD：500mg/L、BOD5：300mg/L、SS：400mg/L、氨氮：400mg/L；以及《污水排入城镇下水道水质标准》(GB/T 31962-2015)表1标准，即：氨氮：45mg/L</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（2）废气</w:t>
            </w:r>
          </w:p>
          <w:p>
            <w:pPr>
              <w:widowControl w:val="0"/>
              <w:adjustRightInd/>
              <w:snapToGrid/>
              <w:spacing w:line="360" w:lineRule="auto"/>
              <w:ind w:firstLine="480" w:firstLineChars="200"/>
              <w:jc w:val="both"/>
              <w:outlineLvl w:val="2"/>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环保竣工验收</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监测期间，</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项目</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有机</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废气</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非甲烷总烃</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排放满足《印刷行业挥发性有机物排放标准》（DB35/1784-2018）中表1排放限值</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p>
          <w:p>
            <w:pPr>
              <w:pStyle w:val="12"/>
              <w:widowControl w:val="0"/>
              <w:spacing w:line="360" w:lineRule="auto"/>
              <w:ind w:firstLine="480" w:firstLineChars="200"/>
              <w:jc w:val="both"/>
              <w:rPr>
                <w:rFonts w:hint="default" w:ascii="Times New Roman" w:hAnsi="Times New Roman" w:cs="Times New Roman"/>
                <w:color w:val="000000" w:themeColor="text1"/>
                <w:spacing w:val="0"/>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4"/>
                <w:szCs w:val="24"/>
                <w:lang w:val="en-US" w:eastAsia="zh-CN"/>
                <w14:textFill>
                  <w14:solidFill>
                    <w14:schemeClr w14:val="tx1"/>
                  </w14:solidFill>
                </w14:textFill>
              </w:rPr>
              <w:t>本</w:t>
            </w:r>
            <w:r>
              <w:rPr>
                <w:rFonts w:hint="default" w:ascii="Times New Roman" w:hAnsi="Times New Roman" w:eastAsia="宋体" w:cs="Times New Roman"/>
                <w:b w:val="0"/>
                <w:bCs w:val="0"/>
                <w:color w:val="000000" w:themeColor="text1"/>
                <w:spacing w:val="0"/>
                <w:sz w:val="24"/>
                <w:szCs w:val="24"/>
                <w:lang w:eastAsia="zh-CN"/>
                <w14:textFill>
                  <w14:solidFill>
                    <w14:schemeClr w14:val="tx1"/>
                  </w14:solidFill>
                </w14:textFill>
              </w:rPr>
              <w:t>项目</w:t>
            </w:r>
            <w:r>
              <w:rPr>
                <w:rFonts w:hint="default" w:ascii="Times New Roman" w:hAnsi="Times New Roman" w:eastAsia="宋体" w:cs="Times New Roman"/>
                <w:b w:val="0"/>
                <w:bCs w:val="0"/>
                <w:color w:val="000000" w:themeColor="text1"/>
                <w:spacing w:val="0"/>
                <w:sz w:val="24"/>
                <w:szCs w:val="24"/>
                <w:lang w:val="en-US" w:eastAsia="zh-CN"/>
                <w14:textFill>
                  <w14:solidFill>
                    <w14:schemeClr w14:val="tx1"/>
                  </w14:solidFill>
                </w14:textFill>
              </w:rPr>
              <w:t>厂界无组织废气非甲烷总烃</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《印刷行业挥发性有机物排放标准》（DB35/1784-2018）中表</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排放限值</w:t>
            </w:r>
            <w:r>
              <w:rPr>
                <w:rFonts w:hint="default" w:ascii="Times New Roman" w:hAnsi="Times New Roman" w:eastAsia="宋体" w:cs="Times New Roman"/>
                <w:color w:val="000000" w:themeColor="text1"/>
                <w:spacing w:val="0"/>
                <w:sz w:val="24"/>
                <w:szCs w:val="24"/>
                <w:lang w:val="en-US" w:eastAsia="zh-CN" w:bidi="ar-SA"/>
                <w14:textFill>
                  <w14:solidFill>
                    <w14:schemeClr w14:val="tx1"/>
                  </w14:solidFill>
                </w14:textFill>
              </w:rPr>
              <w:t>。</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（3） 噪声</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环保竣工验收监测期间</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项目噪声符合</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《工业企业厂界环境噪声排放标准》（GB12348-2008）中的3类标准，即：3类昼间：65dB（A），夜间55dB（A）。</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（4）固废</w:t>
            </w:r>
          </w:p>
          <w:p>
            <w:pPr>
              <w:pStyle w:val="45"/>
              <w:pageBreakBefore w:val="0"/>
              <w:kinsoku/>
              <w:wordWrap/>
              <w:overflowPunct/>
              <w:topLinePunct w:val="0"/>
              <w:bidi w:val="0"/>
              <w:ind w:firstLine="480"/>
              <w:jc w:val="left"/>
              <w:rPr>
                <w:rFonts w:hint="default" w:ascii="Times New Roman" w:hAnsi="Times New Roman" w:eastAsia="宋体" w:cs="Times New Roman"/>
                <w:color w:val="000000" w:themeColor="text1"/>
                <w:kern w:val="0"/>
                <w:sz w:val="24"/>
                <w:szCs w:val="22"/>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环保竣工验收监测</w:t>
            </w:r>
            <w:r>
              <w:rPr>
                <w:rFonts w:hint="default" w:ascii="Times New Roman" w:hAnsi="Times New Roman" w:eastAsia="宋体" w:cs="Times New Roman"/>
                <w:b w:val="0"/>
                <w:bCs/>
                <w:color w:val="000000" w:themeColor="text1"/>
                <w:sz w:val="24"/>
                <w:szCs w:val="24"/>
                <w14:textFill>
                  <w14:solidFill>
                    <w14:schemeClr w14:val="tx1"/>
                  </w14:solidFill>
                </w14:textFill>
              </w:rPr>
              <w:t>期间，</w:t>
            </w:r>
            <w:r>
              <w:rPr>
                <w:rFonts w:hint="default" w:ascii="Times New Roman" w:hAnsi="Times New Roman" w:eastAsia="宋体" w:cs="Times New Roman"/>
                <w:color w:val="000000" w:themeColor="text1"/>
                <w:kern w:val="0"/>
                <w:sz w:val="24"/>
                <w:szCs w:val="22"/>
                <w:lang w:val="en-US" w:eastAsia="zh-CN" w:bidi="ar-SA"/>
                <w14:textFill>
                  <w14:solidFill>
                    <w14:schemeClr w14:val="tx1"/>
                  </w14:solidFill>
                </w14:textFill>
              </w:rPr>
              <w:t>本项目</w:t>
            </w:r>
            <w:r>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t>产生的固体废物主要为生活垃圾和一般固废、危险废物</w:t>
            </w:r>
            <w:r>
              <w:rPr>
                <w:rFonts w:hint="default" w:ascii="Times New Roman" w:hAnsi="Times New Roman" w:eastAsia="宋体" w:cs="Times New Roman"/>
                <w:color w:val="000000" w:themeColor="text1"/>
                <w:kern w:val="0"/>
                <w:sz w:val="24"/>
                <w:szCs w:val="22"/>
                <w:lang w:val="en-US" w:eastAsia="zh-CN" w:bidi="ar-SA"/>
                <w14:textFill>
                  <w14:solidFill>
                    <w14:schemeClr w14:val="tx1"/>
                  </w14:solidFill>
                </w14:textFill>
              </w:rPr>
              <w:t>。</w:t>
            </w:r>
          </w:p>
          <w:p>
            <w:pPr>
              <w:pStyle w:val="45"/>
              <w:pageBreakBefore w:val="0"/>
              <w:kinsoku/>
              <w:wordWrap/>
              <w:overflowPunct/>
              <w:topLinePunct w:val="0"/>
              <w:bidi w:val="0"/>
              <w:ind w:firstLine="480"/>
              <w:jc w:val="left"/>
              <w:rPr>
                <w:rFonts w:hint="default" w:ascii="Times New Roman" w:hAnsi="Times New Roman" w:eastAsia="宋体" w:cs="Times New Roman"/>
                <w:color w:val="000000" w:themeColor="text1"/>
                <w:kern w:val="0"/>
                <w:sz w:val="24"/>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lang w:val="en-US" w:eastAsia="zh-CN" w:bidi="ar-SA"/>
                <w14:textFill>
                  <w14:solidFill>
                    <w14:schemeClr w14:val="tx1"/>
                  </w14:solidFill>
                </w14:textFill>
              </w:rPr>
              <w:t>生活垃圾收集后由环卫部门统一清运处理</w:t>
            </w:r>
            <w:r>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2"/>
                <w:lang w:val="en-GB" w:eastAsia="zh-CN" w:bidi="ar-SA"/>
                <w14:textFill>
                  <w14:solidFill>
                    <w14:schemeClr w14:val="tx1"/>
                  </w14:solidFill>
                </w14:textFill>
              </w:rPr>
              <w:t>项目模切、品检、分条过程会产生边角料和不合格品，由相关单位回收利用，不外排</w:t>
            </w:r>
            <w:r>
              <w:rPr>
                <w:rFonts w:hint="default" w:ascii="Times New Roman" w:hAnsi="Times New Roman" w:eastAsia="宋体" w:cs="Times New Roman"/>
                <w:color w:val="000000" w:themeColor="text1"/>
                <w:kern w:val="0"/>
                <w:sz w:val="24"/>
                <w:szCs w:val="22"/>
                <w:lang w:val="en-US" w:eastAsia="zh-CN" w:bidi="ar-SA"/>
                <w14:textFill>
                  <w14:solidFill>
                    <w14:schemeClr w14:val="tx1"/>
                  </w14:solidFill>
                </w14:textFill>
              </w:rPr>
              <w:t>；废酒精抹布</w:t>
            </w:r>
            <w:r>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2"/>
                <w:lang w:val="en-GB" w:eastAsia="zh-CN" w:bidi="ar-SA"/>
                <w14:textFill>
                  <w14:solidFill>
                    <w14:schemeClr w14:val="tx1"/>
                  </w14:solidFill>
                </w14:textFill>
              </w:rPr>
              <w:t>废活性炭</w:t>
            </w:r>
            <w:r>
              <w:rPr>
                <w:rFonts w:hint="eastAsia" w:ascii="Times New Roman" w:hAnsi="Times New Roman" w:eastAsia="宋体" w:cs="Times New Roman"/>
                <w:color w:val="000000" w:themeColor="text1"/>
                <w:kern w:val="0"/>
                <w:sz w:val="24"/>
                <w:szCs w:val="22"/>
                <w:lang w:val="en-GB"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2"/>
                <w:lang w:val="en-GB" w:eastAsia="zh-CN" w:bidi="ar-SA"/>
                <w14:textFill>
                  <w14:solidFill>
                    <w14:schemeClr w14:val="tx1"/>
                  </w14:solidFill>
                </w14:textFill>
              </w:rPr>
              <w:t>废油墨包装罐</w:t>
            </w:r>
            <w:r>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t>属于危险废物，现暂存于危废暂存间，一定量后委托有资质单位处理。</w:t>
            </w:r>
          </w:p>
          <w:bookmarkEnd w:id="8"/>
          <w:p>
            <w:pPr>
              <w:pStyle w:val="36"/>
              <w:numPr>
                <w:ilvl w:val="0"/>
                <w:numId w:val="0"/>
              </w:numPr>
              <w:spacing w:line="360" w:lineRule="auto"/>
              <w:ind w:left="440" w:leftChars="0"/>
              <w:jc w:val="both"/>
              <w:rPr>
                <w:rFonts w:hint="default" w:ascii="Times New Roman" w:hAnsi="Times New Roman" w:eastAsia="宋体" w:cs="Times New Roman"/>
                <w:color w:val="000000" w:themeColor="text1"/>
                <w:lang w:val="en-US"/>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（5）污染物排放总量核算</w:t>
            </w:r>
          </w:p>
          <w:p>
            <w:pPr>
              <w:pStyle w:val="23"/>
              <w:keepNext w:val="0"/>
              <w:keepLines w:val="0"/>
              <w:pageBreakBefore w:val="0"/>
              <w:widowControl/>
              <w:kinsoku/>
              <w:wordWrap/>
              <w:overflowPunct/>
              <w:topLinePunct w:val="0"/>
              <w:autoSpaceDE/>
              <w:autoSpaceDN/>
              <w:bidi w:val="0"/>
              <w:adjustRightInd w:val="0"/>
              <w:snapToGrid w:val="0"/>
              <w:spacing w:after="0" w:line="360" w:lineRule="auto"/>
              <w:ind w:left="0" w:leftChars="0" w:firstLine="448" w:firstLineChars="200"/>
              <w:jc w:val="both"/>
              <w:textAlignment w:val="auto"/>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根据</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检测报告核</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算，</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非甲烷总烃总排放量为0.013t/a。废气污染物排放总量满足环评批复要求：非甲烷总烃排放量0.273t/a。</w:t>
            </w:r>
          </w:p>
          <w:p>
            <w:pPr>
              <w:widowControl w:val="0"/>
              <w:adjustRightInd/>
              <w:snapToGrid/>
              <w:spacing w:line="360" w:lineRule="auto"/>
              <w:ind w:firstLine="480" w:firstLineChars="200"/>
              <w:jc w:val="both"/>
              <w:outlineLvl w:val="1"/>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后续要求：</w:t>
            </w:r>
          </w:p>
          <w:p>
            <w:pPr>
              <w:widowControl w:val="0"/>
              <w:adjustRightInd/>
              <w:snapToGri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（1）严格执行环保“三同时”政策，建立健全环保工作责任制度；</w:t>
            </w:r>
          </w:p>
          <w:p>
            <w:pPr>
              <w:widowControl w:val="0"/>
              <w:adjustRightInd/>
              <w:snapToGri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（2）对高噪设备的降噪措施及厂区布局进行优化。</w:t>
            </w:r>
          </w:p>
          <w:p>
            <w:pPr>
              <w:widowControl w:val="0"/>
              <w:adjustRightInd/>
              <w:snapToGrid/>
              <w:spacing w:line="360" w:lineRule="auto"/>
              <w:ind w:firstLine="480" w:firstLineChars="200"/>
              <w:jc w:val="both"/>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（3）定期维护各项环保设施，确保设施均能够正常运行，使处理效率达到最大化。</w:t>
            </w:r>
          </w:p>
          <w:p>
            <w:pPr>
              <w:widowControl w:val="0"/>
              <w:adjustRightInd/>
              <w:snapToGrid/>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验收结论：</w:t>
            </w:r>
          </w:p>
          <w:p>
            <w:pPr>
              <w:pStyle w:val="36"/>
              <w:spacing w:line="360" w:lineRule="auto"/>
              <w:ind w:firstLine="482" w:firstLineChars="200"/>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根据验收监测报告及现场</w:t>
            </w:r>
            <w:r>
              <w:rPr>
                <w:rFonts w:hint="eastAsia" w:ascii="Times New Roman" w:hAnsi="Times New Roman" w:cs="Times New Roman"/>
                <w:b/>
                <w:bCs/>
                <w:color w:val="000000" w:themeColor="text1"/>
                <w:lang w:val="en-US" w:eastAsia="zh-CN"/>
                <w14:textFill>
                  <w14:solidFill>
                    <w14:schemeClr w14:val="tx1"/>
                  </w14:solidFill>
                </w14:textFill>
              </w:rPr>
              <w:t>踏勘</w:t>
            </w:r>
            <w:r>
              <w:rPr>
                <w:rFonts w:ascii="Times New Roman" w:hAnsi="Times New Roman" w:cs="Times New Roman"/>
                <w:b/>
                <w:bCs/>
                <w:color w:val="000000" w:themeColor="text1"/>
                <w14:textFill>
                  <w14:solidFill>
                    <w14:schemeClr w14:val="tx1"/>
                  </w14:solidFill>
                </w14:textFill>
              </w:rPr>
              <w:t>结果，</w:t>
            </w:r>
            <w:r>
              <w:rPr>
                <w:rFonts w:hint="eastAsia" w:ascii="Times New Roman" w:hAnsi="Times New Roman" w:cs="Times New Roman"/>
                <w:b/>
                <w:bCs/>
                <w:color w:val="000000" w:themeColor="text1"/>
                <w:lang w:val="en-US" w:eastAsia="zh-CN"/>
                <w14:textFill>
                  <w14:solidFill>
                    <w14:schemeClr w14:val="tx1"/>
                  </w14:solidFill>
                </w14:textFill>
              </w:rPr>
              <w:t>福建省金城伟业印刷有限公司金城伟业不干胶标签印刷加工项目</w:t>
            </w:r>
            <w:r>
              <w:rPr>
                <w:rFonts w:ascii="Times New Roman" w:hAnsi="Times New Roman" w:cs="Times New Roman"/>
                <w:b/>
                <w:bCs/>
                <w:color w:val="000000" w:themeColor="text1"/>
                <w14:textFill>
                  <w14:solidFill>
                    <w14:schemeClr w14:val="tx1"/>
                  </w14:solidFill>
                </w14:textFill>
              </w:rPr>
              <w:t>基本落实环保“三同时”制度以及环评批复中提出的各项污染防治措施，各类污染物达标排放，符合环评批复要求。项目不涉及《建设项目竣工环境保护验收暂行办法》第八条规定的不符合情形，符合竣工环保验收条件</w:t>
            </w:r>
            <w:r>
              <w:rPr>
                <w:rFonts w:hint="eastAsia" w:ascii="Times New Roman" w:hAnsi="Times New Roman" w:cs="Times New Roman"/>
                <w:b/>
                <w:bCs/>
                <w:color w:val="000000" w:themeColor="text1"/>
                <w14:textFill>
                  <w14:solidFill>
                    <w14:schemeClr w14:val="tx1"/>
                  </w14:solidFill>
                </w14:textFill>
              </w:rPr>
              <w:t>。</w:t>
            </w:r>
          </w:p>
          <w:p>
            <w:pPr>
              <w:pStyle w:val="36"/>
              <w:spacing w:line="360" w:lineRule="auto"/>
              <w:jc w:val="right"/>
              <w:rPr>
                <w:rFonts w:ascii="Times New Roman" w:hAnsi="Times New Roman" w:cs="Times New Roman"/>
                <w:color w:val="0000FF"/>
                <w:sz w:val="21"/>
                <w:szCs w:val="21"/>
              </w:rPr>
            </w:pPr>
          </w:p>
        </w:tc>
      </w:tr>
    </w:tbl>
    <w:p>
      <w:pPr>
        <w:pStyle w:val="36"/>
        <w:rPr>
          <w:rFonts w:ascii="Times New Roman" w:hAnsi="Times New Roman" w:cs="Times New Roman"/>
          <w:color w:val="0000FF"/>
        </w:rPr>
        <w:sectPr>
          <w:pgSz w:w="11906" w:h="16838"/>
          <w:pgMar w:top="1440" w:right="1440" w:bottom="1440" w:left="1701" w:header="709" w:footer="709" w:gutter="0"/>
          <w:pgBorders>
            <w:top w:val="none" w:sz="0" w:space="0"/>
            <w:left w:val="none" w:sz="0" w:space="0"/>
            <w:bottom w:val="none" w:sz="0" w:space="0"/>
            <w:right w:val="none" w:sz="0" w:space="0"/>
          </w:pgBorders>
          <w:cols w:space="0" w:num="1"/>
          <w:docGrid w:linePitch="312" w:charSpace="0"/>
        </w:sectPr>
      </w:pPr>
    </w:p>
    <w:tbl>
      <w:tblPr>
        <w:tblStyle w:val="25"/>
        <w:tblpPr w:leftFromText="180" w:rightFromText="180" w:vertAnchor="page" w:horzAnchor="page" w:tblpX="616" w:tblpY="1710"/>
        <w:tblW w:w="16019" w:type="dxa"/>
        <w:jc w:val="center"/>
        <w:shd w:val="solid" w:color="FFFFFF" w:themeColor="background1" w:fill="FFFFFF" w:themeFill="background1"/>
        <w:tblLayout w:type="fixed"/>
        <w:tblCellMar>
          <w:top w:w="0" w:type="dxa"/>
          <w:left w:w="108" w:type="dxa"/>
          <w:bottom w:w="0" w:type="dxa"/>
          <w:right w:w="108" w:type="dxa"/>
        </w:tblCellMar>
      </w:tblPr>
      <w:tblGrid>
        <w:gridCol w:w="392"/>
        <w:gridCol w:w="453"/>
        <w:gridCol w:w="1544"/>
        <w:gridCol w:w="327"/>
        <w:gridCol w:w="467"/>
        <w:gridCol w:w="608"/>
        <w:gridCol w:w="424"/>
        <w:gridCol w:w="653"/>
        <w:gridCol w:w="285"/>
        <w:gridCol w:w="401"/>
        <w:gridCol w:w="181"/>
        <w:gridCol w:w="430"/>
        <w:gridCol w:w="665"/>
        <w:gridCol w:w="525"/>
        <w:gridCol w:w="1087"/>
        <w:gridCol w:w="968"/>
        <w:gridCol w:w="2569"/>
        <w:gridCol w:w="828"/>
        <w:gridCol w:w="758"/>
        <w:gridCol w:w="567"/>
        <w:gridCol w:w="653"/>
        <w:gridCol w:w="307"/>
        <w:gridCol w:w="927"/>
      </w:tblGrid>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16019" w:type="dxa"/>
            <w:gridSpan w:val="23"/>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建设项目工程竣工环境保护“三同时”验收登记表</w:t>
            </w:r>
          </w:p>
          <w:p>
            <w:pPr>
              <w:autoSpaceDN w:val="0"/>
              <w:spacing w:line="260" w:lineRule="exact"/>
              <w:jc w:val="left"/>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填表单位（盖章）：</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福建省金城伟业印刷有限公司</w:t>
            </w:r>
            <w:r>
              <w:rPr>
                <w:rFonts w:ascii="Times New Roman" w:hAnsi="Times New Roman" w:eastAsia="宋体" w:cs="Times New Roman"/>
                <w:color w:val="000000" w:themeColor="text1"/>
                <w:sz w:val="18"/>
                <w:szCs w:val="18"/>
                <w14:textFill>
                  <w14:solidFill>
                    <w14:schemeClr w14:val="tx1"/>
                  </w14:solidFill>
                </w14:textFill>
              </w:rPr>
              <w:t xml:space="preserve">           填表人（签字）：                               项目经办人（签字）：</w:t>
            </w:r>
          </w:p>
        </w:tc>
      </w:tr>
      <w:tr>
        <w:tblPrEx>
          <w:shd w:val="solid" w:color="FFFFFF" w:themeColor="background1" w:fill="FFFFFF" w:themeFill="background1"/>
          <w:tblCellMar>
            <w:top w:w="0" w:type="dxa"/>
            <w:left w:w="108" w:type="dxa"/>
            <w:bottom w:w="0" w:type="dxa"/>
            <w:right w:w="108" w:type="dxa"/>
          </w:tblCellMar>
        </w:tblPrEx>
        <w:trPr>
          <w:trHeight w:val="239" w:hRule="atLeast"/>
          <w:jc w:val="center"/>
        </w:trPr>
        <w:tc>
          <w:tcPr>
            <w:tcW w:w="392" w:type="dxa"/>
            <w:vMerge w:val="restart"/>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建 设 项 目</w:t>
            </w: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项目名称</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金城伟业不干胶标签印刷加工项目</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项目代码</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建设地点</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福建省漳州市云霄县云陵工业开发区大埔473号</w:t>
            </w:r>
          </w:p>
        </w:tc>
      </w:tr>
      <w:tr>
        <w:tblPrEx>
          <w:shd w:val="solid" w:color="FFFFFF" w:themeColor="background1" w:fill="FFFFFF" w:themeFill="background1"/>
          <w:tblCellMar>
            <w:top w:w="0" w:type="dxa"/>
            <w:left w:w="108" w:type="dxa"/>
            <w:bottom w:w="0" w:type="dxa"/>
            <w:right w:w="108" w:type="dxa"/>
          </w:tblCellMar>
        </w:tblPrEx>
        <w:trPr>
          <w:trHeight w:val="249"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行业类别（分类管理名录）</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建设性质</w:t>
            </w:r>
          </w:p>
        </w:tc>
        <w:tc>
          <w:tcPr>
            <w:tcW w:w="6609" w:type="dxa"/>
            <w:gridSpan w:val="7"/>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 xml:space="preserve">  新建√   改扩建    技术改造    </w:t>
            </w:r>
          </w:p>
        </w:tc>
      </w:tr>
      <w:tr>
        <w:tblPrEx>
          <w:shd w:val="solid" w:color="FFFFFF" w:themeColor="background1" w:fill="FFFFFF" w:themeFill="background1"/>
          <w:tblCellMar>
            <w:top w:w="0" w:type="dxa"/>
            <w:left w:w="108" w:type="dxa"/>
            <w:bottom w:w="0" w:type="dxa"/>
            <w:right w:w="108" w:type="dxa"/>
          </w:tblCellMar>
        </w:tblPrEx>
        <w:trPr>
          <w:trHeight w:val="405"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建设规模</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年印刷不干胶标签330t</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实际产能</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年印刷不干胶标签330t</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环评单位</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福建华力翔环境技术有限公司</w:t>
            </w:r>
          </w:p>
        </w:tc>
      </w:tr>
      <w:tr>
        <w:tblPrEx>
          <w:shd w:val="solid" w:color="FFFFFF" w:themeColor="background1" w:fill="FFFFFF" w:themeFill="background1"/>
          <w:tblCellMar>
            <w:top w:w="0" w:type="dxa"/>
            <w:left w:w="108" w:type="dxa"/>
            <w:bottom w:w="0" w:type="dxa"/>
            <w:right w:w="108" w:type="dxa"/>
          </w:tblCellMar>
        </w:tblPrEx>
        <w:trPr>
          <w:trHeight w:val="90"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环评文件审批机关</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漳州市云霄生态环境局</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审批文号</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漳云环审【2020】11号</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环评文件类型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报告表</w:t>
            </w:r>
          </w:p>
        </w:tc>
      </w:tr>
      <w:tr>
        <w:tblPrEx>
          <w:shd w:val="solid" w:color="FFFFFF" w:themeColor="background1" w:fill="FFFFFF" w:themeFill="background1"/>
          <w:tblCellMar>
            <w:top w:w="0" w:type="dxa"/>
            <w:left w:w="108" w:type="dxa"/>
            <w:bottom w:w="0" w:type="dxa"/>
            <w:right w:w="108" w:type="dxa"/>
          </w:tblCellMar>
        </w:tblPrEx>
        <w:trPr>
          <w:trHeight w:val="90"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开工日期</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ascii="Times New Roman" w:hAnsi="Times New Roman" w:eastAsia="宋体" w:cs="Times New Roman"/>
                <w:color w:val="000000" w:themeColor="text1"/>
                <w:sz w:val="18"/>
                <w:szCs w:val="18"/>
                <w:lang w:eastAsia="zh-CN"/>
                <w14:textFill>
                  <w14:solidFill>
                    <w14:schemeClr w14:val="tx1"/>
                  </w14:solidFill>
                </w14:textFill>
              </w:rPr>
              <w:t>2021年4月</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竣工日期</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2021年8月</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排污许可证申领时间</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20210928</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环保设施设计单位</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自建</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环保设施施工单位</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自建</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本工程排污许可证编号</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91350622MA356R7M83001Z</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验收单位</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福建省金城伟业印刷有限公司</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环保设施监测单位</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厦门威正</w:t>
            </w:r>
            <w:r>
              <w:rPr>
                <w:rFonts w:hint="eastAsia" w:ascii="Times New Roman" w:hAnsi="Times New Roman" w:eastAsia="宋体" w:cs="Times New Roman"/>
                <w:color w:val="000000" w:themeColor="text1"/>
                <w:sz w:val="18"/>
                <w:szCs w:val="18"/>
                <w:lang w:eastAsia="zh-CN"/>
                <w14:textFill>
                  <w14:solidFill>
                    <w14:schemeClr w14:val="tx1"/>
                  </w14:solidFill>
                </w14:textFill>
              </w:rPr>
              <w:t>检测技术有限公司</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验收监测时工况</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≥75%</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投资总概算（万元）</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1000</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环保投资总概算（万元）</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所占比例（%）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实际总投资（万元）</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1000</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实际环保投资（万元）</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25</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所占比例（%）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2.5%</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废水治理（万元）</w:t>
            </w:r>
          </w:p>
        </w:tc>
        <w:tc>
          <w:tcPr>
            <w:tcW w:w="107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tabs>
                <w:tab w:val="left" w:pos="270"/>
                <w:tab w:val="center" w:pos="489"/>
              </w:tabs>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3</w:t>
            </w:r>
          </w:p>
        </w:tc>
        <w:tc>
          <w:tcPr>
            <w:tcW w:w="1077"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废气治理（万元）</w:t>
            </w:r>
          </w:p>
        </w:tc>
        <w:tc>
          <w:tcPr>
            <w:tcW w:w="867"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7</w:t>
            </w:r>
          </w:p>
        </w:tc>
        <w:tc>
          <w:tcPr>
            <w:tcW w:w="109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噪声治理（万元）</w:t>
            </w:r>
          </w:p>
        </w:tc>
        <w:tc>
          <w:tcPr>
            <w:tcW w:w="52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固体废物治理（万元）</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3</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绿化及生态（万元）</w:t>
            </w:r>
          </w:p>
        </w:tc>
        <w:tc>
          <w:tcPr>
            <w:tcW w:w="56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w:t>
            </w:r>
          </w:p>
        </w:tc>
        <w:tc>
          <w:tcPr>
            <w:tcW w:w="96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其它（万元）</w:t>
            </w:r>
          </w:p>
        </w:tc>
        <w:tc>
          <w:tcPr>
            <w:tcW w:w="92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8</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新增废水处理设施能力</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新增废气处理设施能力</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2156.4</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年平均工作时</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2400</w:t>
            </w:r>
          </w:p>
        </w:tc>
      </w:tr>
      <w:tr>
        <w:tblPrEx>
          <w:shd w:val="solid" w:color="FFFFFF" w:themeColor="background1" w:fill="FFFFFF" w:themeFill="background1"/>
          <w:tblCellMar>
            <w:top w:w="0" w:type="dxa"/>
            <w:left w:w="108" w:type="dxa"/>
            <w:bottom w:w="0" w:type="dxa"/>
            <w:right w:w="108" w:type="dxa"/>
          </w:tblCellMar>
        </w:tblPrEx>
        <w:trPr>
          <w:trHeight w:val="249" w:hRule="atLeast"/>
          <w:jc w:val="center"/>
        </w:trPr>
        <w:tc>
          <w:tcPr>
            <w:tcW w:w="2716"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运营单位</w:t>
            </w:r>
          </w:p>
        </w:tc>
        <w:tc>
          <w:tcPr>
            <w:tcW w:w="2838" w:type="dxa"/>
            <w:gridSpan w:val="6"/>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000000" w:themeColor="text1"/>
                <w:sz w:val="18"/>
                <w:szCs w:val="18"/>
                <w:shd w:val="solid" w:color="FFFFFF" w:themeColor="background1" w:fill="FFFFFF" w:themeFill="background1"/>
                <w:lang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福建省金城伟业印刷有限公司</w:t>
            </w:r>
          </w:p>
        </w:tc>
        <w:tc>
          <w:tcPr>
            <w:tcW w:w="3856" w:type="dxa"/>
            <w:gridSpan w:val="6"/>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运营单位社会统一信用代码（或组织机构代码）</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91350622MA356R7M83</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验收时间</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spacing w:line="280" w:lineRule="exact"/>
              <w:jc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p>
        </w:tc>
      </w:tr>
      <w:tr>
        <w:tblPrEx>
          <w:shd w:val="solid" w:color="FFFFFF" w:themeColor="background1" w:fill="FFFFFF" w:themeFill="background1"/>
          <w:tblCellMar>
            <w:top w:w="0" w:type="dxa"/>
            <w:left w:w="108" w:type="dxa"/>
            <w:bottom w:w="0" w:type="dxa"/>
            <w:right w:w="108" w:type="dxa"/>
          </w:tblCellMar>
        </w:tblPrEx>
        <w:trPr>
          <w:trHeight w:val="992" w:hRule="atLeast"/>
          <w:jc w:val="center"/>
        </w:trPr>
        <w:tc>
          <w:tcPr>
            <w:tcW w:w="845" w:type="dxa"/>
            <w:gridSpan w:val="2"/>
            <w:vMerge w:val="restart"/>
            <w:tcBorders>
              <w:top w:val="single" w:color="000000" w:sz="4" w:space="0"/>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adjustRightInd/>
              <w:snapToGrid/>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污染</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物排</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放达</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标与</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总量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控制</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（工</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业建</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设项</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目详</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填）</w:t>
            </w: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污染物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原有排放量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（1）</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本期工程实际排放浓度</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（2）</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本期工程允许排放浓度</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（3）</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本期工程产生量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（4）</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本期工程自身削减量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（5）</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本期工程实际排放量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（6）</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本期工程核定排放总量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（7）</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本期工程“以新带老”削减量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（8）</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全厂实际排放总量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（9）</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全厂核定排放总量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（10）</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区域平衡替代削减量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（11）</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排放增</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减量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（12）</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废水</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 xml:space="preserve">化学需氧量 </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氨氮</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90"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废气</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bookmarkStart w:id="9" w:name="_GoBack"/>
            <w:bookmarkEnd w:id="9"/>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2156.4</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颗粒物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bidi="ar-SA"/>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bidi="ar-SA"/>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bidi="ar-SA"/>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bidi="ar-SA"/>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bidi="ar-SA"/>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245"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二氧化硫</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93"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氮氧化物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93" w:hRule="atLeast"/>
          <w:jc w:val="center"/>
        </w:trPr>
        <w:tc>
          <w:tcPr>
            <w:tcW w:w="845" w:type="dxa"/>
            <w:gridSpan w:val="2"/>
            <w:vMerge w:val="continue"/>
            <w:tcBorders>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非甲烷总烃</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0.625</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50</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0.036</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0.023</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0.013</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bl>
    <w:p>
      <w:pPr>
        <w:pStyle w:val="36"/>
        <w:rPr>
          <w:rFonts w:ascii="Times New Roman" w:hAnsi="Times New Roman" w:cs="Times New Roman"/>
          <w:color w:val="0000FF"/>
        </w:rPr>
        <w:sectPr>
          <w:pgSz w:w="16838" w:h="11906" w:orient="landscape"/>
          <w:pgMar w:top="1701" w:right="1440" w:bottom="1440" w:left="1440" w:header="709" w:footer="709" w:gutter="0"/>
          <w:pgBorders>
            <w:top w:val="none" w:sz="0" w:space="0"/>
            <w:left w:val="none" w:sz="0" w:space="0"/>
            <w:bottom w:val="none" w:sz="0" w:space="0"/>
            <w:right w:val="none" w:sz="0" w:space="0"/>
          </w:pgBorders>
          <w:cols w:space="0" w:num="1"/>
          <w:docGrid w:linePitch="312" w:charSpace="0"/>
        </w:sectPr>
      </w:pPr>
      <w:r>
        <w:rPr>
          <w:rFonts w:ascii="Times New Roman" w:hAnsi="Times New Roman" w:cs="Times New Roman"/>
          <w:color w:val="000000" w:themeColor="text1"/>
          <w:sz w:val="18"/>
          <w14:textFill>
            <w14:solidFill>
              <w14:schemeClr w14:val="tx1"/>
            </w14:solidFill>
          </w14:textFill>
        </w:rPr>
        <w:t>注：1、排放增减量：（+）表示增加，（-）表示减少。2、(12)=(6)-(8)-(11)，（9）= (4)-(5)-(8)-(11)+（1）。3、计量单位：废水排放量——万吨/年；废气排放量——万标立方米/年；工业固体废物排放量——万吨/年； 水污染物排放浓度——毫克/升；大气污染物排放浓度——毫克/立方米；水污染排放量——吨/年；大气污染物排放量——吨/年附图</w:t>
      </w:r>
    </w:p>
    <w:p>
      <w:pPr>
        <w:pStyle w:val="24"/>
        <w:ind w:firstLine="0"/>
        <w:jc w:val="left"/>
        <w:outlineLvl w:val="1"/>
        <w:rPr>
          <w:rFonts w:ascii="Times New Roman" w:hAnsi="Times New Roman" w:eastAsia="宋体" w:cs="Times New Roman"/>
          <w:b/>
          <w:bCs/>
          <w:color w:val="000000" w:themeColor="text1"/>
          <w:sz w:val="28"/>
          <w:szCs w:val="24"/>
          <w14:textFill>
            <w14:solidFill>
              <w14:schemeClr w14:val="tx1"/>
            </w14:solidFill>
          </w14:textFill>
        </w:rPr>
      </w:pPr>
      <w:r>
        <w:rPr>
          <w:rFonts w:ascii="Times New Roman" w:hAnsi="Times New Roman" w:eastAsia="宋体" w:cs="Times New Roman"/>
          <w:b/>
          <w:bCs/>
          <w:color w:val="000000" w:themeColor="text1"/>
          <w:sz w:val="28"/>
          <w:szCs w:val="24"/>
          <w14:textFill>
            <w14:solidFill>
              <w14:schemeClr w14:val="tx1"/>
            </w14:solidFill>
          </w14:textFill>
        </w:rPr>
        <w:t>附图1：项目地理位置图</w:t>
      </w:r>
    </w:p>
    <w:p>
      <w:pPr>
        <w:pStyle w:val="24"/>
        <w:ind w:firstLine="0"/>
        <w:jc w:val="both"/>
        <w:outlineLvl w:val="1"/>
        <w:rPr>
          <w:rFonts w:ascii="Times New Roman" w:hAnsi="Times New Roman" w:eastAsia="宋体" w:cs="Times New Roman"/>
          <w:color w:val="0000FF"/>
          <w:sz w:val="28"/>
          <w:szCs w:val="24"/>
        </w:rPr>
        <w:sectPr>
          <w:headerReference r:id="rId6" w:type="default"/>
          <w:footerReference r:id="rId7" w:type="default"/>
          <w:pgSz w:w="11906" w:h="16838"/>
          <w:pgMar w:top="1440" w:right="1440" w:bottom="1440" w:left="1701" w:header="709" w:footer="709" w:gutter="0"/>
          <w:pgBorders>
            <w:top w:val="none" w:sz="0" w:space="0"/>
            <w:left w:val="none" w:sz="0" w:space="0"/>
            <w:bottom w:val="none" w:sz="0" w:space="0"/>
            <w:right w:val="none" w:sz="0" w:space="0"/>
          </w:pgBorders>
          <w:cols w:space="0" w:num="1"/>
          <w:docGrid w:linePitch="312" w:charSpace="0"/>
        </w:sectPr>
      </w:pPr>
      <w:r>
        <w:drawing>
          <wp:inline distT="0" distB="0" distL="114300" distR="114300">
            <wp:extent cx="8439150" cy="5251450"/>
            <wp:effectExtent l="0" t="0" r="6350"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3"/>
                    <a:stretch>
                      <a:fillRect/>
                    </a:stretch>
                  </pic:blipFill>
                  <pic:spPr>
                    <a:xfrm rot="16200000">
                      <a:off x="0" y="0"/>
                      <a:ext cx="8439150" cy="5251450"/>
                    </a:xfrm>
                    <a:prstGeom prst="rect">
                      <a:avLst/>
                    </a:prstGeom>
                    <a:noFill/>
                    <a:ln>
                      <a:noFill/>
                    </a:ln>
                  </pic:spPr>
                </pic:pic>
              </a:graphicData>
            </a:graphic>
          </wp:inline>
        </w:drawing>
      </w:r>
    </w:p>
    <w:p>
      <w:pPr>
        <w:pStyle w:val="24"/>
        <w:ind w:firstLine="0"/>
        <w:jc w:val="both"/>
        <w:outlineLvl w:val="1"/>
        <w:rPr>
          <w:rFonts w:hint="eastAsia" w:ascii="Times New Roman" w:hAnsi="Times New Roman" w:eastAsia="宋体" w:cs="Times New Roman"/>
          <w:b/>
          <w:bCs/>
          <w:color w:val="000000" w:themeColor="text1"/>
          <w:sz w:val="28"/>
          <w:szCs w:val="24"/>
          <w14:textFill>
            <w14:solidFill>
              <w14:schemeClr w14:val="tx1"/>
            </w14:solidFill>
          </w14:textFill>
        </w:rPr>
      </w:pPr>
      <w:r>
        <w:rPr>
          <w:rFonts w:hint="eastAsia" w:ascii="Times New Roman" w:hAnsi="Times New Roman" w:eastAsia="宋体" w:cs="Times New Roman"/>
          <w:b/>
          <w:bCs/>
          <w:color w:val="000000" w:themeColor="text1"/>
          <w:sz w:val="28"/>
          <w:szCs w:val="24"/>
          <w14:textFill>
            <w14:solidFill>
              <w14:schemeClr w14:val="tx1"/>
            </w14:solidFill>
          </w14:textFill>
        </w:rPr>
        <w:t>附图2 项目周边环境示意图</w:t>
      </w:r>
    </w:p>
    <w:p>
      <w:pPr>
        <w:pStyle w:val="24"/>
        <w:keepNext w:val="0"/>
        <w:keepLines w:val="0"/>
        <w:pageBreakBefore w:val="0"/>
        <w:widowControl/>
        <w:kinsoku/>
        <w:wordWrap/>
        <w:overflowPunct/>
        <w:topLinePunct w:val="0"/>
        <w:autoSpaceDE/>
        <w:autoSpaceDN/>
        <w:bidi w:val="0"/>
        <w:adjustRightInd w:val="0"/>
        <w:snapToGrid w:val="0"/>
        <w:ind w:firstLine="0"/>
        <w:jc w:val="both"/>
        <w:textAlignment w:val="auto"/>
        <w:outlineLvl w:val="9"/>
        <w:rPr>
          <w:color w:val="0000FF"/>
        </w:rPr>
      </w:pPr>
      <w:r>
        <w:drawing>
          <wp:inline distT="0" distB="0" distL="114300" distR="114300">
            <wp:extent cx="8848725" cy="5010150"/>
            <wp:effectExtent l="0" t="0" r="9525"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4"/>
                    <a:stretch>
                      <a:fillRect/>
                    </a:stretch>
                  </pic:blipFill>
                  <pic:spPr>
                    <a:xfrm>
                      <a:off x="0" y="0"/>
                      <a:ext cx="8848725" cy="5010150"/>
                    </a:xfrm>
                    <a:prstGeom prst="rect">
                      <a:avLst/>
                    </a:prstGeom>
                    <a:noFill/>
                    <a:ln>
                      <a:noFill/>
                    </a:ln>
                  </pic:spPr>
                </pic:pic>
              </a:graphicData>
            </a:graphic>
          </wp:inline>
        </w:drawing>
      </w:r>
    </w:p>
    <w:p>
      <w:pPr>
        <w:pStyle w:val="24"/>
        <w:keepNext w:val="0"/>
        <w:keepLines w:val="0"/>
        <w:pageBreakBefore w:val="0"/>
        <w:widowControl/>
        <w:kinsoku/>
        <w:wordWrap/>
        <w:overflowPunct/>
        <w:topLinePunct w:val="0"/>
        <w:autoSpaceDE/>
        <w:autoSpaceDN/>
        <w:bidi w:val="0"/>
        <w:adjustRightInd w:val="0"/>
        <w:snapToGrid w:val="0"/>
        <w:ind w:firstLine="0"/>
        <w:jc w:val="both"/>
        <w:textAlignment w:val="auto"/>
        <w:outlineLvl w:val="9"/>
        <w:rPr>
          <w:rFonts w:hint="eastAsia" w:ascii="Times New Roman" w:hAnsi="Times New Roman" w:eastAsia="宋体" w:cs="Times New Roman"/>
          <w:color w:val="0000FF"/>
          <w:sz w:val="28"/>
          <w:szCs w:val="24"/>
        </w:rPr>
      </w:pPr>
    </w:p>
    <w:p>
      <w:pPr>
        <w:pStyle w:val="24"/>
        <w:keepNext w:val="0"/>
        <w:keepLines w:val="0"/>
        <w:pageBreakBefore w:val="0"/>
        <w:widowControl/>
        <w:kinsoku/>
        <w:wordWrap/>
        <w:overflowPunct/>
        <w:topLinePunct w:val="0"/>
        <w:autoSpaceDE/>
        <w:autoSpaceDN/>
        <w:bidi w:val="0"/>
        <w:adjustRightInd w:val="0"/>
        <w:snapToGrid w:val="0"/>
        <w:ind w:firstLine="0"/>
        <w:jc w:val="both"/>
        <w:textAlignment w:val="auto"/>
        <w:outlineLvl w:val="9"/>
        <w:rPr>
          <w:rFonts w:hint="eastAsia" w:ascii="Times New Roman" w:hAnsi="Times New Roman" w:eastAsia="宋体" w:cs="Times New Roman"/>
          <w:color w:val="0000FF"/>
          <w:sz w:val="28"/>
          <w:szCs w:val="24"/>
        </w:rPr>
      </w:pPr>
    </w:p>
    <w:p>
      <w:pPr>
        <w:pStyle w:val="24"/>
        <w:ind w:firstLine="0"/>
        <w:jc w:val="both"/>
        <w:outlineLvl w:val="1"/>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8"/>
          <w:szCs w:val="24"/>
          <w14:textFill>
            <w14:solidFill>
              <w14:schemeClr w14:val="tx1"/>
            </w14:solidFill>
          </w14:textFill>
        </w:rPr>
        <w:t>附图</w:t>
      </w:r>
      <w:r>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t>3</w:t>
      </w:r>
      <w:r>
        <w:rPr>
          <w:rFonts w:hint="eastAsia" w:ascii="Times New Roman" w:hAnsi="Times New Roman" w:eastAsia="宋体" w:cs="Times New Roman"/>
          <w:b/>
          <w:bCs/>
          <w:color w:val="000000" w:themeColor="text1"/>
          <w:sz w:val="28"/>
          <w:szCs w:val="24"/>
          <w14:textFill>
            <w14:solidFill>
              <w14:schemeClr w14:val="tx1"/>
            </w14:solidFill>
          </w14:textFill>
        </w:rPr>
        <w:t xml:space="preserve"> 项目</w:t>
      </w:r>
      <w:r>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t>平面布置图</w:t>
      </w:r>
    </w:p>
    <w:p>
      <w:pPr>
        <w:pStyle w:val="24"/>
        <w:keepNext w:val="0"/>
        <w:keepLines w:val="0"/>
        <w:pageBreakBefore w:val="0"/>
        <w:widowControl/>
        <w:kinsoku/>
        <w:wordWrap/>
        <w:overflowPunct/>
        <w:topLinePunct w:val="0"/>
        <w:autoSpaceDE/>
        <w:autoSpaceDN/>
        <w:bidi w:val="0"/>
        <w:adjustRightInd w:val="0"/>
        <w:snapToGrid w:val="0"/>
        <w:ind w:firstLine="0"/>
        <w:jc w:val="both"/>
        <w:textAlignment w:val="auto"/>
        <w:outlineLvl w:val="9"/>
        <w:rPr>
          <w:rFonts w:hint="eastAsia" w:ascii="Times New Roman" w:hAnsi="Times New Roman" w:eastAsia="宋体" w:cs="Times New Roman"/>
          <w:color w:val="0000FF"/>
          <w:sz w:val="28"/>
          <w:szCs w:val="24"/>
          <w:lang w:val="en-US" w:eastAsia="zh-CN"/>
        </w:rPr>
      </w:pPr>
      <w:r>
        <w:drawing>
          <wp:inline distT="0" distB="0" distL="114300" distR="114300">
            <wp:extent cx="8829675" cy="4152900"/>
            <wp:effectExtent l="0" t="0" r="9525" b="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5"/>
                    <a:stretch>
                      <a:fillRect/>
                    </a:stretch>
                  </pic:blipFill>
                  <pic:spPr>
                    <a:xfrm>
                      <a:off x="0" y="0"/>
                      <a:ext cx="8829675" cy="4152900"/>
                    </a:xfrm>
                    <a:prstGeom prst="rect">
                      <a:avLst/>
                    </a:prstGeom>
                    <a:noFill/>
                    <a:ln>
                      <a:noFill/>
                    </a:ln>
                  </pic:spPr>
                </pic:pic>
              </a:graphicData>
            </a:graphic>
          </wp:inline>
        </w:drawing>
      </w:r>
    </w:p>
    <w:p>
      <w:pPr>
        <w:pStyle w:val="24"/>
        <w:keepNext w:val="0"/>
        <w:keepLines w:val="0"/>
        <w:pageBreakBefore w:val="0"/>
        <w:widowControl/>
        <w:kinsoku/>
        <w:wordWrap/>
        <w:overflowPunct/>
        <w:topLinePunct w:val="0"/>
        <w:autoSpaceDE/>
        <w:autoSpaceDN/>
        <w:bidi w:val="0"/>
        <w:adjustRightInd w:val="0"/>
        <w:snapToGrid w:val="0"/>
        <w:ind w:firstLine="0"/>
        <w:jc w:val="both"/>
        <w:textAlignment w:val="auto"/>
        <w:outlineLvl w:val="9"/>
        <w:rPr>
          <w:rFonts w:hint="eastAsia" w:ascii="Times New Roman" w:hAnsi="Times New Roman" w:eastAsia="宋体" w:cs="Times New Roman"/>
          <w:color w:val="0000FF"/>
          <w:sz w:val="28"/>
          <w:szCs w:val="24"/>
        </w:rPr>
      </w:pPr>
    </w:p>
    <w:p>
      <w:pPr>
        <w:pStyle w:val="24"/>
        <w:keepNext w:val="0"/>
        <w:keepLines w:val="0"/>
        <w:pageBreakBefore w:val="0"/>
        <w:widowControl/>
        <w:kinsoku/>
        <w:wordWrap/>
        <w:overflowPunct/>
        <w:topLinePunct w:val="0"/>
        <w:autoSpaceDE/>
        <w:autoSpaceDN/>
        <w:bidi w:val="0"/>
        <w:adjustRightInd w:val="0"/>
        <w:snapToGrid w:val="0"/>
        <w:ind w:firstLine="0"/>
        <w:jc w:val="both"/>
        <w:textAlignment w:val="auto"/>
        <w:outlineLvl w:val="9"/>
        <w:rPr>
          <w:rFonts w:ascii="Times New Roman" w:hAnsi="Times New Roman" w:eastAsia="宋体" w:cs="Times New Roman"/>
          <w:b/>
          <w:bCs/>
          <w:color w:val="0000FF"/>
          <w:sz w:val="28"/>
          <w:szCs w:val="24"/>
        </w:rPr>
        <w:sectPr>
          <w:pgSz w:w="16838" w:h="11906" w:orient="landscape"/>
          <w:pgMar w:top="1417" w:right="1440" w:bottom="1440" w:left="1440" w:header="709" w:footer="709" w:gutter="0"/>
          <w:pgBorders>
            <w:top w:val="none" w:sz="0" w:space="0"/>
            <w:left w:val="none" w:sz="0" w:space="0"/>
            <w:bottom w:val="none" w:sz="0" w:space="0"/>
            <w:right w:val="none" w:sz="0" w:space="0"/>
          </w:pgBorders>
          <w:cols w:space="0" w:num="1"/>
          <w:docGrid w:linePitch="312" w:charSpace="0"/>
        </w:sectPr>
      </w:pPr>
    </w:p>
    <w:p>
      <w:pPr>
        <w:pStyle w:val="24"/>
        <w:ind w:firstLine="0"/>
        <w:jc w:val="both"/>
        <w:outlineLvl w:val="1"/>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pPr>
      <w:r>
        <w:rPr>
          <w:rFonts w:ascii="Times New Roman" w:hAnsi="Times New Roman" w:eastAsia="宋体" w:cs="Times New Roman"/>
          <w:b/>
          <w:bCs/>
          <w:color w:val="000000" w:themeColor="text1"/>
          <w:sz w:val="28"/>
          <w:szCs w:val="24"/>
          <w14:textFill>
            <w14:solidFill>
              <w14:schemeClr w14:val="tx1"/>
            </w14:solidFill>
          </w14:textFill>
        </w:rPr>
        <w:t>附件</w:t>
      </w:r>
      <w:r>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t>1</w:t>
      </w:r>
      <w:r>
        <w:rPr>
          <w:rFonts w:ascii="Times New Roman" w:hAnsi="Times New Roman" w:eastAsia="宋体" w:cs="Times New Roman"/>
          <w:b/>
          <w:bCs/>
          <w:color w:val="000000" w:themeColor="text1"/>
          <w:sz w:val="28"/>
          <w:szCs w:val="24"/>
          <w14:textFill>
            <w14:solidFill>
              <w14:schemeClr w14:val="tx1"/>
            </w14:solidFill>
          </w14:textFill>
        </w:rPr>
        <w:t>：</w:t>
      </w:r>
      <w:r>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t>环评批复</w:t>
      </w:r>
    </w:p>
    <w:p>
      <w:pPr>
        <w:pStyle w:val="24"/>
        <w:ind w:firstLine="0"/>
        <w:jc w:val="both"/>
        <w:outlineLvl w:val="1"/>
        <w:rPr>
          <w:rFonts w:hint="eastAsia" w:ascii="Times New Roman" w:hAnsi="Times New Roman" w:eastAsia="宋体" w:cs="Times New Roman"/>
          <w:b/>
          <w:bCs/>
          <w:color w:val="0000FF"/>
          <w:sz w:val="28"/>
          <w:szCs w:val="24"/>
          <w:lang w:val="en-US" w:eastAsia="zh-CN"/>
        </w:rPr>
      </w:pPr>
      <w:r>
        <w:drawing>
          <wp:inline distT="0" distB="0" distL="114300" distR="114300">
            <wp:extent cx="5685790" cy="8021955"/>
            <wp:effectExtent l="0" t="0" r="1016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685790" cy="8021955"/>
                    </a:xfrm>
                    <a:prstGeom prst="rect">
                      <a:avLst/>
                    </a:prstGeom>
                    <a:noFill/>
                    <a:ln>
                      <a:noFill/>
                    </a:ln>
                  </pic:spPr>
                </pic:pic>
              </a:graphicData>
            </a:graphic>
          </wp:inline>
        </w:drawing>
      </w:r>
    </w:p>
    <w:p>
      <w:pPr>
        <w:pStyle w:val="24"/>
        <w:keepNext w:val="0"/>
        <w:keepLines w:val="0"/>
        <w:pageBreakBefore w:val="0"/>
        <w:widowControl/>
        <w:kinsoku/>
        <w:wordWrap/>
        <w:overflowPunct/>
        <w:topLinePunct w:val="0"/>
        <w:autoSpaceDE/>
        <w:autoSpaceDN/>
        <w:bidi w:val="0"/>
        <w:adjustRightInd w:val="0"/>
        <w:snapToGrid w:val="0"/>
        <w:ind w:firstLine="0"/>
        <w:jc w:val="both"/>
        <w:textAlignment w:val="auto"/>
        <w:outlineLvl w:val="9"/>
        <w:rPr>
          <w:rFonts w:hint="eastAsia" w:ascii="Times New Roman" w:hAnsi="Times New Roman" w:eastAsia="宋体" w:cs="Times New Roman"/>
          <w:color w:val="0000FF"/>
          <w:sz w:val="28"/>
          <w:szCs w:val="24"/>
          <w:lang w:val="en-US" w:eastAsia="zh-CN"/>
        </w:rPr>
      </w:pPr>
      <w:r>
        <w:drawing>
          <wp:inline distT="0" distB="0" distL="114300" distR="114300">
            <wp:extent cx="5683885" cy="7726680"/>
            <wp:effectExtent l="0" t="0" r="1206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5683885" cy="7726680"/>
                    </a:xfrm>
                    <a:prstGeom prst="rect">
                      <a:avLst/>
                    </a:prstGeom>
                    <a:noFill/>
                    <a:ln>
                      <a:noFill/>
                    </a:ln>
                  </pic:spPr>
                </pic:pic>
              </a:graphicData>
            </a:graphic>
          </wp:inline>
        </w:drawing>
      </w:r>
      <w:r>
        <w:drawing>
          <wp:inline distT="0" distB="0" distL="114300" distR="114300">
            <wp:extent cx="5683250" cy="8042910"/>
            <wp:effectExtent l="0" t="0" r="12700"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5683250" cy="8042910"/>
                    </a:xfrm>
                    <a:prstGeom prst="rect">
                      <a:avLst/>
                    </a:prstGeom>
                    <a:noFill/>
                    <a:ln>
                      <a:noFill/>
                    </a:ln>
                  </pic:spPr>
                </pic:pic>
              </a:graphicData>
            </a:graphic>
          </wp:inline>
        </w:drawing>
      </w:r>
      <w:r>
        <w:drawing>
          <wp:inline distT="0" distB="0" distL="114300" distR="114300">
            <wp:extent cx="5687695" cy="8094345"/>
            <wp:effectExtent l="0" t="0" r="8255"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9"/>
                    <a:stretch>
                      <a:fillRect/>
                    </a:stretch>
                  </pic:blipFill>
                  <pic:spPr>
                    <a:xfrm>
                      <a:off x="0" y="0"/>
                      <a:ext cx="5687695" cy="8094345"/>
                    </a:xfrm>
                    <a:prstGeom prst="rect">
                      <a:avLst/>
                    </a:prstGeom>
                    <a:noFill/>
                    <a:ln>
                      <a:noFill/>
                    </a:ln>
                  </pic:spPr>
                </pic:pic>
              </a:graphicData>
            </a:graphic>
          </wp:inline>
        </w:drawing>
      </w:r>
    </w:p>
    <w:p>
      <w:pPr>
        <w:pStyle w:val="24"/>
        <w:ind w:firstLine="0"/>
        <w:jc w:val="both"/>
        <w:outlineLvl w:val="1"/>
        <w:rPr>
          <w:rFonts w:ascii="Times New Roman" w:hAnsi="Times New Roman" w:eastAsia="宋体" w:cs="Times New Roman"/>
          <w:b/>
          <w:bCs/>
          <w:color w:val="0000FF"/>
          <w:sz w:val="28"/>
          <w:szCs w:val="24"/>
        </w:rPr>
      </w:pPr>
    </w:p>
    <w:p>
      <w:pPr>
        <w:pStyle w:val="24"/>
        <w:ind w:firstLine="0"/>
        <w:jc w:val="both"/>
        <w:outlineLvl w:val="1"/>
        <w:rPr>
          <w:rFonts w:ascii="Times New Roman" w:hAnsi="Times New Roman" w:eastAsia="宋体" w:cs="Times New Roman"/>
          <w:b/>
          <w:bCs/>
          <w:color w:val="0000FF"/>
          <w:sz w:val="28"/>
          <w:szCs w:val="24"/>
        </w:rPr>
      </w:pPr>
    </w:p>
    <w:p>
      <w:pPr>
        <w:pStyle w:val="24"/>
        <w:ind w:firstLine="0"/>
        <w:jc w:val="both"/>
        <w:outlineLvl w:val="1"/>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pPr>
      <w:r>
        <w:rPr>
          <w:rFonts w:ascii="Times New Roman" w:hAnsi="Times New Roman" w:eastAsia="宋体" w:cs="Times New Roman"/>
          <w:b/>
          <w:bCs/>
          <w:color w:val="000000" w:themeColor="text1"/>
          <w:sz w:val="28"/>
          <w:szCs w:val="24"/>
          <w14:textFill>
            <w14:solidFill>
              <w14:schemeClr w14:val="tx1"/>
            </w14:solidFill>
          </w14:textFill>
        </w:rPr>
        <w:t>附件</w:t>
      </w:r>
      <w:r>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t>2</w:t>
      </w:r>
      <w:r>
        <w:rPr>
          <w:rFonts w:ascii="Times New Roman" w:hAnsi="Times New Roman" w:eastAsia="宋体" w:cs="Times New Roman"/>
          <w:b/>
          <w:bCs/>
          <w:color w:val="000000" w:themeColor="text1"/>
          <w:sz w:val="28"/>
          <w:szCs w:val="24"/>
          <w14:textFill>
            <w14:solidFill>
              <w14:schemeClr w14:val="tx1"/>
            </w14:solidFill>
          </w14:textFill>
        </w:rPr>
        <w:t>：</w:t>
      </w:r>
      <w:r>
        <w:rPr>
          <w:rFonts w:hint="eastAsia" w:ascii="Times New Roman" w:hAnsi="Times New Roman" w:eastAsia="宋体" w:cs="Times New Roman"/>
          <w:b/>
          <w:bCs/>
          <w:color w:val="000000" w:themeColor="text1"/>
          <w:sz w:val="28"/>
          <w:szCs w:val="24"/>
          <w:lang w:val="en-US" w:eastAsia="zh-CN"/>
          <w14:textFill>
            <w14:solidFill>
              <w14:schemeClr w14:val="tx1"/>
            </w14:solidFill>
          </w14:textFill>
        </w:rPr>
        <w:t>营业执照</w:t>
      </w:r>
    </w:p>
    <w:p>
      <w:pPr>
        <w:pStyle w:val="24"/>
        <w:keepNext w:val="0"/>
        <w:keepLines w:val="0"/>
        <w:pageBreakBefore w:val="0"/>
        <w:widowControl/>
        <w:kinsoku/>
        <w:wordWrap/>
        <w:overflowPunct/>
        <w:topLinePunct w:val="0"/>
        <w:autoSpaceDE/>
        <w:autoSpaceDN/>
        <w:bidi w:val="0"/>
        <w:adjustRightInd w:val="0"/>
        <w:snapToGrid w:val="0"/>
        <w:ind w:firstLine="0"/>
        <w:jc w:val="both"/>
        <w:textAlignment w:val="auto"/>
        <w:outlineLvl w:val="9"/>
        <w:rPr>
          <w:rFonts w:hint="eastAsia" w:ascii="Times New Roman" w:hAnsi="Times New Roman" w:eastAsia="宋体" w:cs="Times New Roman"/>
          <w:color w:val="0000FF"/>
          <w:sz w:val="28"/>
          <w:szCs w:val="24"/>
          <w:lang w:val="en-US" w:eastAsia="zh-CN"/>
        </w:rPr>
      </w:pPr>
      <w:r>
        <w:rPr>
          <w:rFonts w:hint="default" w:ascii="Times New Roman" w:hAnsi="Times New Roman" w:cs="Times New Roman"/>
          <w:color w:val="000000"/>
          <w:lang w:val="en-US" w:eastAsia="zh-CN"/>
        </w:rPr>
        <w:drawing>
          <wp:inline distT="0" distB="0" distL="114300" distR="114300">
            <wp:extent cx="8034020" cy="5586095"/>
            <wp:effectExtent l="0" t="0" r="14605" b="5080"/>
            <wp:docPr id="25" name="图片 6"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营业执照"/>
                    <pic:cNvPicPr>
                      <a:picLocks noChangeAspect="1"/>
                    </pic:cNvPicPr>
                  </pic:nvPicPr>
                  <pic:blipFill>
                    <a:blip r:embed="rId20"/>
                    <a:stretch>
                      <a:fillRect/>
                    </a:stretch>
                  </pic:blipFill>
                  <pic:spPr>
                    <a:xfrm rot="16200000">
                      <a:off x="0" y="0"/>
                      <a:ext cx="8034020" cy="5586095"/>
                    </a:xfrm>
                    <a:prstGeom prst="rect">
                      <a:avLst/>
                    </a:prstGeom>
                    <a:noFill/>
                    <a:ln>
                      <a:noFill/>
                    </a:ln>
                  </pic:spPr>
                </pic:pic>
              </a:graphicData>
            </a:graphic>
          </wp:inline>
        </w:drawing>
      </w:r>
    </w:p>
    <w:p>
      <w:pPr>
        <w:pStyle w:val="12"/>
        <w:rPr>
          <w:rFonts w:ascii="Times New Roman" w:hAnsi="Times New Roman" w:eastAsia="宋体" w:cs="Times New Roman"/>
          <w:b/>
          <w:bCs/>
          <w:color w:val="0000FF"/>
          <w:sz w:val="28"/>
          <w:szCs w:val="24"/>
          <w:lang w:val="en-US" w:eastAsia="zh-CN" w:bidi="ar-SA"/>
        </w:rPr>
      </w:pPr>
    </w:p>
    <w:p>
      <w:pPr>
        <w:pStyle w:val="12"/>
        <w:rPr>
          <w:rFonts w:hint="default" w:ascii="Times New Roman" w:hAnsi="Times New Roman" w:eastAsia="宋体" w:cs="Times New Roman"/>
          <w:color w:val="000000"/>
          <w:lang w:eastAsia="zh-CN"/>
        </w:rPr>
      </w:pPr>
      <w:r>
        <w:rPr>
          <w:rFonts w:ascii="Times New Roman" w:hAnsi="Times New Roman" w:eastAsia="宋体" w:cs="Times New Roman"/>
          <w:b/>
          <w:bCs/>
          <w:color w:val="000000" w:themeColor="text1"/>
          <w:sz w:val="28"/>
          <w:szCs w:val="24"/>
          <w:lang w:val="en-US" w:eastAsia="zh-CN" w:bidi="ar-SA"/>
          <w14:textFill>
            <w14:solidFill>
              <w14:schemeClr w14:val="tx1"/>
            </w14:solidFill>
          </w14:textFill>
        </w:rPr>
        <w:t>附件</w:t>
      </w:r>
      <w:r>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t>3</w:t>
      </w:r>
      <w:r>
        <w:rPr>
          <w:rFonts w:ascii="Times New Roman" w:hAnsi="Times New Roman" w:eastAsia="宋体" w:cs="Times New Roman"/>
          <w:b/>
          <w:bCs/>
          <w:color w:val="000000" w:themeColor="text1"/>
          <w:sz w:val="28"/>
          <w:szCs w:val="24"/>
          <w:lang w:val="en-US" w:eastAsia="zh-CN" w:bidi="ar-SA"/>
          <w14:textFill>
            <w14:solidFill>
              <w14:schemeClr w14:val="tx1"/>
            </w14:solidFill>
          </w14:textFill>
        </w:rPr>
        <w:t>：</w:t>
      </w:r>
      <w:r>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t xml:space="preserve">备案表 </w:t>
      </w:r>
      <w:r>
        <w:rPr>
          <w:rFonts w:hint="default" w:ascii="Times New Roman" w:hAnsi="Times New Roman" w:eastAsia="宋体" w:cs="Times New Roman"/>
          <w:color w:val="000000"/>
          <w:lang w:eastAsia="zh-CN"/>
        </w:rPr>
        <w:drawing>
          <wp:inline distT="0" distB="0" distL="114300" distR="114300">
            <wp:extent cx="5875655" cy="7807325"/>
            <wp:effectExtent l="0" t="0" r="10795" b="3175"/>
            <wp:docPr id="26" name="图片 7" descr="第1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第1页"/>
                    <pic:cNvPicPr>
                      <a:picLocks noChangeAspect="1"/>
                    </pic:cNvPicPr>
                  </pic:nvPicPr>
                  <pic:blipFill>
                    <a:blip r:embed="rId21"/>
                    <a:srcRect b="6110"/>
                    <a:stretch>
                      <a:fillRect/>
                    </a:stretch>
                  </pic:blipFill>
                  <pic:spPr>
                    <a:xfrm>
                      <a:off x="0" y="0"/>
                      <a:ext cx="5875655" cy="7807325"/>
                    </a:xfrm>
                    <a:prstGeom prst="rect">
                      <a:avLst/>
                    </a:prstGeom>
                    <a:noFill/>
                    <a:ln>
                      <a:noFill/>
                    </a:ln>
                  </pic:spPr>
                </pic:pic>
              </a:graphicData>
            </a:graphic>
          </wp:inline>
        </w:drawing>
      </w:r>
    </w:p>
    <w:p>
      <w:pPr>
        <w:pStyle w:val="12"/>
        <w:rPr>
          <w:rFonts w:hint="default" w:ascii="Times New Roman" w:hAnsi="Times New Roman" w:eastAsia="宋体" w:cs="Times New Roman"/>
          <w:color w:val="000000"/>
          <w:lang w:eastAsia="zh-CN"/>
        </w:rPr>
      </w:pPr>
    </w:p>
    <w:p>
      <w:pPr>
        <w:pStyle w:val="12"/>
        <w:rPr>
          <w:rFonts w:hint="default" w:ascii="Times New Roman" w:hAnsi="Times New Roman" w:eastAsia="宋体" w:cs="Times New Roman"/>
          <w:color w:val="000000"/>
          <w:lang w:eastAsia="zh-CN"/>
        </w:rPr>
      </w:pPr>
    </w:p>
    <w:p>
      <w:pPr>
        <w:pStyle w:val="12"/>
        <w:rPr>
          <w:rFonts w:hint="default" w:ascii="Times New Roman" w:hAnsi="Times New Roman" w:cs="Times New Roman"/>
          <w:color w:val="000000"/>
          <w:lang w:val="en-US" w:eastAsia="zh-CN"/>
        </w:rPr>
      </w:pPr>
      <w:r>
        <w:rPr>
          <w:rFonts w:ascii="Times New Roman" w:hAnsi="Times New Roman" w:eastAsia="宋体" w:cs="Times New Roman"/>
          <w:b/>
          <w:bCs/>
          <w:color w:val="000000" w:themeColor="text1"/>
          <w:sz w:val="28"/>
          <w:szCs w:val="24"/>
          <w:lang w:val="en-US" w:eastAsia="zh-CN" w:bidi="ar-SA"/>
          <w14:textFill>
            <w14:solidFill>
              <w14:schemeClr w14:val="tx1"/>
            </w14:solidFill>
          </w14:textFill>
        </w:rPr>
        <w:t>附件</w:t>
      </w:r>
      <w:r>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t>4</w:t>
      </w:r>
      <w:r>
        <w:rPr>
          <w:rFonts w:ascii="Times New Roman" w:hAnsi="Times New Roman" w:eastAsia="宋体" w:cs="Times New Roman"/>
          <w:b/>
          <w:bCs/>
          <w:color w:val="000000" w:themeColor="text1"/>
          <w:sz w:val="28"/>
          <w:szCs w:val="24"/>
          <w:lang w:val="en-US" w:eastAsia="zh-CN" w:bidi="ar-SA"/>
          <w14:textFill>
            <w14:solidFill>
              <w14:schemeClr w14:val="tx1"/>
            </w14:solidFill>
          </w14:textFill>
        </w:rPr>
        <w:t>：</w:t>
      </w:r>
      <w:r>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t xml:space="preserve">租赁合同 </w:t>
      </w:r>
      <w:r>
        <w:rPr>
          <w:rFonts w:hint="default" w:ascii="Times New Roman" w:hAnsi="Times New Roman" w:cs="Times New Roman"/>
          <w:color w:val="000000"/>
          <w:lang w:val="en-US" w:eastAsia="zh-CN"/>
        </w:rPr>
        <w:drawing>
          <wp:inline distT="0" distB="0" distL="114300" distR="114300">
            <wp:extent cx="5746115" cy="8126730"/>
            <wp:effectExtent l="0" t="0" r="6985" b="7620"/>
            <wp:docPr id="28" name="图片 8" descr="第1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descr="第1页"/>
                    <pic:cNvPicPr>
                      <a:picLocks noChangeAspect="1"/>
                    </pic:cNvPicPr>
                  </pic:nvPicPr>
                  <pic:blipFill>
                    <a:blip r:embed="rId22"/>
                    <a:stretch>
                      <a:fillRect/>
                    </a:stretch>
                  </pic:blipFill>
                  <pic:spPr>
                    <a:xfrm>
                      <a:off x="0" y="0"/>
                      <a:ext cx="5746115" cy="8126730"/>
                    </a:xfrm>
                    <a:prstGeom prst="rect">
                      <a:avLst/>
                    </a:prstGeom>
                    <a:noFill/>
                    <a:ln>
                      <a:noFill/>
                    </a:ln>
                  </pic:spPr>
                </pic:pic>
              </a:graphicData>
            </a:graphic>
          </wp:inline>
        </w:drawing>
      </w:r>
      <w:r>
        <w:rPr>
          <w:rFonts w:hint="default" w:ascii="Times New Roman" w:hAnsi="Times New Roman" w:cs="Times New Roman"/>
          <w:color w:val="000000"/>
          <w:lang w:val="en-US" w:eastAsia="zh-CN"/>
        </w:rPr>
        <w:drawing>
          <wp:inline distT="0" distB="0" distL="114300" distR="114300">
            <wp:extent cx="5936615" cy="8395970"/>
            <wp:effectExtent l="0" t="0" r="6985" b="5080"/>
            <wp:docPr id="27" name="图片 9" descr="第2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descr="第2页"/>
                    <pic:cNvPicPr>
                      <a:picLocks noChangeAspect="1"/>
                    </pic:cNvPicPr>
                  </pic:nvPicPr>
                  <pic:blipFill>
                    <a:blip r:embed="rId23"/>
                    <a:stretch>
                      <a:fillRect/>
                    </a:stretch>
                  </pic:blipFill>
                  <pic:spPr>
                    <a:xfrm>
                      <a:off x="0" y="0"/>
                      <a:ext cx="5936615" cy="8395970"/>
                    </a:xfrm>
                    <a:prstGeom prst="rect">
                      <a:avLst/>
                    </a:prstGeom>
                    <a:noFill/>
                    <a:ln>
                      <a:noFill/>
                    </a:ln>
                  </pic:spPr>
                </pic:pic>
              </a:graphicData>
            </a:graphic>
          </wp:inline>
        </w:drawing>
      </w:r>
      <w:r>
        <w:rPr>
          <w:rFonts w:hint="default" w:ascii="Times New Roman" w:hAnsi="Times New Roman" w:cs="Times New Roman"/>
          <w:color w:val="000000"/>
          <w:lang w:val="en-US" w:eastAsia="zh-CN"/>
        </w:rPr>
        <w:drawing>
          <wp:inline distT="0" distB="0" distL="114300" distR="114300">
            <wp:extent cx="5936615" cy="8395970"/>
            <wp:effectExtent l="0" t="0" r="6985" b="5080"/>
            <wp:docPr id="29" name="图片 10" descr="第3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descr="第3页"/>
                    <pic:cNvPicPr>
                      <a:picLocks noChangeAspect="1"/>
                    </pic:cNvPicPr>
                  </pic:nvPicPr>
                  <pic:blipFill>
                    <a:blip r:embed="rId24"/>
                    <a:stretch>
                      <a:fillRect/>
                    </a:stretch>
                  </pic:blipFill>
                  <pic:spPr>
                    <a:xfrm>
                      <a:off x="0" y="0"/>
                      <a:ext cx="5936615" cy="8395970"/>
                    </a:xfrm>
                    <a:prstGeom prst="rect">
                      <a:avLst/>
                    </a:prstGeom>
                    <a:noFill/>
                    <a:ln>
                      <a:noFill/>
                    </a:ln>
                  </pic:spPr>
                </pic:pic>
              </a:graphicData>
            </a:graphic>
          </wp:inline>
        </w:drawing>
      </w:r>
    </w:p>
    <w:p>
      <w:pPr>
        <w:pStyle w:val="7"/>
        <w:rPr>
          <w:rFonts w:hint="default" w:ascii="Times New Roman" w:hAnsi="Times New Roman" w:cs="Times New Roman"/>
          <w:color w:val="000000"/>
          <w:lang w:val="en-US" w:eastAsia="zh-CN"/>
        </w:rPr>
      </w:pPr>
    </w:p>
    <w:p>
      <w:pPr>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pPr>
      <w:r>
        <w:rPr>
          <w:rFonts w:ascii="Times New Roman" w:hAnsi="Times New Roman" w:eastAsia="宋体" w:cs="Times New Roman"/>
          <w:b/>
          <w:bCs/>
          <w:color w:val="000000" w:themeColor="text1"/>
          <w:sz w:val="28"/>
          <w:szCs w:val="24"/>
          <w:lang w:val="en-US" w:eastAsia="zh-CN" w:bidi="ar-SA"/>
          <w14:textFill>
            <w14:solidFill>
              <w14:schemeClr w14:val="tx1"/>
            </w14:solidFill>
          </w14:textFill>
        </w:rPr>
        <w:t>附件</w:t>
      </w:r>
      <w:r>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t>5</w:t>
      </w:r>
      <w:r>
        <w:rPr>
          <w:rFonts w:ascii="Times New Roman" w:hAnsi="Times New Roman" w:eastAsia="宋体" w:cs="Times New Roman"/>
          <w:b/>
          <w:bCs/>
          <w:color w:val="000000" w:themeColor="text1"/>
          <w:sz w:val="28"/>
          <w:szCs w:val="24"/>
          <w:lang w:val="en-US" w:eastAsia="zh-CN" w:bidi="ar-SA"/>
          <w14:textFill>
            <w14:solidFill>
              <w14:schemeClr w14:val="tx1"/>
            </w14:solidFill>
          </w14:textFill>
        </w:rPr>
        <w:t>：</w:t>
      </w:r>
      <w:r>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t xml:space="preserve">排污许可 </w:t>
      </w:r>
      <w:r>
        <w:drawing>
          <wp:inline distT="0" distB="0" distL="114300" distR="114300">
            <wp:extent cx="5684520" cy="8046085"/>
            <wp:effectExtent l="0" t="0" r="11430" b="1206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25"/>
                    <a:stretch>
                      <a:fillRect/>
                    </a:stretch>
                  </pic:blipFill>
                  <pic:spPr>
                    <a:xfrm>
                      <a:off x="0" y="0"/>
                      <a:ext cx="5684520" cy="8046085"/>
                    </a:xfrm>
                    <a:prstGeom prst="rect">
                      <a:avLst/>
                    </a:prstGeom>
                    <a:noFill/>
                    <a:ln>
                      <a:noFill/>
                    </a:ln>
                  </pic:spPr>
                </pic:pic>
              </a:graphicData>
            </a:graphic>
          </wp:inline>
        </w:drawing>
      </w:r>
      <w:r>
        <w:rPr>
          <w:rFonts w:ascii="Times New Roman" w:hAnsi="Times New Roman" w:eastAsia="宋体" w:cs="Times New Roman"/>
          <w:b/>
          <w:bCs/>
          <w:color w:val="000000" w:themeColor="text1"/>
          <w:sz w:val="28"/>
          <w:szCs w:val="24"/>
          <w:lang w:val="en-US" w:eastAsia="zh-CN" w:bidi="ar-SA"/>
          <w14:textFill>
            <w14:solidFill>
              <w14:schemeClr w14:val="tx1"/>
            </w14:solidFill>
          </w14:textFill>
        </w:rPr>
        <w:t>附件</w:t>
      </w:r>
      <w:r>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t>6</w:t>
      </w:r>
      <w:r>
        <w:rPr>
          <w:rFonts w:ascii="Times New Roman" w:hAnsi="Times New Roman" w:eastAsia="宋体" w:cs="Times New Roman"/>
          <w:b/>
          <w:bCs/>
          <w:color w:val="000000" w:themeColor="text1"/>
          <w:sz w:val="28"/>
          <w:szCs w:val="24"/>
          <w:lang w:val="en-US" w:eastAsia="zh-CN" w:bidi="ar-SA"/>
          <w14:textFill>
            <w14:solidFill>
              <w14:schemeClr w14:val="tx1"/>
            </w14:solidFill>
          </w14:textFill>
        </w:rPr>
        <w:t>：</w:t>
      </w:r>
      <w:r>
        <w:rPr>
          <w:rFonts w:hint="eastAsia" w:ascii="Times New Roman" w:hAnsi="Times New Roman" w:eastAsia="宋体" w:cs="Times New Roman"/>
          <w:b/>
          <w:bCs/>
          <w:color w:val="000000" w:themeColor="text1"/>
          <w:sz w:val="28"/>
          <w:szCs w:val="24"/>
          <w:lang w:val="en-US" w:eastAsia="zh-CN" w:bidi="ar-SA"/>
          <w14:textFill>
            <w14:solidFill>
              <w14:schemeClr w14:val="tx1"/>
            </w14:solidFill>
          </w14:textFill>
        </w:rPr>
        <w:t xml:space="preserve">检测报告 </w:t>
      </w:r>
      <w:r>
        <w:rPr>
          <w:rFonts w:hint="eastAsia"/>
          <w:lang w:val="en-US" w:eastAsia="zh-CN"/>
        </w:rPr>
        <w:drawing>
          <wp:inline distT="0" distB="0" distL="114300" distR="114300">
            <wp:extent cx="5681980" cy="8031480"/>
            <wp:effectExtent l="0" t="0" r="13970" b="7620"/>
            <wp:docPr id="37" name="图片 37" descr="EG2604 WZJCJB-H2021072602检测报告-福建省金城伟业印刷有限公司(无组织废气、有组织废气、废水、噪声）(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G2604 WZJCJB-H2021072602检测报告-福建省金城伟业印刷有限公司(无组织废气、有组织废气、废水、噪声）(1)0000"/>
                    <pic:cNvPicPr>
                      <a:picLocks noChangeAspect="1"/>
                    </pic:cNvPicPr>
                  </pic:nvPicPr>
                  <pic:blipFill>
                    <a:blip r:embed="rId26"/>
                    <a:stretch>
                      <a:fillRect/>
                    </a:stretch>
                  </pic:blipFill>
                  <pic:spPr>
                    <a:xfrm>
                      <a:off x="0" y="0"/>
                      <a:ext cx="5681980" cy="8031480"/>
                    </a:xfrm>
                    <a:prstGeom prst="rect">
                      <a:avLst/>
                    </a:prstGeom>
                  </pic:spPr>
                </pic:pic>
              </a:graphicData>
            </a:graphic>
          </wp:inline>
        </w:drawing>
      </w:r>
    </w:p>
    <w:p>
      <w:pPr>
        <w:pStyle w:val="2"/>
        <w:rPr>
          <w:rFonts w:hint="eastAsia"/>
          <w:lang w:val="en-US" w:eastAsia="zh-CN"/>
        </w:rPr>
      </w:pPr>
      <w:r>
        <w:rPr>
          <w:rFonts w:hint="eastAsia"/>
          <w:lang w:val="en-US" w:eastAsia="zh-CN"/>
        </w:rPr>
        <w:drawing>
          <wp:inline distT="0" distB="0" distL="114300" distR="114300">
            <wp:extent cx="5681980" cy="8031480"/>
            <wp:effectExtent l="0" t="0" r="13970" b="7620"/>
            <wp:docPr id="36" name="图片 36" descr="EG2604 WZJCJB-H2021072602检测报告-福建省金城伟业印刷有限公司(无组织废气、有组织废气、废水、噪声）(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G2604 WZJCJB-H2021072602检测报告-福建省金城伟业印刷有限公司(无组织废气、有组织废气、废水、噪声）(1)0001"/>
                    <pic:cNvPicPr>
                      <a:picLocks noChangeAspect="1"/>
                    </pic:cNvPicPr>
                  </pic:nvPicPr>
                  <pic:blipFill>
                    <a:blip r:embed="rId27"/>
                    <a:stretch>
                      <a:fillRect/>
                    </a:stretch>
                  </pic:blipFill>
                  <pic:spPr>
                    <a:xfrm>
                      <a:off x="0" y="0"/>
                      <a:ext cx="5681980" cy="8031480"/>
                    </a:xfrm>
                    <a:prstGeom prst="rect">
                      <a:avLst/>
                    </a:prstGeom>
                  </pic:spPr>
                </pic:pic>
              </a:graphicData>
            </a:graphic>
          </wp:inline>
        </w:drawing>
      </w:r>
      <w:r>
        <w:rPr>
          <w:rFonts w:hint="eastAsia"/>
          <w:lang w:val="en-US" w:eastAsia="zh-CN"/>
        </w:rPr>
        <w:drawing>
          <wp:inline distT="0" distB="0" distL="114300" distR="114300">
            <wp:extent cx="5681980" cy="8031480"/>
            <wp:effectExtent l="0" t="0" r="13970" b="7620"/>
            <wp:docPr id="35" name="图片 35" descr="EG2604 WZJCJB-H2021072602检测报告-福建省金城伟业印刷有限公司(无组织废气、有组织废气、废水、噪声）(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G2604 WZJCJB-H2021072602检测报告-福建省金城伟业印刷有限公司(无组织废气、有组织废气、废水、噪声）(1)0002"/>
                    <pic:cNvPicPr>
                      <a:picLocks noChangeAspect="1"/>
                    </pic:cNvPicPr>
                  </pic:nvPicPr>
                  <pic:blipFill>
                    <a:blip r:embed="rId28"/>
                    <a:stretch>
                      <a:fillRect/>
                    </a:stretch>
                  </pic:blipFill>
                  <pic:spPr>
                    <a:xfrm>
                      <a:off x="0" y="0"/>
                      <a:ext cx="5681980" cy="8031480"/>
                    </a:xfrm>
                    <a:prstGeom prst="rect">
                      <a:avLst/>
                    </a:prstGeom>
                  </pic:spPr>
                </pic:pic>
              </a:graphicData>
            </a:graphic>
          </wp:inline>
        </w:drawing>
      </w:r>
      <w:r>
        <w:rPr>
          <w:rFonts w:hint="eastAsia"/>
          <w:lang w:val="en-US" w:eastAsia="zh-CN"/>
        </w:rPr>
        <w:drawing>
          <wp:inline distT="0" distB="0" distL="114300" distR="114300">
            <wp:extent cx="5681980" cy="8031480"/>
            <wp:effectExtent l="0" t="0" r="13970" b="7620"/>
            <wp:docPr id="34" name="图片 34" descr="EG2604 WZJCJB-H2021072602检测报告-福建省金城伟业印刷有限公司(无组织废气、有组织废气、废水、噪声）(1)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G2604 WZJCJB-H2021072602检测报告-福建省金城伟业印刷有限公司(无组织废气、有组织废气、废水、噪声）(1)0003"/>
                    <pic:cNvPicPr>
                      <a:picLocks noChangeAspect="1"/>
                    </pic:cNvPicPr>
                  </pic:nvPicPr>
                  <pic:blipFill>
                    <a:blip r:embed="rId29"/>
                    <a:stretch>
                      <a:fillRect/>
                    </a:stretch>
                  </pic:blipFill>
                  <pic:spPr>
                    <a:xfrm>
                      <a:off x="0" y="0"/>
                      <a:ext cx="5681980" cy="8031480"/>
                    </a:xfrm>
                    <a:prstGeom prst="rect">
                      <a:avLst/>
                    </a:prstGeom>
                  </pic:spPr>
                </pic:pic>
              </a:graphicData>
            </a:graphic>
          </wp:inline>
        </w:drawing>
      </w:r>
      <w:r>
        <w:rPr>
          <w:rFonts w:hint="eastAsia"/>
          <w:lang w:val="en-US" w:eastAsia="zh-CN"/>
        </w:rPr>
        <w:drawing>
          <wp:inline distT="0" distB="0" distL="114300" distR="114300">
            <wp:extent cx="5681980" cy="8031480"/>
            <wp:effectExtent l="0" t="0" r="13970" b="7620"/>
            <wp:docPr id="33" name="图片 33" descr="EG2604 WZJCJB-H2021072602检测报告-福建省金城伟业印刷有限公司(无组织废气、有组织废气、废水、噪声）(1)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G2604 WZJCJB-H2021072602检测报告-福建省金城伟业印刷有限公司(无组织废气、有组织废气、废水、噪声）(1)0004"/>
                    <pic:cNvPicPr>
                      <a:picLocks noChangeAspect="1"/>
                    </pic:cNvPicPr>
                  </pic:nvPicPr>
                  <pic:blipFill>
                    <a:blip r:embed="rId30"/>
                    <a:stretch>
                      <a:fillRect/>
                    </a:stretch>
                  </pic:blipFill>
                  <pic:spPr>
                    <a:xfrm>
                      <a:off x="0" y="0"/>
                      <a:ext cx="5681980" cy="8031480"/>
                    </a:xfrm>
                    <a:prstGeom prst="rect">
                      <a:avLst/>
                    </a:prstGeom>
                  </pic:spPr>
                </pic:pic>
              </a:graphicData>
            </a:graphic>
          </wp:inline>
        </w:drawing>
      </w:r>
      <w:r>
        <w:rPr>
          <w:rFonts w:hint="eastAsia"/>
          <w:lang w:val="en-US" w:eastAsia="zh-CN"/>
        </w:rPr>
        <w:drawing>
          <wp:inline distT="0" distB="0" distL="114300" distR="114300">
            <wp:extent cx="5681980" cy="8031480"/>
            <wp:effectExtent l="0" t="0" r="13970" b="7620"/>
            <wp:docPr id="32" name="图片 32" descr="EG2604 WZJCJB-H2021072602检测报告-福建省金城伟业印刷有限公司(无组织废气、有组织废气、废水、噪声）(1)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G2604 WZJCJB-H2021072602检测报告-福建省金城伟业印刷有限公司(无组织废气、有组织废气、废水、噪声）(1)0005"/>
                    <pic:cNvPicPr>
                      <a:picLocks noChangeAspect="1"/>
                    </pic:cNvPicPr>
                  </pic:nvPicPr>
                  <pic:blipFill>
                    <a:blip r:embed="rId31"/>
                    <a:stretch>
                      <a:fillRect/>
                    </a:stretch>
                  </pic:blipFill>
                  <pic:spPr>
                    <a:xfrm>
                      <a:off x="0" y="0"/>
                      <a:ext cx="5681980" cy="8031480"/>
                    </a:xfrm>
                    <a:prstGeom prst="rect">
                      <a:avLst/>
                    </a:prstGeom>
                  </pic:spPr>
                </pic:pic>
              </a:graphicData>
            </a:graphic>
          </wp:inline>
        </w:drawing>
      </w:r>
      <w:r>
        <w:rPr>
          <w:rFonts w:hint="eastAsia"/>
          <w:lang w:val="en-US" w:eastAsia="zh-CN"/>
        </w:rPr>
        <w:drawing>
          <wp:inline distT="0" distB="0" distL="114300" distR="114300">
            <wp:extent cx="5681980" cy="8031480"/>
            <wp:effectExtent l="0" t="0" r="13970" b="7620"/>
            <wp:docPr id="31" name="图片 31" descr="EG2604 WZJCJB-H2021072602检测报告-福建省金城伟业印刷有限公司(无组织废气、有组织废气、废水、噪声）(1)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G2604 WZJCJB-H2021072602检测报告-福建省金城伟业印刷有限公司(无组织废气、有组织废气、废水、噪声）(1)0006"/>
                    <pic:cNvPicPr>
                      <a:picLocks noChangeAspect="1"/>
                    </pic:cNvPicPr>
                  </pic:nvPicPr>
                  <pic:blipFill>
                    <a:blip r:embed="rId32"/>
                    <a:stretch>
                      <a:fillRect/>
                    </a:stretch>
                  </pic:blipFill>
                  <pic:spPr>
                    <a:xfrm>
                      <a:off x="0" y="0"/>
                      <a:ext cx="5681980" cy="8031480"/>
                    </a:xfrm>
                    <a:prstGeom prst="rect">
                      <a:avLst/>
                    </a:prstGeom>
                  </pic:spPr>
                </pic:pic>
              </a:graphicData>
            </a:graphic>
          </wp:inline>
        </w:drawing>
      </w:r>
      <w:r>
        <w:rPr>
          <w:rFonts w:hint="eastAsia"/>
          <w:lang w:val="en-US" w:eastAsia="zh-CN"/>
        </w:rPr>
        <w:drawing>
          <wp:inline distT="0" distB="0" distL="114300" distR="114300">
            <wp:extent cx="5681980" cy="8031480"/>
            <wp:effectExtent l="0" t="0" r="13970" b="7620"/>
            <wp:docPr id="23" name="图片 23" descr="EG2604 WZJCJB-H2021072602检测报告-福建省金城伟业印刷有限公司(无组织废气、有组织废气、废水、噪声）(1)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G2604 WZJCJB-H2021072602检测报告-福建省金城伟业印刷有限公司(无组织废气、有组织废气、废水、噪声）(1)0007"/>
                    <pic:cNvPicPr>
                      <a:picLocks noChangeAspect="1"/>
                    </pic:cNvPicPr>
                  </pic:nvPicPr>
                  <pic:blipFill>
                    <a:blip r:embed="rId33"/>
                    <a:stretch>
                      <a:fillRect/>
                    </a:stretch>
                  </pic:blipFill>
                  <pic:spPr>
                    <a:xfrm>
                      <a:off x="0" y="0"/>
                      <a:ext cx="5681980" cy="8031480"/>
                    </a:xfrm>
                    <a:prstGeom prst="rect">
                      <a:avLst/>
                    </a:prstGeom>
                  </pic:spPr>
                </pic:pic>
              </a:graphicData>
            </a:graphic>
          </wp:inline>
        </w:drawing>
      </w:r>
      <w:r>
        <w:rPr>
          <w:rFonts w:hint="eastAsia"/>
          <w:lang w:val="en-US" w:eastAsia="zh-CN"/>
        </w:rPr>
        <w:drawing>
          <wp:inline distT="0" distB="0" distL="114300" distR="114300">
            <wp:extent cx="5681980" cy="8031480"/>
            <wp:effectExtent l="0" t="0" r="13970" b="7620"/>
            <wp:docPr id="22" name="图片 22" descr="EG2604 WZJCJB-H2021072602检测报告-福建省金城伟业印刷有限公司(无组织废气、有组织废气、废水、噪声）(1)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G2604 WZJCJB-H2021072602检测报告-福建省金城伟业印刷有限公司(无组织废气、有组织废气、废水、噪声）(1)0008"/>
                    <pic:cNvPicPr>
                      <a:picLocks noChangeAspect="1"/>
                    </pic:cNvPicPr>
                  </pic:nvPicPr>
                  <pic:blipFill>
                    <a:blip r:embed="rId34"/>
                    <a:stretch>
                      <a:fillRect/>
                    </a:stretch>
                  </pic:blipFill>
                  <pic:spPr>
                    <a:xfrm>
                      <a:off x="0" y="0"/>
                      <a:ext cx="5681980" cy="8031480"/>
                    </a:xfrm>
                    <a:prstGeom prst="rect">
                      <a:avLst/>
                    </a:prstGeom>
                  </pic:spPr>
                </pic:pic>
              </a:graphicData>
            </a:graphic>
          </wp:inline>
        </w:drawing>
      </w:r>
      <w:r>
        <w:rPr>
          <w:rFonts w:hint="eastAsia"/>
          <w:lang w:val="en-US" w:eastAsia="zh-CN"/>
        </w:rPr>
        <w:drawing>
          <wp:inline distT="0" distB="0" distL="114300" distR="114300">
            <wp:extent cx="5681980" cy="8031480"/>
            <wp:effectExtent l="0" t="0" r="13970" b="7620"/>
            <wp:docPr id="21" name="图片 21" descr="EG2604 WZJCJB-H2021072602检测报告-福建省金城伟业印刷有限公司(无组织废气、有组织废气、废水、噪声）(1)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G2604 WZJCJB-H2021072602检测报告-福建省金城伟业印刷有限公司(无组织废气、有组织废气、废水、噪声）(1)0009"/>
                    <pic:cNvPicPr>
                      <a:picLocks noChangeAspect="1"/>
                    </pic:cNvPicPr>
                  </pic:nvPicPr>
                  <pic:blipFill>
                    <a:blip r:embed="rId35"/>
                    <a:stretch>
                      <a:fillRect/>
                    </a:stretch>
                  </pic:blipFill>
                  <pic:spPr>
                    <a:xfrm>
                      <a:off x="0" y="0"/>
                      <a:ext cx="5681980" cy="8031480"/>
                    </a:xfrm>
                    <a:prstGeom prst="rect">
                      <a:avLst/>
                    </a:prstGeom>
                  </pic:spPr>
                </pic:pic>
              </a:graphicData>
            </a:graphic>
          </wp:inline>
        </w:drawing>
      </w:r>
      <w:r>
        <w:rPr>
          <w:rFonts w:hint="eastAsia"/>
          <w:lang w:val="en-US" w:eastAsia="zh-CN"/>
        </w:rPr>
        <w:drawing>
          <wp:inline distT="0" distB="0" distL="114300" distR="114300">
            <wp:extent cx="5681980" cy="8031480"/>
            <wp:effectExtent l="0" t="0" r="13970" b="7620"/>
            <wp:docPr id="20" name="图片 20" descr="EG2604 WZJCJB-H2021072602检测报告-福建省金城伟业印刷有限公司(无组织废气、有组织废气、废水、噪声）(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G2604 WZJCJB-H2021072602检测报告-福建省金城伟业印刷有限公司(无组织废气、有组织废气、废水、噪声）(1)0010"/>
                    <pic:cNvPicPr>
                      <a:picLocks noChangeAspect="1"/>
                    </pic:cNvPicPr>
                  </pic:nvPicPr>
                  <pic:blipFill>
                    <a:blip r:embed="rId36"/>
                    <a:stretch>
                      <a:fillRect/>
                    </a:stretch>
                  </pic:blipFill>
                  <pic:spPr>
                    <a:xfrm>
                      <a:off x="0" y="0"/>
                      <a:ext cx="5681980" cy="8031480"/>
                    </a:xfrm>
                    <a:prstGeom prst="rect">
                      <a:avLst/>
                    </a:prstGeom>
                  </pic:spPr>
                </pic:pic>
              </a:graphicData>
            </a:graphic>
          </wp:inline>
        </w:drawing>
      </w:r>
      <w:r>
        <w:rPr>
          <w:rFonts w:hint="eastAsia"/>
          <w:lang w:val="en-US" w:eastAsia="zh-CN"/>
        </w:rPr>
        <w:drawing>
          <wp:inline distT="0" distB="0" distL="114300" distR="114300">
            <wp:extent cx="5681980" cy="8031480"/>
            <wp:effectExtent l="0" t="0" r="13970" b="7620"/>
            <wp:docPr id="12" name="图片 12" descr="EG2604 WZJCJB-H2021072602检测报告-福建省金城伟业印刷有限公司(无组织废气、有组织废气、废水、噪声）(1)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G2604 WZJCJB-H2021072602检测报告-福建省金城伟业印刷有限公司(无组织废气、有组织废气、废水、噪声）(1)0011"/>
                    <pic:cNvPicPr>
                      <a:picLocks noChangeAspect="1"/>
                    </pic:cNvPicPr>
                  </pic:nvPicPr>
                  <pic:blipFill>
                    <a:blip r:embed="rId37"/>
                    <a:stretch>
                      <a:fillRect/>
                    </a:stretch>
                  </pic:blipFill>
                  <pic:spPr>
                    <a:xfrm>
                      <a:off x="0" y="0"/>
                      <a:ext cx="5681980" cy="8031480"/>
                    </a:xfrm>
                    <a:prstGeom prst="rect">
                      <a:avLst/>
                    </a:prstGeom>
                  </pic:spPr>
                </pic:pic>
              </a:graphicData>
            </a:graphic>
          </wp:inline>
        </w:drawing>
      </w:r>
      <w:r>
        <w:rPr>
          <w:rFonts w:hint="eastAsia"/>
          <w:lang w:val="en-US" w:eastAsia="zh-CN"/>
        </w:rPr>
        <w:drawing>
          <wp:inline distT="0" distB="0" distL="114300" distR="114300">
            <wp:extent cx="5681980" cy="8031480"/>
            <wp:effectExtent l="0" t="0" r="13970" b="7620"/>
            <wp:docPr id="10" name="图片 10" descr="EG2604 WZJCJB-H2021072602检测报告-福建省金城伟业印刷有限公司(无组织废气、有组织废气、废水、噪声）(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G2604 WZJCJB-H2021072602检测报告-福建省金城伟业印刷有限公司(无组织废气、有组织废气、废水、噪声）(1)0012"/>
                    <pic:cNvPicPr>
                      <a:picLocks noChangeAspect="1"/>
                    </pic:cNvPicPr>
                  </pic:nvPicPr>
                  <pic:blipFill>
                    <a:blip r:embed="rId38"/>
                    <a:stretch>
                      <a:fillRect/>
                    </a:stretch>
                  </pic:blipFill>
                  <pic:spPr>
                    <a:xfrm>
                      <a:off x="0" y="0"/>
                      <a:ext cx="5681980" cy="8031480"/>
                    </a:xfrm>
                    <a:prstGeom prst="rect">
                      <a:avLst/>
                    </a:prstGeom>
                  </pic:spPr>
                </pic:pic>
              </a:graphicData>
            </a:graphic>
          </wp:inline>
        </w:drawing>
      </w:r>
      <w:r>
        <w:rPr>
          <w:rFonts w:hint="eastAsia"/>
          <w:lang w:val="en-US" w:eastAsia="zh-CN"/>
        </w:rPr>
        <w:drawing>
          <wp:inline distT="0" distB="0" distL="114300" distR="114300">
            <wp:extent cx="5681980" cy="8031480"/>
            <wp:effectExtent l="0" t="0" r="13970" b="7620"/>
            <wp:docPr id="9" name="图片 9" descr="EG2604 WZJCJB-H2021072602检测报告-福建省金城伟业印刷有限公司(无组织废气、有组织废气、废水、噪声）(1)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G2604 WZJCJB-H2021072602检测报告-福建省金城伟业印刷有限公司(无组织废气、有组织废气、废水、噪声）(1)0013"/>
                    <pic:cNvPicPr>
                      <a:picLocks noChangeAspect="1"/>
                    </pic:cNvPicPr>
                  </pic:nvPicPr>
                  <pic:blipFill>
                    <a:blip r:embed="rId39"/>
                    <a:stretch>
                      <a:fillRect/>
                    </a:stretch>
                  </pic:blipFill>
                  <pic:spPr>
                    <a:xfrm>
                      <a:off x="0" y="0"/>
                      <a:ext cx="5681980" cy="8031480"/>
                    </a:xfrm>
                    <a:prstGeom prst="rect">
                      <a:avLst/>
                    </a:prstGeom>
                  </pic:spPr>
                </pic:pic>
              </a:graphicData>
            </a:graphic>
          </wp:inline>
        </w:drawing>
      </w:r>
    </w:p>
    <w:sectPr>
      <w:headerReference r:id="rId8" w:type="default"/>
      <w:footerReference r:id="rId9" w:type="default"/>
      <w:pgSz w:w="11906" w:h="16838"/>
      <w:pgMar w:top="1587" w:right="1474" w:bottom="1712" w:left="1474" w:header="851" w:footer="992"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TimesNewRomanPSMT">
    <w:altName w:val="黑体"/>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3i9w5AgAAcAQAAA4AAABkcnMvZTJvRG9jLnhtbK1UzY7TMBC+I/EO&#10;lu80bReqqmq6KlsVIVXsSgVxdh2nieQ/2W6T8gDwBpy4cOe5+hx8dpouWjjsgUs69oy/me+bmc5v&#10;WyXJUThfG53T0WBIidDcFLXe5/TTx/WrKSU+MF0wabTI6Ul4ert4+WLe2JkYm8rIQjgCEO1njc1p&#10;FYKdZZnnlVDMD4wVGs7SOMUCjm6fFY41QFcyGw+Hk6wxrrDOcOE9bledk14Q3XMATVnWXKwMPyih&#10;Q4fqhGQBlHxVW08XqdqyFDzcl6UXgcicgmlIXySBvYvfbDFns71jtqr5pQT2nBKecFKs1kh6hVqx&#10;wMjB1X9BqZo7400ZBtyorCOSFAGL0fCJNtuKWZG4QGpvr6L7/wfLPxwfHKmLnL6eUKKZQsfP37+d&#10;f/w6//xKbqI+jfUzhG0tAkP71rSYmv7e4zLSbkun4i8IEfih7umqrmgD4fHRdDydDuHi8PUH4GeP&#10;z63z4Z0wikQjpw7tS6qy48aHLrQPidm0WddSphZKTZqcTm7eDNODqwfgUsdYkYbhAhMpdaVHK7S7&#10;9sJzZ4oTaDrTDYq3fF2jlA3z4YE5TAbKx+6Ee3xKaZDSXCxKKuO+/Os+xqNh8FLSYNJyqrFYlMj3&#10;Go0EYOgN1xu73tAHdWcwuiPspOXJxAMXZG+WzqjPWKhlzAEX0xyZchp68y50046F5GK5TEEH6+p9&#10;1T3AGFoWNnpreUwTpfJ2eQiQNikeBepUQafiAYOYenZZmjjpf55T1OMfxe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He3i9w5AgAAcAQAAA4AAAAAAAAAAQAgAAAAHwEAAGRycy9lMm9Eb2Mu&#10;eG1sUEsFBgAAAAAGAAYAWQEAAMo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eiElI6AgAAcQ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dUaKZQsdP37+d&#10;fvw6/fxKJuMoUGv9DHEPFpGhe2s6jM1w73EZeXeVU/EXjAj8kPd4kVd0gfD4aDqZTnO4OHzDAfjZ&#10;43PrfHgnjCLRKKhD/5Ks7LDxoQ8dQmI2bdaNlKmHUpO2oNev3+TpwcUDcKljrEjTcIaJlPrSoxW6&#10;bXfmuTXlETSd6SfFW75uUMqG+XDPHEYD5WN5wh0+lTRIac4WJbVxX/51H+PRMXgpaTFqBdXYLErk&#10;e41OAjAMhhuM7WDovbo1mN0xltLyZOKBC3IwK2fUZ2zUMuaAi2mOTAUNg3kb+nHHRnKxXKagvXXN&#10;ru4fYA4tCxv9YHlME6XydrkPkDYpHgXqVUGn4gGTmHp23po46n+eU9TjP8X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HohJSOgIAAHEEAAAOAAAAAAAAAAEAIAAAAB8BAABkcnMvZTJvRG9j&#10;LnhtbFBLBQYAAAAABgAGAFkBAADL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342837"/>
      <w:docPartObj>
        <w:docPartGallery w:val="autotext"/>
      </w:docPartObj>
    </w:sdtPr>
    <w:sdtContent>
      <w:p>
        <w:pPr>
          <w:pStyle w:val="18"/>
          <w:jc w:val="center"/>
        </w:pPr>
        <w:r>
          <w:fldChar w:fldCharType="begin"/>
        </w:r>
        <w:r>
          <w:instrText xml:space="preserve"> PAGE   \* MERGEFORMAT </w:instrText>
        </w:r>
        <w:r>
          <w:fldChar w:fldCharType="separate"/>
        </w:r>
        <w:r>
          <w:rPr>
            <w:lang w:val="zh-CN"/>
          </w:rPr>
          <w:t>33</w:t>
        </w:r>
        <w:r>
          <w:rPr>
            <w:lang w:val="zh-CN"/>
          </w:rPr>
          <w:fldChar w:fldCharType="end"/>
        </w:r>
      </w:p>
    </w:sdtContent>
  </w:sdt>
  <w:p>
    <w:pPr>
      <w:pStyle w:val="18"/>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after="0" w:afterLines="0"/>
      <w:ind w:right="360" w:firstLine="360"/>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jc w:val="left"/>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19"/>
                      <w:rPr>
                        <w:rFonts w:hint="eastAsia" w:eastAsia="宋体"/>
                        <w:lang w:eastAsia="zh-CN"/>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845EA4"/>
    <w:multiLevelType w:val="singleLevel"/>
    <w:tmpl w:val="A2845EA4"/>
    <w:lvl w:ilvl="0" w:tentative="0">
      <w:start w:val="1"/>
      <w:numFmt w:val="decimal"/>
      <w:suff w:val="nothing"/>
      <w:lvlText w:val="%1、"/>
      <w:lvlJc w:val="left"/>
    </w:lvl>
  </w:abstractNum>
  <w:abstractNum w:abstractNumId="1">
    <w:nsid w:val="B9669A6D"/>
    <w:multiLevelType w:val="singleLevel"/>
    <w:tmpl w:val="B9669A6D"/>
    <w:lvl w:ilvl="0" w:tentative="0">
      <w:start w:val="1"/>
      <w:numFmt w:val="decimal"/>
      <w:suff w:val="nothing"/>
      <w:lvlText w:val="（%1）"/>
      <w:lvlJc w:val="left"/>
    </w:lvl>
  </w:abstractNum>
  <w:abstractNum w:abstractNumId="2">
    <w:nsid w:val="3AFA98C7"/>
    <w:multiLevelType w:val="singleLevel"/>
    <w:tmpl w:val="3AFA98C7"/>
    <w:lvl w:ilvl="0" w:tentative="0">
      <w:start w:val="7"/>
      <w:numFmt w:val="decimal"/>
      <w:suff w:val="nothing"/>
      <w:lvlText w:val="%1、"/>
      <w:lvlJc w:val="left"/>
    </w:lvl>
  </w:abstractNum>
  <w:abstractNum w:abstractNumId="3">
    <w:nsid w:val="68804528"/>
    <w:multiLevelType w:val="singleLevel"/>
    <w:tmpl w:val="68804528"/>
    <w:lvl w:ilvl="0" w:tentative="0">
      <w:start w:val="1"/>
      <w:numFmt w:val="decimal"/>
      <w:suff w:val="nothing"/>
      <w:lvlText w:val="%1、"/>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HorizontalSpacing w:val="110"/>
  <w:drawingGridVerticalSpacing w:val="-794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850C29"/>
    <w:rsid w:val="0000664E"/>
    <w:rsid w:val="00007B6D"/>
    <w:rsid w:val="000170F7"/>
    <w:rsid w:val="0002074F"/>
    <w:rsid w:val="00073298"/>
    <w:rsid w:val="000772E1"/>
    <w:rsid w:val="00084AF3"/>
    <w:rsid w:val="00122075"/>
    <w:rsid w:val="00122D18"/>
    <w:rsid w:val="001255F1"/>
    <w:rsid w:val="0013602C"/>
    <w:rsid w:val="00137A69"/>
    <w:rsid w:val="00143F5B"/>
    <w:rsid w:val="00182248"/>
    <w:rsid w:val="001846F3"/>
    <w:rsid w:val="001A39E2"/>
    <w:rsid w:val="001A4108"/>
    <w:rsid w:val="0021183F"/>
    <w:rsid w:val="002405CE"/>
    <w:rsid w:val="0024323C"/>
    <w:rsid w:val="00244857"/>
    <w:rsid w:val="00275400"/>
    <w:rsid w:val="002B46EF"/>
    <w:rsid w:val="002C1CB2"/>
    <w:rsid w:val="002E6A92"/>
    <w:rsid w:val="002F72ED"/>
    <w:rsid w:val="003046FF"/>
    <w:rsid w:val="00333893"/>
    <w:rsid w:val="00335560"/>
    <w:rsid w:val="00365893"/>
    <w:rsid w:val="003A6233"/>
    <w:rsid w:val="003C05F8"/>
    <w:rsid w:val="003C0E58"/>
    <w:rsid w:val="003C27A7"/>
    <w:rsid w:val="003C613D"/>
    <w:rsid w:val="003D63F6"/>
    <w:rsid w:val="00400ED9"/>
    <w:rsid w:val="004056D1"/>
    <w:rsid w:val="004120DE"/>
    <w:rsid w:val="00414DD7"/>
    <w:rsid w:val="00423B34"/>
    <w:rsid w:val="00456AD7"/>
    <w:rsid w:val="004B7A4E"/>
    <w:rsid w:val="004C40EC"/>
    <w:rsid w:val="004D6F31"/>
    <w:rsid w:val="004F76C0"/>
    <w:rsid w:val="00502735"/>
    <w:rsid w:val="00507E2D"/>
    <w:rsid w:val="00511197"/>
    <w:rsid w:val="0052103A"/>
    <w:rsid w:val="00533FDA"/>
    <w:rsid w:val="005839D7"/>
    <w:rsid w:val="0059023A"/>
    <w:rsid w:val="00596B9E"/>
    <w:rsid w:val="005C734B"/>
    <w:rsid w:val="005D120E"/>
    <w:rsid w:val="005F53BF"/>
    <w:rsid w:val="00606883"/>
    <w:rsid w:val="006176E5"/>
    <w:rsid w:val="006230C1"/>
    <w:rsid w:val="006247C8"/>
    <w:rsid w:val="00625732"/>
    <w:rsid w:val="00634D69"/>
    <w:rsid w:val="00655A0D"/>
    <w:rsid w:val="0068079D"/>
    <w:rsid w:val="00693390"/>
    <w:rsid w:val="006A6EFD"/>
    <w:rsid w:val="006B0CFE"/>
    <w:rsid w:val="00703BD4"/>
    <w:rsid w:val="00705AFD"/>
    <w:rsid w:val="00726981"/>
    <w:rsid w:val="007276CA"/>
    <w:rsid w:val="00731732"/>
    <w:rsid w:val="00776D02"/>
    <w:rsid w:val="00795431"/>
    <w:rsid w:val="007B4F1B"/>
    <w:rsid w:val="007B4FE2"/>
    <w:rsid w:val="007F1D7D"/>
    <w:rsid w:val="007F742E"/>
    <w:rsid w:val="0080473F"/>
    <w:rsid w:val="008103A3"/>
    <w:rsid w:val="00812235"/>
    <w:rsid w:val="00820918"/>
    <w:rsid w:val="00822E69"/>
    <w:rsid w:val="008271EE"/>
    <w:rsid w:val="00827AEA"/>
    <w:rsid w:val="0084371B"/>
    <w:rsid w:val="00867BDE"/>
    <w:rsid w:val="00870741"/>
    <w:rsid w:val="008717A8"/>
    <w:rsid w:val="00880CB8"/>
    <w:rsid w:val="008A04D2"/>
    <w:rsid w:val="008D27CB"/>
    <w:rsid w:val="008D3252"/>
    <w:rsid w:val="008E0FFA"/>
    <w:rsid w:val="008E3AD1"/>
    <w:rsid w:val="008F7495"/>
    <w:rsid w:val="00902C93"/>
    <w:rsid w:val="00913646"/>
    <w:rsid w:val="009317D1"/>
    <w:rsid w:val="00946E55"/>
    <w:rsid w:val="0096714E"/>
    <w:rsid w:val="0097365A"/>
    <w:rsid w:val="00981994"/>
    <w:rsid w:val="009B732C"/>
    <w:rsid w:val="009D19F6"/>
    <w:rsid w:val="009D2A8B"/>
    <w:rsid w:val="009F0F48"/>
    <w:rsid w:val="00A04D14"/>
    <w:rsid w:val="00A20350"/>
    <w:rsid w:val="00A21CB6"/>
    <w:rsid w:val="00A43A32"/>
    <w:rsid w:val="00A47D75"/>
    <w:rsid w:val="00A64FB7"/>
    <w:rsid w:val="00A6593F"/>
    <w:rsid w:val="00A7219D"/>
    <w:rsid w:val="00A815CC"/>
    <w:rsid w:val="00AA1F43"/>
    <w:rsid w:val="00AA7A19"/>
    <w:rsid w:val="00AE3743"/>
    <w:rsid w:val="00AF589D"/>
    <w:rsid w:val="00B02CF4"/>
    <w:rsid w:val="00B50557"/>
    <w:rsid w:val="00B569AE"/>
    <w:rsid w:val="00B6043D"/>
    <w:rsid w:val="00B81143"/>
    <w:rsid w:val="00B87950"/>
    <w:rsid w:val="00BA29EA"/>
    <w:rsid w:val="00BD50A9"/>
    <w:rsid w:val="00BE3AC6"/>
    <w:rsid w:val="00C313C9"/>
    <w:rsid w:val="00C72774"/>
    <w:rsid w:val="00CA778C"/>
    <w:rsid w:val="00CB0D76"/>
    <w:rsid w:val="00CB431F"/>
    <w:rsid w:val="00CF240E"/>
    <w:rsid w:val="00D25CA4"/>
    <w:rsid w:val="00D3491B"/>
    <w:rsid w:val="00D60A9D"/>
    <w:rsid w:val="00DB4C43"/>
    <w:rsid w:val="00DB4EE0"/>
    <w:rsid w:val="00DC74A7"/>
    <w:rsid w:val="00DD5DB0"/>
    <w:rsid w:val="00DF2BCA"/>
    <w:rsid w:val="00DF7BCA"/>
    <w:rsid w:val="00E31175"/>
    <w:rsid w:val="00E34923"/>
    <w:rsid w:val="00E53EB7"/>
    <w:rsid w:val="00E7715D"/>
    <w:rsid w:val="00E82F34"/>
    <w:rsid w:val="00E86B61"/>
    <w:rsid w:val="00E91068"/>
    <w:rsid w:val="00EA122A"/>
    <w:rsid w:val="00EB1CB6"/>
    <w:rsid w:val="00EB33D5"/>
    <w:rsid w:val="00EC10CB"/>
    <w:rsid w:val="00EC22D1"/>
    <w:rsid w:val="00ED6A64"/>
    <w:rsid w:val="00F4033E"/>
    <w:rsid w:val="00F41B56"/>
    <w:rsid w:val="00F46D54"/>
    <w:rsid w:val="00FB4461"/>
    <w:rsid w:val="00FD4162"/>
    <w:rsid w:val="00FD44A1"/>
    <w:rsid w:val="00FF73D9"/>
    <w:rsid w:val="01074046"/>
    <w:rsid w:val="01087146"/>
    <w:rsid w:val="01320A89"/>
    <w:rsid w:val="013D14D4"/>
    <w:rsid w:val="013F4762"/>
    <w:rsid w:val="014F62A2"/>
    <w:rsid w:val="01555D36"/>
    <w:rsid w:val="01564A0B"/>
    <w:rsid w:val="01571B3E"/>
    <w:rsid w:val="015B57CD"/>
    <w:rsid w:val="015C039B"/>
    <w:rsid w:val="015D0B69"/>
    <w:rsid w:val="0161232D"/>
    <w:rsid w:val="0162669E"/>
    <w:rsid w:val="01731009"/>
    <w:rsid w:val="01755B07"/>
    <w:rsid w:val="01785925"/>
    <w:rsid w:val="017C1861"/>
    <w:rsid w:val="01814DD7"/>
    <w:rsid w:val="01855D40"/>
    <w:rsid w:val="01874589"/>
    <w:rsid w:val="018F15B1"/>
    <w:rsid w:val="019330E1"/>
    <w:rsid w:val="019A26F4"/>
    <w:rsid w:val="01A76B9F"/>
    <w:rsid w:val="01AA6E84"/>
    <w:rsid w:val="01B3283C"/>
    <w:rsid w:val="01B55669"/>
    <w:rsid w:val="01BB651F"/>
    <w:rsid w:val="01C77ACE"/>
    <w:rsid w:val="01CB14EB"/>
    <w:rsid w:val="01CE06EA"/>
    <w:rsid w:val="01D504F3"/>
    <w:rsid w:val="01E02CC3"/>
    <w:rsid w:val="01EE2233"/>
    <w:rsid w:val="020A6725"/>
    <w:rsid w:val="020B5247"/>
    <w:rsid w:val="02117A13"/>
    <w:rsid w:val="02175600"/>
    <w:rsid w:val="02201996"/>
    <w:rsid w:val="02215178"/>
    <w:rsid w:val="022B1076"/>
    <w:rsid w:val="02336432"/>
    <w:rsid w:val="023A0ACB"/>
    <w:rsid w:val="023F7854"/>
    <w:rsid w:val="02444CD5"/>
    <w:rsid w:val="024D3B57"/>
    <w:rsid w:val="02543B8E"/>
    <w:rsid w:val="02571FB0"/>
    <w:rsid w:val="0276779B"/>
    <w:rsid w:val="02774426"/>
    <w:rsid w:val="027D39E1"/>
    <w:rsid w:val="02847DB9"/>
    <w:rsid w:val="028B1BD6"/>
    <w:rsid w:val="029C681D"/>
    <w:rsid w:val="02B36B56"/>
    <w:rsid w:val="02BB49CE"/>
    <w:rsid w:val="02C9587A"/>
    <w:rsid w:val="02DB343C"/>
    <w:rsid w:val="02DD20FE"/>
    <w:rsid w:val="02E318C8"/>
    <w:rsid w:val="02E75AF7"/>
    <w:rsid w:val="02E9438C"/>
    <w:rsid w:val="02E94D2D"/>
    <w:rsid w:val="02F726C6"/>
    <w:rsid w:val="030339CF"/>
    <w:rsid w:val="03063938"/>
    <w:rsid w:val="030D661A"/>
    <w:rsid w:val="03107520"/>
    <w:rsid w:val="031D6D1E"/>
    <w:rsid w:val="031E29D7"/>
    <w:rsid w:val="032343D2"/>
    <w:rsid w:val="03236089"/>
    <w:rsid w:val="032D73EC"/>
    <w:rsid w:val="033D1FC5"/>
    <w:rsid w:val="03441AEB"/>
    <w:rsid w:val="03483054"/>
    <w:rsid w:val="03531B2E"/>
    <w:rsid w:val="03665FE4"/>
    <w:rsid w:val="036D76E4"/>
    <w:rsid w:val="037263D9"/>
    <w:rsid w:val="03742523"/>
    <w:rsid w:val="0376595C"/>
    <w:rsid w:val="03815C3A"/>
    <w:rsid w:val="038559E0"/>
    <w:rsid w:val="03A21089"/>
    <w:rsid w:val="03AE7610"/>
    <w:rsid w:val="03B10EB7"/>
    <w:rsid w:val="03B22722"/>
    <w:rsid w:val="03CF5C14"/>
    <w:rsid w:val="03D07326"/>
    <w:rsid w:val="03DC235A"/>
    <w:rsid w:val="03DF073B"/>
    <w:rsid w:val="03E0331E"/>
    <w:rsid w:val="03E26B34"/>
    <w:rsid w:val="03E463D3"/>
    <w:rsid w:val="03EA4A92"/>
    <w:rsid w:val="03EF1C97"/>
    <w:rsid w:val="0409154E"/>
    <w:rsid w:val="040D15EA"/>
    <w:rsid w:val="041202D3"/>
    <w:rsid w:val="041B7AA1"/>
    <w:rsid w:val="042C6938"/>
    <w:rsid w:val="04313574"/>
    <w:rsid w:val="043F724A"/>
    <w:rsid w:val="04434073"/>
    <w:rsid w:val="045D5E10"/>
    <w:rsid w:val="04747836"/>
    <w:rsid w:val="0478104E"/>
    <w:rsid w:val="04883E48"/>
    <w:rsid w:val="04884804"/>
    <w:rsid w:val="0491352B"/>
    <w:rsid w:val="0496529C"/>
    <w:rsid w:val="049C7734"/>
    <w:rsid w:val="049F249A"/>
    <w:rsid w:val="04A86BEE"/>
    <w:rsid w:val="04B35BE8"/>
    <w:rsid w:val="04BE0FEF"/>
    <w:rsid w:val="04C84A7D"/>
    <w:rsid w:val="04CE76E4"/>
    <w:rsid w:val="04D3141D"/>
    <w:rsid w:val="04E9332F"/>
    <w:rsid w:val="04F26F4E"/>
    <w:rsid w:val="05002400"/>
    <w:rsid w:val="05091489"/>
    <w:rsid w:val="050A32C4"/>
    <w:rsid w:val="051A341F"/>
    <w:rsid w:val="052147EF"/>
    <w:rsid w:val="05362AF7"/>
    <w:rsid w:val="05432981"/>
    <w:rsid w:val="05513968"/>
    <w:rsid w:val="0560382E"/>
    <w:rsid w:val="056636DB"/>
    <w:rsid w:val="05681A75"/>
    <w:rsid w:val="056D0811"/>
    <w:rsid w:val="05752390"/>
    <w:rsid w:val="05871DC9"/>
    <w:rsid w:val="058C6389"/>
    <w:rsid w:val="05925DF6"/>
    <w:rsid w:val="05A35D37"/>
    <w:rsid w:val="05A40B04"/>
    <w:rsid w:val="05AB6CBE"/>
    <w:rsid w:val="05B35541"/>
    <w:rsid w:val="05B97FF5"/>
    <w:rsid w:val="05BD097D"/>
    <w:rsid w:val="05C10E79"/>
    <w:rsid w:val="05C33333"/>
    <w:rsid w:val="05CB7C34"/>
    <w:rsid w:val="05D05B48"/>
    <w:rsid w:val="05D07F44"/>
    <w:rsid w:val="05D45FEB"/>
    <w:rsid w:val="05DD7822"/>
    <w:rsid w:val="05E5128D"/>
    <w:rsid w:val="05F05F3C"/>
    <w:rsid w:val="05F33DE3"/>
    <w:rsid w:val="05F5438C"/>
    <w:rsid w:val="05FD2716"/>
    <w:rsid w:val="06023097"/>
    <w:rsid w:val="0604537E"/>
    <w:rsid w:val="06101C8C"/>
    <w:rsid w:val="062B60C2"/>
    <w:rsid w:val="06326A2D"/>
    <w:rsid w:val="06396A33"/>
    <w:rsid w:val="06413FA8"/>
    <w:rsid w:val="064B7704"/>
    <w:rsid w:val="06507805"/>
    <w:rsid w:val="06575936"/>
    <w:rsid w:val="06602BB4"/>
    <w:rsid w:val="06637207"/>
    <w:rsid w:val="066C1959"/>
    <w:rsid w:val="067B719C"/>
    <w:rsid w:val="06807BE4"/>
    <w:rsid w:val="06820453"/>
    <w:rsid w:val="068948CD"/>
    <w:rsid w:val="06932FF7"/>
    <w:rsid w:val="06A341A7"/>
    <w:rsid w:val="06A82F5B"/>
    <w:rsid w:val="06B75333"/>
    <w:rsid w:val="06C1338D"/>
    <w:rsid w:val="06C34A90"/>
    <w:rsid w:val="06D44F60"/>
    <w:rsid w:val="06E86867"/>
    <w:rsid w:val="06EF4912"/>
    <w:rsid w:val="06F92C5D"/>
    <w:rsid w:val="06FD211F"/>
    <w:rsid w:val="070047B4"/>
    <w:rsid w:val="070159FE"/>
    <w:rsid w:val="07052346"/>
    <w:rsid w:val="070839E5"/>
    <w:rsid w:val="070D4194"/>
    <w:rsid w:val="07106B48"/>
    <w:rsid w:val="071A4A25"/>
    <w:rsid w:val="071F425E"/>
    <w:rsid w:val="07335F45"/>
    <w:rsid w:val="07386A5E"/>
    <w:rsid w:val="073B41FD"/>
    <w:rsid w:val="074D22D5"/>
    <w:rsid w:val="07545637"/>
    <w:rsid w:val="075D175E"/>
    <w:rsid w:val="0760459B"/>
    <w:rsid w:val="07650044"/>
    <w:rsid w:val="07787161"/>
    <w:rsid w:val="077A7B8A"/>
    <w:rsid w:val="07A028AF"/>
    <w:rsid w:val="07A1446C"/>
    <w:rsid w:val="07A40B28"/>
    <w:rsid w:val="07A502F4"/>
    <w:rsid w:val="07AA4CD9"/>
    <w:rsid w:val="07BC43A4"/>
    <w:rsid w:val="07BC729D"/>
    <w:rsid w:val="07C90E80"/>
    <w:rsid w:val="07D22F1A"/>
    <w:rsid w:val="07D608D5"/>
    <w:rsid w:val="07D87287"/>
    <w:rsid w:val="07DC5FAA"/>
    <w:rsid w:val="07E37B1C"/>
    <w:rsid w:val="07E509E1"/>
    <w:rsid w:val="07EE390E"/>
    <w:rsid w:val="07F0031C"/>
    <w:rsid w:val="082D6213"/>
    <w:rsid w:val="082E414A"/>
    <w:rsid w:val="08342D07"/>
    <w:rsid w:val="0834513C"/>
    <w:rsid w:val="08483D46"/>
    <w:rsid w:val="08491145"/>
    <w:rsid w:val="08596130"/>
    <w:rsid w:val="086134C4"/>
    <w:rsid w:val="08686183"/>
    <w:rsid w:val="086C4F68"/>
    <w:rsid w:val="08831B75"/>
    <w:rsid w:val="088D0831"/>
    <w:rsid w:val="08A211FF"/>
    <w:rsid w:val="08A510FD"/>
    <w:rsid w:val="08A623AF"/>
    <w:rsid w:val="08AC7940"/>
    <w:rsid w:val="08AD335A"/>
    <w:rsid w:val="08B6623B"/>
    <w:rsid w:val="08B662E7"/>
    <w:rsid w:val="08C30554"/>
    <w:rsid w:val="08D36930"/>
    <w:rsid w:val="08E33990"/>
    <w:rsid w:val="08E94ECE"/>
    <w:rsid w:val="08EA1524"/>
    <w:rsid w:val="08FB3880"/>
    <w:rsid w:val="0901439C"/>
    <w:rsid w:val="09065566"/>
    <w:rsid w:val="090B2DF9"/>
    <w:rsid w:val="090C053C"/>
    <w:rsid w:val="090E7C9B"/>
    <w:rsid w:val="091468DD"/>
    <w:rsid w:val="093375BB"/>
    <w:rsid w:val="09385D4D"/>
    <w:rsid w:val="094F58AB"/>
    <w:rsid w:val="094F5C49"/>
    <w:rsid w:val="095A0746"/>
    <w:rsid w:val="096E2CA3"/>
    <w:rsid w:val="097C41BE"/>
    <w:rsid w:val="098477C5"/>
    <w:rsid w:val="09882276"/>
    <w:rsid w:val="09886F8A"/>
    <w:rsid w:val="098B7D00"/>
    <w:rsid w:val="09927ABB"/>
    <w:rsid w:val="09962F02"/>
    <w:rsid w:val="09987EDA"/>
    <w:rsid w:val="09B25955"/>
    <w:rsid w:val="09B62172"/>
    <w:rsid w:val="09B66121"/>
    <w:rsid w:val="09BF31F9"/>
    <w:rsid w:val="09C7288A"/>
    <w:rsid w:val="09CC00F6"/>
    <w:rsid w:val="09D32AA4"/>
    <w:rsid w:val="09D427C0"/>
    <w:rsid w:val="09DC4DF0"/>
    <w:rsid w:val="09E22E5A"/>
    <w:rsid w:val="09EA3420"/>
    <w:rsid w:val="09EA7403"/>
    <w:rsid w:val="09F01221"/>
    <w:rsid w:val="09F064E7"/>
    <w:rsid w:val="09F64B8F"/>
    <w:rsid w:val="0A183BDE"/>
    <w:rsid w:val="0A207B1F"/>
    <w:rsid w:val="0A2723E4"/>
    <w:rsid w:val="0A2A36C4"/>
    <w:rsid w:val="0A2E5D2E"/>
    <w:rsid w:val="0A555046"/>
    <w:rsid w:val="0A5C6E0F"/>
    <w:rsid w:val="0A796CC5"/>
    <w:rsid w:val="0A7D181C"/>
    <w:rsid w:val="0A827AF5"/>
    <w:rsid w:val="0A841A62"/>
    <w:rsid w:val="0A844B06"/>
    <w:rsid w:val="0A857D39"/>
    <w:rsid w:val="0A885898"/>
    <w:rsid w:val="0A8D64ED"/>
    <w:rsid w:val="0A8D7DFD"/>
    <w:rsid w:val="0A903042"/>
    <w:rsid w:val="0A917864"/>
    <w:rsid w:val="0AA01447"/>
    <w:rsid w:val="0AA71C88"/>
    <w:rsid w:val="0AA95240"/>
    <w:rsid w:val="0AAE031A"/>
    <w:rsid w:val="0ABA440B"/>
    <w:rsid w:val="0ABF7418"/>
    <w:rsid w:val="0ACB0662"/>
    <w:rsid w:val="0AD140C6"/>
    <w:rsid w:val="0AD36DC9"/>
    <w:rsid w:val="0AE1709D"/>
    <w:rsid w:val="0AEF1CA4"/>
    <w:rsid w:val="0AF62D76"/>
    <w:rsid w:val="0AFC4F93"/>
    <w:rsid w:val="0AFC7A29"/>
    <w:rsid w:val="0B000355"/>
    <w:rsid w:val="0B032D8A"/>
    <w:rsid w:val="0B0A635E"/>
    <w:rsid w:val="0B103B47"/>
    <w:rsid w:val="0B2064B2"/>
    <w:rsid w:val="0B2D4768"/>
    <w:rsid w:val="0B3558A5"/>
    <w:rsid w:val="0B385C98"/>
    <w:rsid w:val="0B3B3643"/>
    <w:rsid w:val="0B426D02"/>
    <w:rsid w:val="0B483DAF"/>
    <w:rsid w:val="0B4A77EA"/>
    <w:rsid w:val="0B4B547D"/>
    <w:rsid w:val="0B4F1AAF"/>
    <w:rsid w:val="0B505CD8"/>
    <w:rsid w:val="0B5B7DD1"/>
    <w:rsid w:val="0B5D4EE0"/>
    <w:rsid w:val="0B63435B"/>
    <w:rsid w:val="0B8A7168"/>
    <w:rsid w:val="0B8B10C0"/>
    <w:rsid w:val="0B99666A"/>
    <w:rsid w:val="0B997CAF"/>
    <w:rsid w:val="0B9E62C4"/>
    <w:rsid w:val="0BA13491"/>
    <w:rsid w:val="0BA51239"/>
    <w:rsid w:val="0BA645D0"/>
    <w:rsid w:val="0BBD1B43"/>
    <w:rsid w:val="0BC466F4"/>
    <w:rsid w:val="0BC631B1"/>
    <w:rsid w:val="0BC726AE"/>
    <w:rsid w:val="0BCC24DE"/>
    <w:rsid w:val="0BD27054"/>
    <w:rsid w:val="0BD45DB0"/>
    <w:rsid w:val="0BE175FA"/>
    <w:rsid w:val="0C2B34D5"/>
    <w:rsid w:val="0C346CC5"/>
    <w:rsid w:val="0C3D07BF"/>
    <w:rsid w:val="0C4613F7"/>
    <w:rsid w:val="0C5251EE"/>
    <w:rsid w:val="0C5974B7"/>
    <w:rsid w:val="0C5E192C"/>
    <w:rsid w:val="0C68751A"/>
    <w:rsid w:val="0C7505D5"/>
    <w:rsid w:val="0C7722F9"/>
    <w:rsid w:val="0C810D74"/>
    <w:rsid w:val="0C8223AA"/>
    <w:rsid w:val="0C825A90"/>
    <w:rsid w:val="0C87620F"/>
    <w:rsid w:val="0C8B1CB3"/>
    <w:rsid w:val="0C8C7FCB"/>
    <w:rsid w:val="0C8F7B18"/>
    <w:rsid w:val="0C9F555A"/>
    <w:rsid w:val="0CA347A7"/>
    <w:rsid w:val="0CB030D0"/>
    <w:rsid w:val="0CBD2E10"/>
    <w:rsid w:val="0CBD7D37"/>
    <w:rsid w:val="0CBE6AA1"/>
    <w:rsid w:val="0CCA4B07"/>
    <w:rsid w:val="0CCF5AA7"/>
    <w:rsid w:val="0CD20F22"/>
    <w:rsid w:val="0CD42BF0"/>
    <w:rsid w:val="0CD574E2"/>
    <w:rsid w:val="0CD635DC"/>
    <w:rsid w:val="0CE1113C"/>
    <w:rsid w:val="0D042796"/>
    <w:rsid w:val="0D1666C2"/>
    <w:rsid w:val="0D2F145E"/>
    <w:rsid w:val="0D3201BB"/>
    <w:rsid w:val="0D446F88"/>
    <w:rsid w:val="0D6C0F92"/>
    <w:rsid w:val="0D862E26"/>
    <w:rsid w:val="0D871BC2"/>
    <w:rsid w:val="0D8F2357"/>
    <w:rsid w:val="0D9A621B"/>
    <w:rsid w:val="0DA16BA8"/>
    <w:rsid w:val="0DA65670"/>
    <w:rsid w:val="0DA77083"/>
    <w:rsid w:val="0DB11C19"/>
    <w:rsid w:val="0DC652DC"/>
    <w:rsid w:val="0DCA2163"/>
    <w:rsid w:val="0DCC33D9"/>
    <w:rsid w:val="0DD07926"/>
    <w:rsid w:val="0DDB0847"/>
    <w:rsid w:val="0DDC7116"/>
    <w:rsid w:val="0DF3401C"/>
    <w:rsid w:val="0DF5249E"/>
    <w:rsid w:val="0DFF1CA5"/>
    <w:rsid w:val="0E1A6B31"/>
    <w:rsid w:val="0E2461F6"/>
    <w:rsid w:val="0E2A3D70"/>
    <w:rsid w:val="0E3A01FA"/>
    <w:rsid w:val="0E3C19C8"/>
    <w:rsid w:val="0E4404B2"/>
    <w:rsid w:val="0E4410A5"/>
    <w:rsid w:val="0E4970D4"/>
    <w:rsid w:val="0E4B613E"/>
    <w:rsid w:val="0E4C3E08"/>
    <w:rsid w:val="0E543543"/>
    <w:rsid w:val="0E553BAF"/>
    <w:rsid w:val="0E6377E1"/>
    <w:rsid w:val="0E761B6C"/>
    <w:rsid w:val="0E773ABB"/>
    <w:rsid w:val="0E7F3F63"/>
    <w:rsid w:val="0E8807BD"/>
    <w:rsid w:val="0E9B4995"/>
    <w:rsid w:val="0E9D4EFB"/>
    <w:rsid w:val="0EAD5805"/>
    <w:rsid w:val="0EBF4221"/>
    <w:rsid w:val="0EC1568B"/>
    <w:rsid w:val="0EC20938"/>
    <w:rsid w:val="0ED9617E"/>
    <w:rsid w:val="0EE11F36"/>
    <w:rsid w:val="0EE42959"/>
    <w:rsid w:val="0EEA1BC7"/>
    <w:rsid w:val="0EFD2849"/>
    <w:rsid w:val="0F0668CA"/>
    <w:rsid w:val="0F0D7B3F"/>
    <w:rsid w:val="0F2E7F18"/>
    <w:rsid w:val="0F31112A"/>
    <w:rsid w:val="0F3B4855"/>
    <w:rsid w:val="0F4126ED"/>
    <w:rsid w:val="0F4328C8"/>
    <w:rsid w:val="0F500AB0"/>
    <w:rsid w:val="0F524416"/>
    <w:rsid w:val="0F5C78A9"/>
    <w:rsid w:val="0F5D3222"/>
    <w:rsid w:val="0F5D59BD"/>
    <w:rsid w:val="0F6147A0"/>
    <w:rsid w:val="0F6436AB"/>
    <w:rsid w:val="0F76004A"/>
    <w:rsid w:val="0F761DF7"/>
    <w:rsid w:val="0F7F46C4"/>
    <w:rsid w:val="0F815185"/>
    <w:rsid w:val="0F8D109F"/>
    <w:rsid w:val="0F8F2578"/>
    <w:rsid w:val="0F945149"/>
    <w:rsid w:val="0FA56FC7"/>
    <w:rsid w:val="0FA96E6B"/>
    <w:rsid w:val="0FAD3053"/>
    <w:rsid w:val="0FAF00BC"/>
    <w:rsid w:val="0FB6376E"/>
    <w:rsid w:val="0FBA4E83"/>
    <w:rsid w:val="0FBC73ED"/>
    <w:rsid w:val="0FBF07D3"/>
    <w:rsid w:val="0FC54EE6"/>
    <w:rsid w:val="0FD609C1"/>
    <w:rsid w:val="0FE2665E"/>
    <w:rsid w:val="0FF6328B"/>
    <w:rsid w:val="10052627"/>
    <w:rsid w:val="100C3E07"/>
    <w:rsid w:val="1017171F"/>
    <w:rsid w:val="101B4FC5"/>
    <w:rsid w:val="10206FB0"/>
    <w:rsid w:val="10230B93"/>
    <w:rsid w:val="10333EDE"/>
    <w:rsid w:val="103831C6"/>
    <w:rsid w:val="103E4562"/>
    <w:rsid w:val="10404158"/>
    <w:rsid w:val="10524AF7"/>
    <w:rsid w:val="10667BFA"/>
    <w:rsid w:val="106F19C5"/>
    <w:rsid w:val="10820F19"/>
    <w:rsid w:val="108A4404"/>
    <w:rsid w:val="108A7C66"/>
    <w:rsid w:val="109A0CC1"/>
    <w:rsid w:val="10A136B9"/>
    <w:rsid w:val="10A42E2D"/>
    <w:rsid w:val="10A44B24"/>
    <w:rsid w:val="10A565D2"/>
    <w:rsid w:val="10AF51E5"/>
    <w:rsid w:val="10B42F83"/>
    <w:rsid w:val="10BA6E1A"/>
    <w:rsid w:val="10BB0E4D"/>
    <w:rsid w:val="10C2430D"/>
    <w:rsid w:val="10C462FA"/>
    <w:rsid w:val="10C6414F"/>
    <w:rsid w:val="10C90ACF"/>
    <w:rsid w:val="10CA3BDC"/>
    <w:rsid w:val="10CC3260"/>
    <w:rsid w:val="10CF3E89"/>
    <w:rsid w:val="10D51C8E"/>
    <w:rsid w:val="10D805D5"/>
    <w:rsid w:val="10E84C83"/>
    <w:rsid w:val="10F918EB"/>
    <w:rsid w:val="111B28C2"/>
    <w:rsid w:val="112003A1"/>
    <w:rsid w:val="11293937"/>
    <w:rsid w:val="113822C9"/>
    <w:rsid w:val="11413EB7"/>
    <w:rsid w:val="1146686D"/>
    <w:rsid w:val="114F1313"/>
    <w:rsid w:val="11565CBD"/>
    <w:rsid w:val="11637FF6"/>
    <w:rsid w:val="11706D7A"/>
    <w:rsid w:val="11706ED2"/>
    <w:rsid w:val="117307F9"/>
    <w:rsid w:val="11796DD7"/>
    <w:rsid w:val="117B2EF3"/>
    <w:rsid w:val="118A79F7"/>
    <w:rsid w:val="1192561D"/>
    <w:rsid w:val="11941056"/>
    <w:rsid w:val="119909C8"/>
    <w:rsid w:val="119B2E2E"/>
    <w:rsid w:val="119D4013"/>
    <w:rsid w:val="11A23BF6"/>
    <w:rsid w:val="11A6066D"/>
    <w:rsid w:val="11A87179"/>
    <w:rsid w:val="11AB4549"/>
    <w:rsid w:val="11AE7D52"/>
    <w:rsid w:val="11B52839"/>
    <w:rsid w:val="11CA4CC1"/>
    <w:rsid w:val="11D67F5D"/>
    <w:rsid w:val="11D75F2A"/>
    <w:rsid w:val="11DD0499"/>
    <w:rsid w:val="11DD31D1"/>
    <w:rsid w:val="11E42EA6"/>
    <w:rsid w:val="11F41772"/>
    <w:rsid w:val="12046B3C"/>
    <w:rsid w:val="1208336E"/>
    <w:rsid w:val="1220793A"/>
    <w:rsid w:val="12211262"/>
    <w:rsid w:val="122C3702"/>
    <w:rsid w:val="122E55DD"/>
    <w:rsid w:val="12334A21"/>
    <w:rsid w:val="123D3805"/>
    <w:rsid w:val="12412EA7"/>
    <w:rsid w:val="126D039E"/>
    <w:rsid w:val="127508B0"/>
    <w:rsid w:val="1285444F"/>
    <w:rsid w:val="12854E8E"/>
    <w:rsid w:val="12AF2AF5"/>
    <w:rsid w:val="12C32643"/>
    <w:rsid w:val="12C60065"/>
    <w:rsid w:val="12C752F2"/>
    <w:rsid w:val="12DA0E63"/>
    <w:rsid w:val="12DD0117"/>
    <w:rsid w:val="12DD4D68"/>
    <w:rsid w:val="12DE4FDF"/>
    <w:rsid w:val="12F04D11"/>
    <w:rsid w:val="12F176F2"/>
    <w:rsid w:val="12F56A98"/>
    <w:rsid w:val="12F862BA"/>
    <w:rsid w:val="130200A8"/>
    <w:rsid w:val="130A7E0F"/>
    <w:rsid w:val="130F4894"/>
    <w:rsid w:val="13141E2E"/>
    <w:rsid w:val="13171052"/>
    <w:rsid w:val="131B17A3"/>
    <w:rsid w:val="131E6CBD"/>
    <w:rsid w:val="13220DA4"/>
    <w:rsid w:val="132E25B7"/>
    <w:rsid w:val="133875FC"/>
    <w:rsid w:val="133935F6"/>
    <w:rsid w:val="13394607"/>
    <w:rsid w:val="133C1B34"/>
    <w:rsid w:val="133F7E3E"/>
    <w:rsid w:val="134A6FA1"/>
    <w:rsid w:val="135855BA"/>
    <w:rsid w:val="13636863"/>
    <w:rsid w:val="137148E6"/>
    <w:rsid w:val="13926C8F"/>
    <w:rsid w:val="139460E2"/>
    <w:rsid w:val="139C0911"/>
    <w:rsid w:val="13A34909"/>
    <w:rsid w:val="13B26B58"/>
    <w:rsid w:val="13BF68B0"/>
    <w:rsid w:val="13C2059E"/>
    <w:rsid w:val="13C82342"/>
    <w:rsid w:val="13CB2A15"/>
    <w:rsid w:val="13D171C9"/>
    <w:rsid w:val="13D34164"/>
    <w:rsid w:val="13E928B9"/>
    <w:rsid w:val="13EA53CB"/>
    <w:rsid w:val="13F8578D"/>
    <w:rsid w:val="14023E93"/>
    <w:rsid w:val="140305DD"/>
    <w:rsid w:val="140D4CC3"/>
    <w:rsid w:val="141603FF"/>
    <w:rsid w:val="14196037"/>
    <w:rsid w:val="141A1890"/>
    <w:rsid w:val="141E7A5A"/>
    <w:rsid w:val="1428784E"/>
    <w:rsid w:val="142F4A58"/>
    <w:rsid w:val="14311C32"/>
    <w:rsid w:val="143343BC"/>
    <w:rsid w:val="143B3F94"/>
    <w:rsid w:val="143E155D"/>
    <w:rsid w:val="14434081"/>
    <w:rsid w:val="14524FEA"/>
    <w:rsid w:val="14537D60"/>
    <w:rsid w:val="145F55A0"/>
    <w:rsid w:val="146A2630"/>
    <w:rsid w:val="146D09C8"/>
    <w:rsid w:val="14753CCA"/>
    <w:rsid w:val="14785993"/>
    <w:rsid w:val="147E7D46"/>
    <w:rsid w:val="1485728F"/>
    <w:rsid w:val="14874CB2"/>
    <w:rsid w:val="14B27947"/>
    <w:rsid w:val="14BE4E9D"/>
    <w:rsid w:val="14C11702"/>
    <w:rsid w:val="14C967EE"/>
    <w:rsid w:val="14DD0CB2"/>
    <w:rsid w:val="14E32182"/>
    <w:rsid w:val="14E46859"/>
    <w:rsid w:val="14E5108F"/>
    <w:rsid w:val="14E56D7F"/>
    <w:rsid w:val="14FC6299"/>
    <w:rsid w:val="15092CE2"/>
    <w:rsid w:val="15146B8D"/>
    <w:rsid w:val="151E3928"/>
    <w:rsid w:val="15270A82"/>
    <w:rsid w:val="153348AC"/>
    <w:rsid w:val="153649F6"/>
    <w:rsid w:val="154926B6"/>
    <w:rsid w:val="155D7538"/>
    <w:rsid w:val="15602622"/>
    <w:rsid w:val="15882251"/>
    <w:rsid w:val="158C79C7"/>
    <w:rsid w:val="159F0ADB"/>
    <w:rsid w:val="15A27F8D"/>
    <w:rsid w:val="15A7329A"/>
    <w:rsid w:val="15B02087"/>
    <w:rsid w:val="15BC1A66"/>
    <w:rsid w:val="15C20B7F"/>
    <w:rsid w:val="15C63674"/>
    <w:rsid w:val="15C7162A"/>
    <w:rsid w:val="15C71BAE"/>
    <w:rsid w:val="15D62F35"/>
    <w:rsid w:val="15E31513"/>
    <w:rsid w:val="15E33711"/>
    <w:rsid w:val="15E74810"/>
    <w:rsid w:val="16026D80"/>
    <w:rsid w:val="16094054"/>
    <w:rsid w:val="160B72AB"/>
    <w:rsid w:val="160F4D63"/>
    <w:rsid w:val="1611364A"/>
    <w:rsid w:val="16214B8C"/>
    <w:rsid w:val="162504D3"/>
    <w:rsid w:val="163A210E"/>
    <w:rsid w:val="163A71FB"/>
    <w:rsid w:val="163F3A39"/>
    <w:rsid w:val="164C3FF0"/>
    <w:rsid w:val="165E3EAB"/>
    <w:rsid w:val="165E551D"/>
    <w:rsid w:val="16720795"/>
    <w:rsid w:val="16757DC4"/>
    <w:rsid w:val="167B13A6"/>
    <w:rsid w:val="167F56C3"/>
    <w:rsid w:val="16A72652"/>
    <w:rsid w:val="16A77DCA"/>
    <w:rsid w:val="16AF43BD"/>
    <w:rsid w:val="16B24BC7"/>
    <w:rsid w:val="16B34234"/>
    <w:rsid w:val="16D34240"/>
    <w:rsid w:val="16E16A86"/>
    <w:rsid w:val="16E91EEF"/>
    <w:rsid w:val="16F76675"/>
    <w:rsid w:val="1702673E"/>
    <w:rsid w:val="170764AD"/>
    <w:rsid w:val="1712743B"/>
    <w:rsid w:val="17146B43"/>
    <w:rsid w:val="17317359"/>
    <w:rsid w:val="17334AF3"/>
    <w:rsid w:val="1734260A"/>
    <w:rsid w:val="17373E74"/>
    <w:rsid w:val="17407BE4"/>
    <w:rsid w:val="1749489B"/>
    <w:rsid w:val="17566A11"/>
    <w:rsid w:val="17671511"/>
    <w:rsid w:val="176A1936"/>
    <w:rsid w:val="176D08D2"/>
    <w:rsid w:val="176D1612"/>
    <w:rsid w:val="176E29FA"/>
    <w:rsid w:val="177D7B9E"/>
    <w:rsid w:val="178A3401"/>
    <w:rsid w:val="17914411"/>
    <w:rsid w:val="17A35554"/>
    <w:rsid w:val="17A4371E"/>
    <w:rsid w:val="17A804B8"/>
    <w:rsid w:val="17B71F43"/>
    <w:rsid w:val="17BB1EE3"/>
    <w:rsid w:val="17BB244C"/>
    <w:rsid w:val="17C17CA8"/>
    <w:rsid w:val="17C95459"/>
    <w:rsid w:val="17DA0856"/>
    <w:rsid w:val="17E7529B"/>
    <w:rsid w:val="17F21008"/>
    <w:rsid w:val="17F61C55"/>
    <w:rsid w:val="17F70B81"/>
    <w:rsid w:val="17F75769"/>
    <w:rsid w:val="17F91DD3"/>
    <w:rsid w:val="17FE294B"/>
    <w:rsid w:val="17FF78E9"/>
    <w:rsid w:val="18082A99"/>
    <w:rsid w:val="180947FD"/>
    <w:rsid w:val="18115A0E"/>
    <w:rsid w:val="181236E7"/>
    <w:rsid w:val="182A6AA0"/>
    <w:rsid w:val="182C22CC"/>
    <w:rsid w:val="182E1F2D"/>
    <w:rsid w:val="182F2F78"/>
    <w:rsid w:val="183C3E93"/>
    <w:rsid w:val="183C63FF"/>
    <w:rsid w:val="183E1116"/>
    <w:rsid w:val="18413D8A"/>
    <w:rsid w:val="186E6F89"/>
    <w:rsid w:val="187A0FAC"/>
    <w:rsid w:val="18923E81"/>
    <w:rsid w:val="189268DB"/>
    <w:rsid w:val="189370B5"/>
    <w:rsid w:val="18965EA0"/>
    <w:rsid w:val="189E21A5"/>
    <w:rsid w:val="18A075EC"/>
    <w:rsid w:val="18A36151"/>
    <w:rsid w:val="18C21A9E"/>
    <w:rsid w:val="18CC3E05"/>
    <w:rsid w:val="18CE0FAF"/>
    <w:rsid w:val="18ED2160"/>
    <w:rsid w:val="18EE3749"/>
    <w:rsid w:val="18F676BF"/>
    <w:rsid w:val="19150E17"/>
    <w:rsid w:val="19161247"/>
    <w:rsid w:val="19241126"/>
    <w:rsid w:val="19267E02"/>
    <w:rsid w:val="19332501"/>
    <w:rsid w:val="19444F26"/>
    <w:rsid w:val="19514EAD"/>
    <w:rsid w:val="19584FD4"/>
    <w:rsid w:val="195B1ABE"/>
    <w:rsid w:val="195C1080"/>
    <w:rsid w:val="195D28C8"/>
    <w:rsid w:val="19664670"/>
    <w:rsid w:val="19716B5F"/>
    <w:rsid w:val="197431A8"/>
    <w:rsid w:val="19747000"/>
    <w:rsid w:val="19761130"/>
    <w:rsid w:val="198C6BA3"/>
    <w:rsid w:val="19904CDA"/>
    <w:rsid w:val="19944212"/>
    <w:rsid w:val="19A848CE"/>
    <w:rsid w:val="19AA00F1"/>
    <w:rsid w:val="19B625BD"/>
    <w:rsid w:val="19BF38D3"/>
    <w:rsid w:val="19BF43BA"/>
    <w:rsid w:val="19C84559"/>
    <w:rsid w:val="19DA3D6E"/>
    <w:rsid w:val="19DE543D"/>
    <w:rsid w:val="19E26A19"/>
    <w:rsid w:val="19ED508F"/>
    <w:rsid w:val="19F51DAE"/>
    <w:rsid w:val="19F809AC"/>
    <w:rsid w:val="1A05381A"/>
    <w:rsid w:val="1A061BAE"/>
    <w:rsid w:val="1A1A1755"/>
    <w:rsid w:val="1A3B7251"/>
    <w:rsid w:val="1A3D459F"/>
    <w:rsid w:val="1A3F0085"/>
    <w:rsid w:val="1A481648"/>
    <w:rsid w:val="1A493DA2"/>
    <w:rsid w:val="1A566B3C"/>
    <w:rsid w:val="1A691311"/>
    <w:rsid w:val="1A7515F6"/>
    <w:rsid w:val="1A7E6681"/>
    <w:rsid w:val="1A934F6D"/>
    <w:rsid w:val="1A9A2DD4"/>
    <w:rsid w:val="1AA5105E"/>
    <w:rsid w:val="1AB43B0E"/>
    <w:rsid w:val="1ABC52F8"/>
    <w:rsid w:val="1AD450BF"/>
    <w:rsid w:val="1AD67472"/>
    <w:rsid w:val="1AEE3DBC"/>
    <w:rsid w:val="1AF172F9"/>
    <w:rsid w:val="1AF77E4C"/>
    <w:rsid w:val="1AFA5DD3"/>
    <w:rsid w:val="1B31066B"/>
    <w:rsid w:val="1B35192F"/>
    <w:rsid w:val="1B425636"/>
    <w:rsid w:val="1B516820"/>
    <w:rsid w:val="1B5C685A"/>
    <w:rsid w:val="1B5F55F8"/>
    <w:rsid w:val="1B6400DD"/>
    <w:rsid w:val="1B6C3AA8"/>
    <w:rsid w:val="1B6C451D"/>
    <w:rsid w:val="1B6C67DE"/>
    <w:rsid w:val="1B8026BE"/>
    <w:rsid w:val="1B812BD5"/>
    <w:rsid w:val="1B8C246C"/>
    <w:rsid w:val="1B957A34"/>
    <w:rsid w:val="1BA416A0"/>
    <w:rsid w:val="1BA94243"/>
    <w:rsid w:val="1BAA7B74"/>
    <w:rsid w:val="1BB22F8B"/>
    <w:rsid w:val="1BB40836"/>
    <w:rsid w:val="1BCA3F84"/>
    <w:rsid w:val="1BCB7A49"/>
    <w:rsid w:val="1BD86F30"/>
    <w:rsid w:val="1BE423FA"/>
    <w:rsid w:val="1BE524A7"/>
    <w:rsid w:val="1BE6349F"/>
    <w:rsid w:val="1BEF5590"/>
    <w:rsid w:val="1BF04858"/>
    <w:rsid w:val="1BF751E6"/>
    <w:rsid w:val="1BF91DDE"/>
    <w:rsid w:val="1BFC07A9"/>
    <w:rsid w:val="1C072B57"/>
    <w:rsid w:val="1C0C4E7B"/>
    <w:rsid w:val="1C0E6A48"/>
    <w:rsid w:val="1C131BC5"/>
    <w:rsid w:val="1C170433"/>
    <w:rsid w:val="1C1B065B"/>
    <w:rsid w:val="1C2B6512"/>
    <w:rsid w:val="1C35225B"/>
    <w:rsid w:val="1C384E1C"/>
    <w:rsid w:val="1C3A55A5"/>
    <w:rsid w:val="1C4A573D"/>
    <w:rsid w:val="1C5B5AF6"/>
    <w:rsid w:val="1C5B7611"/>
    <w:rsid w:val="1C672E0C"/>
    <w:rsid w:val="1C6B579A"/>
    <w:rsid w:val="1C6F7FE7"/>
    <w:rsid w:val="1C7B2153"/>
    <w:rsid w:val="1C8F0E9E"/>
    <w:rsid w:val="1CA01843"/>
    <w:rsid w:val="1CA6649C"/>
    <w:rsid w:val="1CA8750A"/>
    <w:rsid w:val="1CBA5C7F"/>
    <w:rsid w:val="1CBC4B9A"/>
    <w:rsid w:val="1CC51C68"/>
    <w:rsid w:val="1CC5417F"/>
    <w:rsid w:val="1CCF0419"/>
    <w:rsid w:val="1CD470CA"/>
    <w:rsid w:val="1CDB2B0F"/>
    <w:rsid w:val="1CE03283"/>
    <w:rsid w:val="1CE62EE1"/>
    <w:rsid w:val="1CEF1669"/>
    <w:rsid w:val="1CF01882"/>
    <w:rsid w:val="1CF85411"/>
    <w:rsid w:val="1D28123C"/>
    <w:rsid w:val="1D286A1B"/>
    <w:rsid w:val="1D3421D3"/>
    <w:rsid w:val="1D37040F"/>
    <w:rsid w:val="1D456E22"/>
    <w:rsid w:val="1D484C1A"/>
    <w:rsid w:val="1D575B87"/>
    <w:rsid w:val="1D601579"/>
    <w:rsid w:val="1D6C7639"/>
    <w:rsid w:val="1D6D45BF"/>
    <w:rsid w:val="1D7A122C"/>
    <w:rsid w:val="1D800EB0"/>
    <w:rsid w:val="1D855AF8"/>
    <w:rsid w:val="1D890A47"/>
    <w:rsid w:val="1D8E61A0"/>
    <w:rsid w:val="1D964B50"/>
    <w:rsid w:val="1D992B27"/>
    <w:rsid w:val="1DA85724"/>
    <w:rsid w:val="1DAC1531"/>
    <w:rsid w:val="1DAF6062"/>
    <w:rsid w:val="1DBF590D"/>
    <w:rsid w:val="1DC5555E"/>
    <w:rsid w:val="1DEB5C55"/>
    <w:rsid w:val="1DEE2BE4"/>
    <w:rsid w:val="1DF233E7"/>
    <w:rsid w:val="1E054F02"/>
    <w:rsid w:val="1E0844BA"/>
    <w:rsid w:val="1E0A2CBC"/>
    <w:rsid w:val="1E2101AF"/>
    <w:rsid w:val="1E243669"/>
    <w:rsid w:val="1E292E97"/>
    <w:rsid w:val="1E2B5F08"/>
    <w:rsid w:val="1E392AA0"/>
    <w:rsid w:val="1E41460A"/>
    <w:rsid w:val="1E455165"/>
    <w:rsid w:val="1E664AE8"/>
    <w:rsid w:val="1E66787F"/>
    <w:rsid w:val="1E7C434A"/>
    <w:rsid w:val="1E840130"/>
    <w:rsid w:val="1E852CF4"/>
    <w:rsid w:val="1E933284"/>
    <w:rsid w:val="1E992AE1"/>
    <w:rsid w:val="1EAB5F88"/>
    <w:rsid w:val="1EBD70F2"/>
    <w:rsid w:val="1EBF527E"/>
    <w:rsid w:val="1ED30E1E"/>
    <w:rsid w:val="1EE0406D"/>
    <w:rsid w:val="1EF172A5"/>
    <w:rsid w:val="1EFE4E7D"/>
    <w:rsid w:val="1F087131"/>
    <w:rsid w:val="1F0F65FB"/>
    <w:rsid w:val="1F114A63"/>
    <w:rsid w:val="1F115D33"/>
    <w:rsid w:val="1F2F5F8E"/>
    <w:rsid w:val="1F42409C"/>
    <w:rsid w:val="1F4522CC"/>
    <w:rsid w:val="1F464351"/>
    <w:rsid w:val="1F4D177B"/>
    <w:rsid w:val="1F4F0F9A"/>
    <w:rsid w:val="1F611FED"/>
    <w:rsid w:val="1F6B2BC8"/>
    <w:rsid w:val="1F714B49"/>
    <w:rsid w:val="1F7F2C8C"/>
    <w:rsid w:val="1F8A7DE4"/>
    <w:rsid w:val="1F8B275A"/>
    <w:rsid w:val="1F924453"/>
    <w:rsid w:val="1FA24B81"/>
    <w:rsid w:val="1FAF1436"/>
    <w:rsid w:val="1FB43BC6"/>
    <w:rsid w:val="1FB95844"/>
    <w:rsid w:val="1FB97998"/>
    <w:rsid w:val="1FD7167B"/>
    <w:rsid w:val="1FDA610A"/>
    <w:rsid w:val="1FE168A9"/>
    <w:rsid w:val="1FFA2257"/>
    <w:rsid w:val="200978D3"/>
    <w:rsid w:val="200C27B6"/>
    <w:rsid w:val="20171B8C"/>
    <w:rsid w:val="201A0721"/>
    <w:rsid w:val="201A75A0"/>
    <w:rsid w:val="202277DA"/>
    <w:rsid w:val="203150CB"/>
    <w:rsid w:val="203254EB"/>
    <w:rsid w:val="20356E03"/>
    <w:rsid w:val="203A04E7"/>
    <w:rsid w:val="20454846"/>
    <w:rsid w:val="20455F75"/>
    <w:rsid w:val="20546F73"/>
    <w:rsid w:val="205B6B40"/>
    <w:rsid w:val="20600A10"/>
    <w:rsid w:val="20601C02"/>
    <w:rsid w:val="2064698A"/>
    <w:rsid w:val="20695EC3"/>
    <w:rsid w:val="206A4625"/>
    <w:rsid w:val="206D2012"/>
    <w:rsid w:val="206E1F4D"/>
    <w:rsid w:val="207B6EE7"/>
    <w:rsid w:val="20862C79"/>
    <w:rsid w:val="208716B2"/>
    <w:rsid w:val="20B32243"/>
    <w:rsid w:val="20B34127"/>
    <w:rsid w:val="20B627FE"/>
    <w:rsid w:val="20B74057"/>
    <w:rsid w:val="20CB24ED"/>
    <w:rsid w:val="20CE1C4D"/>
    <w:rsid w:val="20D24E25"/>
    <w:rsid w:val="20DD3DB8"/>
    <w:rsid w:val="20E36E34"/>
    <w:rsid w:val="20F0628E"/>
    <w:rsid w:val="21053910"/>
    <w:rsid w:val="21150C66"/>
    <w:rsid w:val="211E31CB"/>
    <w:rsid w:val="21247C7E"/>
    <w:rsid w:val="212A20DE"/>
    <w:rsid w:val="213415BD"/>
    <w:rsid w:val="21342040"/>
    <w:rsid w:val="213C54CA"/>
    <w:rsid w:val="214D5B7C"/>
    <w:rsid w:val="214E4537"/>
    <w:rsid w:val="215D336C"/>
    <w:rsid w:val="21641421"/>
    <w:rsid w:val="218C54DC"/>
    <w:rsid w:val="218D3B2C"/>
    <w:rsid w:val="2190457D"/>
    <w:rsid w:val="2194300F"/>
    <w:rsid w:val="21A40A5F"/>
    <w:rsid w:val="21A870E7"/>
    <w:rsid w:val="21BB1E53"/>
    <w:rsid w:val="21C11051"/>
    <w:rsid w:val="21C9474B"/>
    <w:rsid w:val="21CA181C"/>
    <w:rsid w:val="21D01696"/>
    <w:rsid w:val="21E20C1C"/>
    <w:rsid w:val="21EB600E"/>
    <w:rsid w:val="220C246C"/>
    <w:rsid w:val="22242822"/>
    <w:rsid w:val="222F24C6"/>
    <w:rsid w:val="22311A43"/>
    <w:rsid w:val="22323084"/>
    <w:rsid w:val="22334AF4"/>
    <w:rsid w:val="2237604C"/>
    <w:rsid w:val="223F0988"/>
    <w:rsid w:val="22431EAF"/>
    <w:rsid w:val="224B6A17"/>
    <w:rsid w:val="2257273D"/>
    <w:rsid w:val="225D3D01"/>
    <w:rsid w:val="226213D1"/>
    <w:rsid w:val="226F53DC"/>
    <w:rsid w:val="2272644B"/>
    <w:rsid w:val="22730643"/>
    <w:rsid w:val="2276739F"/>
    <w:rsid w:val="228D1798"/>
    <w:rsid w:val="22934012"/>
    <w:rsid w:val="22945884"/>
    <w:rsid w:val="22AD0C2A"/>
    <w:rsid w:val="22B5350F"/>
    <w:rsid w:val="22BB322B"/>
    <w:rsid w:val="22BD7151"/>
    <w:rsid w:val="22C604E0"/>
    <w:rsid w:val="22C9213E"/>
    <w:rsid w:val="22E94AB1"/>
    <w:rsid w:val="22EE1F90"/>
    <w:rsid w:val="22F2208A"/>
    <w:rsid w:val="22F772F1"/>
    <w:rsid w:val="22FE2784"/>
    <w:rsid w:val="23002037"/>
    <w:rsid w:val="230E24AC"/>
    <w:rsid w:val="23322038"/>
    <w:rsid w:val="233F5379"/>
    <w:rsid w:val="2347109D"/>
    <w:rsid w:val="23512E0C"/>
    <w:rsid w:val="235204E6"/>
    <w:rsid w:val="23542ADE"/>
    <w:rsid w:val="2364575A"/>
    <w:rsid w:val="23656985"/>
    <w:rsid w:val="2368536F"/>
    <w:rsid w:val="2373040B"/>
    <w:rsid w:val="2381456E"/>
    <w:rsid w:val="23886124"/>
    <w:rsid w:val="239F3402"/>
    <w:rsid w:val="23A51E18"/>
    <w:rsid w:val="23AA0394"/>
    <w:rsid w:val="23BC64A6"/>
    <w:rsid w:val="23C17E7C"/>
    <w:rsid w:val="23C50F1D"/>
    <w:rsid w:val="23F024D5"/>
    <w:rsid w:val="23F35F5F"/>
    <w:rsid w:val="23FA4566"/>
    <w:rsid w:val="240418FD"/>
    <w:rsid w:val="240572D9"/>
    <w:rsid w:val="241909B7"/>
    <w:rsid w:val="241C69F8"/>
    <w:rsid w:val="24267C58"/>
    <w:rsid w:val="242F09CF"/>
    <w:rsid w:val="2436643F"/>
    <w:rsid w:val="24413E93"/>
    <w:rsid w:val="24424A6E"/>
    <w:rsid w:val="24471153"/>
    <w:rsid w:val="244E03E6"/>
    <w:rsid w:val="24535587"/>
    <w:rsid w:val="24565B3A"/>
    <w:rsid w:val="24754533"/>
    <w:rsid w:val="247B3488"/>
    <w:rsid w:val="24893C84"/>
    <w:rsid w:val="249B0B85"/>
    <w:rsid w:val="249E6456"/>
    <w:rsid w:val="24A90873"/>
    <w:rsid w:val="24AB2B08"/>
    <w:rsid w:val="24B81B41"/>
    <w:rsid w:val="24C45A46"/>
    <w:rsid w:val="24CA28B6"/>
    <w:rsid w:val="24D274C0"/>
    <w:rsid w:val="24D275D2"/>
    <w:rsid w:val="24D45A2D"/>
    <w:rsid w:val="24DC3896"/>
    <w:rsid w:val="24E32B45"/>
    <w:rsid w:val="24E444CC"/>
    <w:rsid w:val="24EA054D"/>
    <w:rsid w:val="24EE4DE2"/>
    <w:rsid w:val="24F072DB"/>
    <w:rsid w:val="25033CD2"/>
    <w:rsid w:val="251076B1"/>
    <w:rsid w:val="25213874"/>
    <w:rsid w:val="2527244E"/>
    <w:rsid w:val="2534254E"/>
    <w:rsid w:val="25383D75"/>
    <w:rsid w:val="25396E06"/>
    <w:rsid w:val="25420B0A"/>
    <w:rsid w:val="25433F14"/>
    <w:rsid w:val="254F3C66"/>
    <w:rsid w:val="2554089B"/>
    <w:rsid w:val="25543369"/>
    <w:rsid w:val="25570085"/>
    <w:rsid w:val="25590D47"/>
    <w:rsid w:val="255A6A33"/>
    <w:rsid w:val="25633F3D"/>
    <w:rsid w:val="256C056F"/>
    <w:rsid w:val="257324A8"/>
    <w:rsid w:val="258624C1"/>
    <w:rsid w:val="25923550"/>
    <w:rsid w:val="25956E98"/>
    <w:rsid w:val="25993A71"/>
    <w:rsid w:val="259D3FBA"/>
    <w:rsid w:val="25A96929"/>
    <w:rsid w:val="25AB1F27"/>
    <w:rsid w:val="25B90704"/>
    <w:rsid w:val="25BA1E1C"/>
    <w:rsid w:val="25DC4D1F"/>
    <w:rsid w:val="25E312AC"/>
    <w:rsid w:val="25E558C7"/>
    <w:rsid w:val="25EB65E2"/>
    <w:rsid w:val="25EC1E66"/>
    <w:rsid w:val="25ED33D2"/>
    <w:rsid w:val="25EE1190"/>
    <w:rsid w:val="25F862B3"/>
    <w:rsid w:val="26013435"/>
    <w:rsid w:val="26294138"/>
    <w:rsid w:val="262D5689"/>
    <w:rsid w:val="263F7428"/>
    <w:rsid w:val="266346E2"/>
    <w:rsid w:val="26662074"/>
    <w:rsid w:val="266F245B"/>
    <w:rsid w:val="266F5831"/>
    <w:rsid w:val="267758CC"/>
    <w:rsid w:val="267C7CB4"/>
    <w:rsid w:val="268A2E91"/>
    <w:rsid w:val="268C7C25"/>
    <w:rsid w:val="268E6E1C"/>
    <w:rsid w:val="269173C1"/>
    <w:rsid w:val="26967D4F"/>
    <w:rsid w:val="269A7114"/>
    <w:rsid w:val="26B3580F"/>
    <w:rsid w:val="26B4679E"/>
    <w:rsid w:val="26BC3415"/>
    <w:rsid w:val="26C24FB6"/>
    <w:rsid w:val="26C3077E"/>
    <w:rsid w:val="26C95489"/>
    <w:rsid w:val="26D24077"/>
    <w:rsid w:val="26D26C6A"/>
    <w:rsid w:val="26D94133"/>
    <w:rsid w:val="26E00AF2"/>
    <w:rsid w:val="26E312AF"/>
    <w:rsid w:val="26E35247"/>
    <w:rsid w:val="26EF1180"/>
    <w:rsid w:val="2713062B"/>
    <w:rsid w:val="271367EC"/>
    <w:rsid w:val="27256622"/>
    <w:rsid w:val="27262AE2"/>
    <w:rsid w:val="272B516E"/>
    <w:rsid w:val="27410EC2"/>
    <w:rsid w:val="274A69E0"/>
    <w:rsid w:val="276175F4"/>
    <w:rsid w:val="276D0529"/>
    <w:rsid w:val="2779749B"/>
    <w:rsid w:val="277F08A2"/>
    <w:rsid w:val="278109DC"/>
    <w:rsid w:val="27894C03"/>
    <w:rsid w:val="27933927"/>
    <w:rsid w:val="27992A4C"/>
    <w:rsid w:val="27A33E35"/>
    <w:rsid w:val="27A83A9A"/>
    <w:rsid w:val="27A94296"/>
    <w:rsid w:val="27B60BEB"/>
    <w:rsid w:val="27BD0064"/>
    <w:rsid w:val="27C34DE1"/>
    <w:rsid w:val="27C67E36"/>
    <w:rsid w:val="27D46DC6"/>
    <w:rsid w:val="27D73488"/>
    <w:rsid w:val="27D8374E"/>
    <w:rsid w:val="27DA0F13"/>
    <w:rsid w:val="27EB437A"/>
    <w:rsid w:val="27EF125D"/>
    <w:rsid w:val="27F528CB"/>
    <w:rsid w:val="27F56315"/>
    <w:rsid w:val="28110A08"/>
    <w:rsid w:val="2828350A"/>
    <w:rsid w:val="282F72FA"/>
    <w:rsid w:val="283907CE"/>
    <w:rsid w:val="28571957"/>
    <w:rsid w:val="28623C15"/>
    <w:rsid w:val="28697350"/>
    <w:rsid w:val="286E334A"/>
    <w:rsid w:val="287050B3"/>
    <w:rsid w:val="28755CC9"/>
    <w:rsid w:val="287F4399"/>
    <w:rsid w:val="2889440F"/>
    <w:rsid w:val="288F5571"/>
    <w:rsid w:val="28965033"/>
    <w:rsid w:val="28A052D3"/>
    <w:rsid w:val="28A06F4C"/>
    <w:rsid w:val="28AC6B03"/>
    <w:rsid w:val="28B02224"/>
    <w:rsid w:val="28B1615B"/>
    <w:rsid w:val="28B22BA5"/>
    <w:rsid w:val="28B278C0"/>
    <w:rsid w:val="28C146C3"/>
    <w:rsid w:val="28CA51CD"/>
    <w:rsid w:val="28CB1172"/>
    <w:rsid w:val="28CE738E"/>
    <w:rsid w:val="28D67316"/>
    <w:rsid w:val="290254C7"/>
    <w:rsid w:val="29087A30"/>
    <w:rsid w:val="291B5205"/>
    <w:rsid w:val="29236F16"/>
    <w:rsid w:val="292F6200"/>
    <w:rsid w:val="29331E5F"/>
    <w:rsid w:val="29334BDF"/>
    <w:rsid w:val="29436595"/>
    <w:rsid w:val="294C6C0B"/>
    <w:rsid w:val="29515B93"/>
    <w:rsid w:val="295676E3"/>
    <w:rsid w:val="295F57D7"/>
    <w:rsid w:val="29733705"/>
    <w:rsid w:val="297A56E5"/>
    <w:rsid w:val="29814635"/>
    <w:rsid w:val="29A36393"/>
    <w:rsid w:val="29A76063"/>
    <w:rsid w:val="29AB72C4"/>
    <w:rsid w:val="29B85251"/>
    <w:rsid w:val="29BA74BA"/>
    <w:rsid w:val="29C749A4"/>
    <w:rsid w:val="29CF5EA1"/>
    <w:rsid w:val="29F1767A"/>
    <w:rsid w:val="2A0019E0"/>
    <w:rsid w:val="2A045FE7"/>
    <w:rsid w:val="2A072146"/>
    <w:rsid w:val="2A0F729D"/>
    <w:rsid w:val="2A172745"/>
    <w:rsid w:val="2A1D74F2"/>
    <w:rsid w:val="2A2D7895"/>
    <w:rsid w:val="2A3F0385"/>
    <w:rsid w:val="2A430216"/>
    <w:rsid w:val="2A444CBB"/>
    <w:rsid w:val="2A454605"/>
    <w:rsid w:val="2A4B7186"/>
    <w:rsid w:val="2A5670C9"/>
    <w:rsid w:val="2A5E0C02"/>
    <w:rsid w:val="2A642161"/>
    <w:rsid w:val="2A685432"/>
    <w:rsid w:val="2A726A27"/>
    <w:rsid w:val="2A7351C7"/>
    <w:rsid w:val="2A7C32F6"/>
    <w:rsid w:val="2A822840"/>
    <w:rsid w:val="2A9233FE"/>
    <w:rsid w:val="2A9602BA"/>
    <w:rsid w:val="2A985E6C"/>
    <w:rsid w:val="2AB56028"/>
    <w:rsid w:val="2ACC3887"/>
    <w:rsid w:val="2ACE37B6"/>
    <w:rsid w:val="2AEA2A60"/>
    <w:rsid w:val="2AEA2A93"/>
    <w:rsid w:val="2AED15BA"/>
    <w:rsid w:val="2AEF5470"/>
    <w:rsid w:val="2AF509B4"/>
    <w:rsid w:val="2AF86D11"/>
    <w:rsid w:val="2AFC44BE"/>
    <w:rsid w:val="2B0D4DF8"/>
    <w:rsid w:val="2B1546A8"/>
    <w:rsid w:val="2B231B94"/>
    <w:rsid w:val="2B293D78"/>
    <w:rsid w:val="2B394314"/>
    <w:rsid w:val="2B3B1E2D"/>
    <w:rsid w:val="2B3E5205"/>
    <w:rsid w:val="2B603F9B"/>
    <w:rsid w:val="2B6C40D4"/>
    <w:rsid w:val="2B6E0D08"/>
    <w:rsid w:val="2B6E1D33"/>
    <w:rsid w:val="2B7447F6"/>
    <w:rsid w:val="2B8511D3"/>
    <w:rsid w:val="2B8F3B05"/>
    <w:rsid w:val="2B997A76"/>
    <w:rsid w:val="2B9E755E"/>
    <w:rsid w:val="2BB16E20"/>
    <w:rsid w:val="2BD31423"/>
    <w:rsid w:val="2BD862CC"/>
    <w:rsid w:val="2BE06716"/>
    <w:rsid w:val="2BE96133"/>
    <w:rsid w:val="2BFB567E"/>
    <w:rsid w:val="2BFE300B"/>
    <w:rsid w:val="2C085772"/>
    <w:rsid w:val="2C0B3A0F"/>
    <w:rsid w:val="2C0E0E81"/>
    <w:rsid w:val="2C120BF2"/>
    <w:rsid w:val="2C233268"/>
    <w:rsid w:val="2C34202D"/>
    <w:rsid w:val="2C3D4A6C"/>
    <w:rsid w:val="2C474C25"/>
    <w:rsid w:val="2C541121"/>
    <w:rsid w:val="2C703BB0"/>
    <w:rsid w:val="2C7F2782"/>
    <w:rsid w:val="2C827724"/>
    <w:rsid w:val="2C935F3D"/>
    <w:rsid w:val="2C9E1903"/>
    <w:rsid w:val="2CA32DB0"/>
    <w:rsid w:val="2CA43C41"/>
    <w:rsid w:val="2CAF7EB1"/>
    <w:rsid w:val="2CB8065D"/>
    <w:rsid w:val="2CBC5486"/>
    <w:rsid w:val="2CBE1783"/>
    <w:rsid w:val="2CC124B9"/>
    <w:rsid w:val="2CC97325"/>
    <w:rsid w:val="2CCE168E"/>
    <w:rsid w:val="2CD93B86"/>
    <w:rsid w:val="2CE3074D"/>
    <w:rsid w:val="2CE73DBF"/>
    <w:rsid w:val="2CEA56B6"/>
    <w:rsid w:val="2CEF4854"/>
    <w:rsid w:val="2CF5740A"/>
    <w:rsid w:val="2CFE0737"/>
    <w:rsid w:val="2CFE4B72"/>
    <w:rsid w:val="2D023C70"/>
    <w:rsid w:val="2D0B00FE"/>
    <w:rsid w:val="2D0F4A83"/>
    <w:rsid w:val="2D1D6D45"/>
    <w:rsid w:val="2D31698D"/>
    <w:rsid w:val="2D3367EB"/>
    <w:rsid w:val="2D36335F"/>
    <w:rsid w:val="2D3B2CC7"/>
    <w:rsid w:val="2D423636"/>
    <w:rsid w:val="2D4E072A"/>
    <w:rsid w:val="2D5E5EA2"/>
    <w:rsid w:val="2D725AAF"/>
    <w:rsid w:val="2D730FC1"/>
    <w:rsid w:val="2D8674BF"/>
    <w:rsid w:val="2D8874B6"/>
    <w:rsid w:val="2D8C76AE"/>
    <w:rsid w:val="2D956579"/>
    <w:rsid w:val="2D9771B8"/>
    <w:rsid w:val="2D983348"/>
    <w:rsid w:val="2DA34493"/>
    <w:rsid w:val="2DAC2659"/>
    <w:rsid w:val="2DC168A1"/>
    <w:rsid w:val="2DC81E94"/>
    <w:rsid w:val="2DD37126"/>
    <w:rsid w:val="2DE32195"/>
    <w:rsid w:val="2DE96A14"/>
    <w:rsid w:val="2DF27D78"/>
    <w:rsid w:val="2DF74FF8"/>
    <w:rsid w:val="2DFD129D"/>
    <w:rsid w:val="2DFF60D5"/>
    <w:rsid w:val="2E241E0A"/>
    <w:rsid w:val="2E283FBB"/>
    <w:rsid w:val="2E292267"/>
    <w:rsid w:val="2E347B0A"/>
    <w:rsid w:val="2E3C2E20"/>
    <w:rsid w:val="2E3D0A0C"/>
    <w:rsid w:val="2E3F3833"/>
    <w:rsid w:val="2E402E5B"/>
    <w:rsid w:val="2E4162D4"/>
    <w:rsid w:val="2E4776AD"/>
    <w:rsid w:val="2E5D563B"/>
    <w:rsid w:val="2E633B8A"/>
    <w:rsid w:val="2E6F56B9"/>
    <w:rsid w:val="2E794AF3"/>
    <w:rsid w:val="2E7C70A1"/>
    <w:rsid w:val="2E7F029C"/>
    <w:rsid w:val="2E8A51A3"/>
    <w:rsid w:val="2E9457B5"/>
    <w:rsid w:val="2E9A4F05"/>
    <w:rsid w:val="2E9B28AA"/>
    <w:rsid w:val="2EA77DF5"/>
    <w:rsid w:val="2EAB55BB"/>
    <w:rsid w:val="2EB32E8D"/>
    <w:rsid w:val="2EC4145B"/>
    <w:rsid w:val="2ECA0EEF"/>
    <w:rsid w:val="2ECF238B"/>
    <w:rsid w:val="2ED02202"/>
    <w:rsid w:val="2ED346F4"/>
    <w:rsid w:val="2EEC5878"/>
    <w:rsid w:val="2EF51EE3"/>
    <w:rsid w:val="2EF77968"/>
    <w:rsid w:val="2EF83766"/>
    <w:rsid w:val="2EF85571"/>
    <w:rsid w:val="2F03447D"/>
    <w:rsid w:val="2F0C1716"/>
    <w:rsid w:val="2F1264FD"/>
    <w:rsid w:val="2F131BDA"/>
    <w:rsid w:val="2F1E2431"/>
    <w:rsid w:val="2F2626A7"/>
    <w:rsid w:val="2F277782"/>
    <w:rsid w:val="2F2F78FF"/>
    <w:rsid w:val="2F33425A"/>
    <w:rsid w:val="2F40795E"/>
    <w:rsid w:val="2F436A32"/>
    <w:rsid w:val="2F585349"/>
    <w:rsid w:val="2F600A4D"/>
    <w:rsid w:val="2F6C578F"/>
    <w:rsid w:val="2F7B24D1"/>
    <w:rsid w:val="2F83447A"/>
    <w:rsid w:val="2F8B0E09"/>
    <w:rsid w:val="2F9711E1"/>
    <w:rsid w:val="2FA94010"/>
    <w:rsid w:val="2FAA2A46"/>
    <w:rsid w:val="2FBB48F5"/>
    <w:rsid w:val="2FC82F9D"/>
    <w:rsid w:val="2FCC58AE"/>
    <w:rsid w:val="2FD32DD7"/>
    <w:rsid w:val="2FD57D60"/>
    <w:rsid w:val="2FD8752E"/>
    <w:rsid w:val="2FDE00E6"/>
    <w:rsid w:val="2FEC3BB6"/>
    <w:rsid w:val="2FEF045A"/>
    <w:rsid w:val="2FFA067A"/>
    <w:rsid w:val="2FFD0EE1"/>
    <w:rsid w:val="2FFF4CDE"/>
    <w:rsid w:val="30020B17"/>
    <w:rsid w:val="3016517A"/>
    <w:rsid w:val="302A05CA"/>
    <w:rsid w:val="302A358E"/>
    <w:rsid w:val="30341738"/>
    <w:rsid w:val="30354F2F"/>
    <w:rsid w:val="303F05C3"/>
    <w:rsid w:val="30403AEC"/>
    <w:rsid w:val="3049392A"/>
    <w:rsid w:val="305F182D"/>
    <w:rsid w:val="306A75D7"/>
    <w:rsid w:val="307B141B"/>
    <w:rsid w:val="30812E4D"/>
    <w:rsid w:val="3082744B"/>
    <w:rsid w:val="308D6AFB"/>
    <w:rsid w:val="308F6075"/>
    <w:rsid w:val="30944600"/>
    <w:rsid w:val="30B9486B"/>
    <w:rsid w:val="30D66A99"/>
    <w:rsid w:val="30D9386E"/>
    <w:rsid w:val="30DF79C5"/>
    <w:rsid w:val="30E74543"/>
    <w:rsid w:val="30F11543"/>
    <w:rsid w:val="30F2736A"/>
    <w:rsid w:val="30F40C14"/>
    <w:rsid w:val="30F42C52"/>
    <w:rsid w:val="30F513E7"/>
    <w:rsid w:val="30F620F0"/>
    <w:rsid w:val="31206CAF"/>
    <w:rsid w:val="312F3E90"/>
    <w:rsid w:val="31301752"/>
    <w:rsid w:val="31350214"/>
    <w:rsid w:val="31360F60"/>
    <w:rsid w:val="31485711"/>
    <w:rsid w:val="314B0750"/>
    <w:rsid w:val="315B7E50"/>
    <w:rsid w:val="316C0946"/>
    <w:rsid w:val="316F5291"/>
    <w:rsid w:val="318077DA"/>
    <w:rsid w:val="31952860"/>
    <w:rsid w:val="31B91BCA"/>
    <w:rsid w:val="31BD7603"/>
    <w:rsid w:val="31C156AF"/>
    <w:rsid w:val="31C765B0"/>
    <w:rsid w:val="31D04EA3"/>
    <w:rsid w:val="31D33632"/>
    <w:rsid w:val="31D856DB"/>
    <w:rsid w:val="31E248BF"/>
    <w:rsid w:val="31E50463"/>
    <w:rsid w:val="31ED419C"/>
    <w:rsid w:val="32147265"/>
    <w:rsid w:val="3226177E"/>
    <w:rsid w:val="3230537A"/>
    <w:rsid w:val="32473D90"/>
    <w:rsid w:val="32474245"/>
    <w:rsid w:val="324E2E71"/>
    <w:rsid w:val="3253096B"/>
    <w:rsid w:val="32552601"/>
    <w:rsid w:val="32575271"/>
    <w:rsid w:val="3272345D"/>
    <w:rsid w:val="32765E32"/>
    <w:rsid w:val="3284604D"/>
    <w:rsid w:val="32914DC9"/>
    <w:rsid w:val="32957364"/>
    <w:rsid w:val="329E7F73"/>
    <w:rsid w:val="32B02EB7"/>
    <w:rsid w:val="32B86B24"/>
    <w:rsid w:val="32CB6F7E"/>
    <w:rsid w:val="32D91C6F"/>
    <w:rsid w:val="32D97036"/>
    <w:rsid w:val="32DF21C2"/>
    <w:rsid w:val="32E11FA2"/>
    <w:rsid w:val="32E213F3"/>
    <w:rsid w:val="32ED2891"/>
    <w:rsid w:val="32EE25C6"/>
    <w:rsid w:val="330208DF"/>
    <w:rsid w:val="33032076"/>
    <w:rsid w:val="33035CB7"/>
    <w:rsid w:val="330E0160"/>
    <w:rsid w:val="3312251F"/>
    <w:rsid w:val="33237F61"/>
    <w:rsid w:val="332467E5"/>
    <w:rsid w:val="33262E95"/>
    <w:rsid w:val="33337F0A"/>
    <w:rsid w:val="333E2CA0"/>
    <w:rsid w:val="33432875"/>
    <w:rsid w:val="335759EC"/>
    <w:rsid w:val="335C0183"/>
    <w:rsid w:val="335E3242"/>
    <w:rsid w:val="338E40D2"/>
    <w:rsid w:val="339D3C39"/>
    <w:rsid w:val="33A540C1"/>
    <w:rsid w:val="33A871A4"/>
    <w:rsid w:val="33A9665D"/>
    <w:rsid w:val="33B43691"/>
    <w:rsid w:val="33BA2267"/>
    <w:rsid w:val="33BD0809"/>
    <w:rsid w:val="33C641FE"/>
    <w:rsid w:val="33D47EAB"/>
    <w:rsid w:val="33DD30F0"/>
    <w:rsid w:val="33DE7074"/>
    <w:rsid w:val="340749FE"/>
    <w:rsid w:val="34082A81"/>
    <w:rsid w:val="34093853"/>
    <w:rsid w:val="34144457"/>
    <w:rsid w:val="341A1C5C"/>
    <w:rsid w:val="342147A0"/>
    <w:rsid w:val="34236EE7"/>
    <w:rsid w:val="34254D93"/>
    <w:rsid w:val="34290276"/>
    <w:rsid w:val="343612DE"/>
    <w:rsid w:val="344B1B35"/>
    <w:rsid w:val="344D4F8E"/>
    <w:rsid w:val="34557EB5"/>
    <w:rsid w:val="345C0111"/>
    <w:rsid w:val="3494067B"/>
    <w:rsid w:val="34A1174B"/>
    <w:rsid w:val="34A81304"/>
    <w:rsid w:val="34AF26D6"/>
    <w:rsid w:val="34B50F41"/>
    <w:rsid w:val="34BC2A3C"/>
    <w:rsid w:val="34BC7739"/>
    <w:rsid w:val="34BD2138"/>
    <w:rsid w:val="34C84854"/>
    <w:rsid w:val="34DD0BBB"/>
    <w:rsid w:val="34DE3166"/>
    <w:rsid w:val="34DE523E"/>
    <w:rsid w:val="34E061B4"/>
    <w:rsid w:val="34E071D2"/>
    <w:rsid w:val="34EA1DE0"/>
    <w:rsid w:val="3507314D"/>
    <w:rsid w:val="350C5CE7"/>
    <w:rsid w:val="351B1E6E"/>
    <w:rsid w:val="352263E4"/>
    <w:rsid w:val="352B7666"/>
    <w:rsid w:val="352E62D6"/>
    <w:rsid w:val="35363338"/>
    <w:rsid w:val="353F0589"/>
    <w:rsid w:val="35423E95"/>
    <w:rsid w:val="354E0428"/>
    <w:rsid w:val="355475E3"/>
    <w:rsid w:val="355A4DC7"/>
    <w:rsid w:val="355D6B2E"/>
    <w:rsid w:val="355E286B"/>
    <w:rsid w:val="356C5C5F"/>
    <w:rsid w:val="35757D45"/>
    <w:rsid w:val="357A31FD"/>
    <w:rsid w:val="357D54E6"/>
    <w:rsid w:val="359D22F6"/>
    <w:rsid w:val="35A67C6D"/>
    <w:rsid w:val="35A97360"/>
    <w:rsid w:val="35AA6445"/>
    <w:rsid w:val="35AC5A16"/>
    <w:rsid w:val="35AE6707"/>
    <w:rsid w:val="35B1695D"/>
    <w:rsid w:val="35C027FD"/>
    <w:rsid w:val="35C15C9F"/>
    <w:rsid w:val="35CB5AA1"/>
    <w:rsid w:val="35E244E1"/>
    <w:rsid w:val="35F82C92"/>
    <w:rsid w:val="360B0560"/>
    <w:rsid w:val="360E3D92"/>
    <w:rsid w:val="360F1C77"/>
    <w:rsid w:val="36252BCC"/>
    <w:rsid w:val="36287BFA"/>
    <w:rsid w:val="36375033"/>
    <w:rsid w:val="364A2085"/>
    <w:rsid w:val="365432CA"/>
    <w:rsid w:val="365774B4"/>
    <w:rsid w:val="365956B3"/>
    <w:rsid w:val="365A06D0"/>
    <w:rsid w:val="36627FCC"/>
    <w:rsid w:val="36636EEA"/>
    <w:rsid w:val="366D4287"/>
    <w:rsid w:val="366F7E88"/>
    <w:rsid w:val="36707B69"/>
    <w:rsid w:val="36733E42"/>
    <w:rsid w:val="36826689"/>
    <w:rsid w:val="36884F23"/>
    <w:rsid w:val="36924E56"/>
    <w:rsid w:val="36B074E7"/>
    <w:rsid w:val="36B201F6"/>
    <w:rsid w:val="36B318D7"/>
    <w:rsid w:val="36B4718B"/>
    <w:rsid w:val="36C26230"/>
    <w:rsid w:val="36CB22A7"/>
    <w:rsid w:val="36DE1E96"/>
    <w:rsid w:val="36F375F8"/>
    <w:rsid w:val="36F66E70"/>
    <w:rsid w:val="36F87640"/>
    <w:rsid w:val="36F931B8"/>
    <w:rsid w:val="37122C37"/>
    <w:rsid w:val="3713351B"/>
    <w:rsid w:val="37177C76"/>
    <w:rsid w:val="371F6BEB"/>
    <w:rsid w:val="37201325"/>
    <w:rsid w:val="37346A5E"/>
    <w:rsid w:val="37482AF0"/>
    <w:rsid w:val="374C5898"/>
    <w:rsid w:val="375A7D15"/>
    <w:rsid w:val="375D5B79"/>
    <w:rsid w:val="37712B91"/>
    <w:rsid w:val="37743765"/>
    <w:rsid w:val="37745B08"/>
    <w:rsid w:val="37793122"/>
    <w:rsid w:val="377F3E72"/>
    <w:rsid w:val="378055B2"/>
    <w:rsid w:val="378528A8"/>
    <w:rsid w:val="378F140B"/>
    <w:rsid w:val="37B24F59"/>
    <w:rsid w:val="37B37D61"/>
    <w:rsid w:val="37C23051"/>
    <w:rsid w:val="37CF5979"/>
    <w:rsid w:val="37D631A5"/>
    <w:rsid w:val="37DF53E0"/>
    <w:rsid w:val="37E118EB"/>
    <w:rsid w:val="380611BF"/>
    <w:rsid w:val="382039C9"/>
    <w:rsid w:val="382429AE"/>
    <w:rsid w:val="382F4C63"/>
    <w:rsid w:val="3838196A"/>
    <w:rsid w:val="383C2B89"/>
    <w:rsid w:val="383F60A4"/>
    <w:rsid w:val="38601FC4"/>
    <w:rsid w:val="386661FF"/>
    <w:rsid w:val="386E6695"/>
    <w:rsid w:val="387E162E"/>
    <w:rsid w:val="388C6CF2"/>
    <w:rsid w:val="388D35F0"/>
    <w:rsid w:val="38914F5D"/>
    <w:rsid w:val="389A1BDF"/>
    <w:rsid w:val="38A54C47"/>
    <w:rsid w:val="38B13472"/>
    <w:rsid w:val="38B93642"/>
    <w:rsid w:val="38DD1588"/>
    <w:rsid w:val="38E12884"/>
    <w:rsid w:val="38EE7C94"/>
    <w:rsid w:val="38FD5F09"/>
    <w:rsid w:val="390C2B73"/>
    <w:rsid w:val="390C2E2D"/>
    <w:rsid w:val="391A645A"/>
    <w:rsid w:val="391B55AF"/>
    <w:rsid w:val="392F783B"/>
    <w:rsid w:val="39405E21"/>
    <w:rsid w:val="394F6727"/>
    <w:rsid w:val="39521E9F"/>
    <w:rsid w:val="3954537C"/>
    <w:rsid w:val="396D6AE8"/>
    <w:rsid w:val="39725A4A"/>
    <w:rsid w:val="3980064E"/>
    <w:rsid w:val="399601BD"/>
    <w:rsid w:val="399A58EA"/>
    <w:rsid w:val="399B2127"/>
    <w:rsid w:val="399F08F3"/>
    <w:rsid w:val="399F1332"/>
    <w:rsid w:val="399F5FDA"/>
    <w:rsid w:val="39A15E7F"/>
    <w:rsid w:val="39A502C0"/>
    <w:rsid w:val="39BF238F"/>
    <w:rsid w:val="39C73DB3"/>
    <w:rsid w:val="39DA346B"/>
    <w:rsid w:val="39E46FAD"/>
    <w:rsid w:val="39E91662"/>
    <w:rsid w:val="39F5297E"/>
    <w:rsid w:val="3A0258FE"/>
    <w:rsid w:val="3A39581E"/>
    <w:rsid w:val="3A3C6CFA"/>
    <w:rsid w:val="3A3C78D6"/>
    <w:rsid w:val="3A3E3E9F"/>
    <w:rsid w:val="3A40244E"/>
    <w:rsid w:val="3A480A6E"/>
    <w:rsid w:val="3A4F2943"/>
    <w:rsid w:val="3A6463E4"/>
    <w:rsid w:val="3A6B176D"/>
    <w:rsid w:val="3A6B710D"/>
    <w:rsid w:val="3A700D10"/>
    <w:rsid w:val="3A714443"/>
    <w:rsid w:val="3A7D0D21"/>
    <w:rsid w:val="3A84298B"/>
    <w:rsid w:val="3A997D1F"/>
    <w:rsid w:val="3AA26A5D"/>
    <w:rsid w:val="3AA844FF"/>
    <w:rsid w:val="3AAA4B7B"/>
    <w:rsid w:val="3AB1112B"/>
    <w:rsid w:val="3AC52C0A"/>
    <w:rsid w:val="3AC7743B"/>
    <w:rsid w:val="3ACE70B0"/>
    <w:rsid w:val="3AD164BB"/>
    <w:rsid w:val="3AD7738D"/>
    <w:rsid w:val="3ADC39B3"/>
    <w:rsid w:val="3AE768F9"/>
    <w:rsid w:val="3AF634E6"/>
    <w:rsid w:val="3AF963F9"/>
    <w:rsid w:val="3AFC0789"/>
    <w:rsid w:val="3B0475E9"/>
    <w:rsid w:val="3B0A6176"/>
    <w:rsid w:val="3B10004F"/>
    <w:rsid w:val="3B100557"/>
    <w:rsid w:val="3B1D0F96"/>
    <w:rsid w:val="3B1F0A32"/>
    <w:rsid w:val="3B21328C"/>
    <w:rsid w:val="3B235BCB"/>
    <w:rsid w:val="3B3F3F46"/>
    <w:rsid w:val="3B4874EB"/>
    <w:rsid w:val="3B4E0843"/>
    <w:rsid w:val="3B5211E7"/>
    <w:rsid w:val="3B6B6801"/>
    <w:rsid w:val="3B84771D"/>
    <w:rsid w:val="3B8819BE"/>
    <w:rsid w:val="3B897E24"/>
    <w:rsid w:val="3BB513C6"/>
    <w:rsid w:val="3BBB470B"/>
    <w:rsid w:val="3BCF04EA"/>
    <w:rsid w:val="3BE10919"/>
    <w:rsid w:val="3BE66D84"/>
    <w:rsid w:val="3BF8627E"/>
    <w:rsid w:val="3C0274FD"/>
    <w:rsid w:val="3C0F4376"/>
    <w:rsid w:val="3C0F6F56"/>
    <w:rsid w:val="3C14548B"/>
    <w:rsid w:val="3C1D1172"/>
    <w:rsid w:val="3C2F70BE"/>
    <w:rsid w:val="3C3073EF"/>
    <w:rsid w:val="3C320FE1"/>
    <w:rsid w:val="3C325493"/>
    <w:rsid w:val="3C3616AF"/>
    <w:rsid w:val="3C385BD6"/>
    <w:rsid w:val="3C3B6C18"/>
    <w:rsid w:val="3C3C69F3"/>
    <w:rsid w:val="3C4E0450"/>
    <w:rsid w:val="3C545870"/>
    <w:rsid w:val="3C7B3B44"/>
    <w:rsid w:val="3CA45331"/>
    <w:rsid w:val="3CA57CFE"/>
    <w:rsid w:val="3CAA23D0"/>
    <w:rsid w:val="3CAE4CF8"/>
    <w:rsid w:val="3CAE7AEC"/>
    <w:rsid w:val="3CCC781D"/>
    <w:rsid w:val="3CCE7C2A"/>
    <w:rsid w:val="3CD20411"/>
    <w:rsid w:val="3CDF2588"/>
    <w:rsid w:val="3CE77340"/>
    <w:rsid w:val="3CE90379"/>
    <w:rsid w:val="3CFF37D8"/>
    <w:rsid w:val="3D195B95"/>
    <w:rsid w:val="3D21160E"/>
    <w:rsid w:val="3D2329FD"/>
    <w:rsid w:val="3D29684E"/>
    <w:rsid w:val="3D2B3F35"/>
    <w:rsid w:val="3D2D2003"/>
    <w:rsid w:val="3D39578E"/>
    <w:rsid w:val="3D4C09F9"/>
    <w:rsid w:val="3D4D27F5"/>
    <w:rsid w:val="3D52619D"/>
    <w:rsid w:val="3D534EBF"/>
    <w:rsid w:val="3D5D4D44"/>
    <w:rsid w:val="3D614D99"/>
    <w:rsid w:val="3D6E5D8B"/>
    <w:rsid w:val="3D76742B"/>
    <w:rsid w:val="3D8E3230"/>
    <w:rsid w:val="3D9C4C5C"/>
    <w:rsid w:val="3DA701B4"/>
    <w:rsid w:val="3DA83998"/>
    <w:rsid w:val="3DB16D2A"/>
    <w:rsid w:val="3DB80722"/>
    <w:rsid w:val="3DBD65F0"/>
    <w:rsid w:val="3DC7203E"/>
    <w:rsid w:val="3DD43D14"/>
    <w:rsid w:val="3DDA4533"/>
    <w:rsid w:val="3DE1146E"/>
    <w:rsid w:val="3DE12F32"/>
    <w:rsid w:val="3DEA3F0C"/>
    <w:rsid w:val="3DEB35D1"/>
    <w:rsid w:val="3DF65F0E"/>
    <w:rsid w:val="3DFB25C5"/>
    <w:rsid w:val="3DFF226A"/>
    <w:rsid w:val="3E025CF4"/>
    <w:rsid w:val="3E144F0D"/>
    <w:rsid w:val="3E174D97"/>
    <w:rsid w:val="3E1A10E9"/>
    <w:rsid w:val="3E1A2100"/>
    <w:rsid w:val="3E1B7092"/>
    <w:rsid w:val="3E1F2909"/>
    <w:rsid w:val="3E1F40C4"/>
    <w:rsid w:val="3E20348B"/>
    <w:rsid w:val="3E217503"/>
    <w:rsid w:val="3E392CD6"/>
    <w:rsid w:val="3E3D5661"/>
    <w:rsid w:val="3E43042F"/>
    <w:rsid w:val="3E5A71D5"/>
    <w:rsid w:val="3E7304ED"/>
    <w:rsid w:val="3E73624E"/>
    <w:rsid w:val="3E960E27"/>
    <w:rsid w:val="3E971BFA"/>
    <w:rsid w:val="3E985F61"/>
    <w:rsid w:val="3EAD3EF7"/>
    <w:rsid w:val="3EAD5631"/>
    <w:rsid w:val="3ED20B16"/>
    <w:rsid w:val="3EDA153E"/>
    <w:rsid w:val="3F002AB5"/>
    <w:rsid w:val="3F007F87"/>
    <w:rsid w:val="3F1339B8"/>
    <w:rsid w:val="3F196A9F"/>
    <w:rsid w:val="3F1C125E"/>
    <w:rsid w:val="3F1C1904"/>
    <w:rsid w:val="3F224B09"/>
    <w:rsid w:val="3F240B0A"/>
    <w:rsid w:val="3F24608D"/>
    <w:rsid w:val="3F263CBB"/>
    <w:rsid w:val="3F2653A3"/>
    <w:rsid w:val="3F284847"/>
    <w:rsid w:val="3F2E191C"/>
    <w:rsid w:val="3F3E4D72"/>
    <w:rsid w:val="3F4460BD"/>
    <w:rsid w:val="3F487A21"/>
    <w:rsid w:val="3F4D2FAB"/>
    <w:rsid w:val="3F625DFB"/>
    <w:rsid w:val="3F6741A7"/>
    <w:rsid w:val="3F67457E"/>
    <w:rsid w:val="3F96539B"/>
    <w:rsid w:val="3F9A38BF"/>
    <w:rsid w:val="3F9C5D3D"/>
    <w:rsid w:val="3FA615BB"/>
    <w:rsid w:val="3FAE6978"/>
    <w:rsid w:val="3FB65F72"/>
    <w:rsid w:val="3FB9297E"/>
    <w:rsid w:val="3FC43B3E"/>
    <w:rsid w:val="3FC921C5"/>
    <w:rsid w:val="3FCF0135"/>
    <w:rsid w:val="3FD86EB0"/>
    <w:rsid w:val="3FE56688"/>
    <w:rsid w:val="3FEE25A6"/>
    <w:rsid w:val="3FEF0646"/>
    <w:rsid w:val="3FEF543D"/>
    <w:rsid w:val="3FFC2040"/>
    <w:rsid w:val="3FFF7674"/>
    <w:rsid w:val="401B034E"/>
    <w:rsid w:val="40213B31"/>
    <w:rsid w:val="402F643A"/>
    <w:rsid w:val="40323DF2"/>
    <w:rsid w:val="4043244B"/>
    <w:rsid w:val="404400A2"/>
    <w:rsid w:val="404B0AFD"/>
    <w:rsid w:val="405A761E"/>
    <w:rsid w:val="405B3E44"/>
    <w:rsid w:val="405C4FD6"/>
    <w:rsid w:val="40633724"/>
    <w:rsid w:val="4073511D"/>
    <w:rsid w:val="407511A9"/>
    <w:rsid w:val="40751584"/>
    <w:rsid w:val="408740B2"/>
    <w:rsid w:val="408B409E"/>
    <w:rsid w:val="40B77ACC"/>
    <w:rsid w:val="40BD2482"/>
    <w:rsid w:val="40CE01B2"/>
    <w:rsid w:val="40D44447"/>
    <w:rsid w:val="40DB2823"/>
    <w:rsid w:val="40E3448C"/>
    <w:rsid w:val="40EE4695"/>
    <w:rsid w:val="40EE583F"/>
    <w:rsid w:val="40EF2E8F"/>
    <w:rsid w:val="40F27C5E"/>
    <w:rsid w:val="40F42748"/>
    <w:rsid w:val="40FA76BD"/>
    <w:rsid w:val="40FD344B"/>
    <w:rsid w:val="40FE26D2"/>
    <w:rsid w:val="410228FE"/>
    <w:rsid w:val="41044BF4"/>
    <w:rsid w:val="410B01A8"/>
    <w:rsid w:val="41252762"/>
    <w:rsid w:val="412E0DDF"/>
    <w:rsid w:val="41353F90"/>
    <w:rsid w:val="41490CF5"/>
    <w:rsid w:val="414B5671"/>
    <w:rsid w:val="41503639"/>
    <w:rsid w:val="41514F68"/>
    <w:rsid w:val="415D50BB"/>
    <w:rsid w:val="41670752"/>
    <w:rsid w:val="416A0599"/>
    <w:rsid w:val="41712625"/>
    <w:rsid w:val="41741AA2"/>
    <w:rsid w:val="417C32DA"/>
    <w:rsid w:val="418C16CB"/>
    <w:rsid w:val="41A5473E"/>
    <w:rsid w:val="41A6399F"/>
    <w:rsid w:val="41B938EB"/>
    <w:rsid w:val="41BD4A1A"/>
    <w:rsid w:val="41C76C5D"/>
    <w:rsid w:val="41CC7FB7"/>
    <w:rsid w:val="41CD41ED"/>
    <w:rsid w:val="41DB6B04"/>
    <w:rsid w:val="41DB7ACA"/>
    <w:rsid w:val="41E63E46"/>
    <w:rsid w:val="41E64231"/>
    <w:rsid w:val="41ED4A55"/>
    <w:rsid w:val="41FF4DD1"/>
    <w:rsid w:val="42027EA1"/>
    <w:rsid w:val="420B1F27"/>
    <w:rsid w:val="42182D34"/>
    <w:rsid w:val="42291598"/>
    <w:rsid w:val="42375A27"/>
    <w:rsid w:val="424259D6"/>
    <w:rsid w:val="4243274E"/>
    <w:rsid w:val="424610F7"/>
    <w:rsid w:val="424802AA"/>
    <w:rsid w:val="425D5BCF"/>
    <w:rsid w:val="42793113"/>
    <w:rsid w:val="42896F92"/>
    <w:rsid w:val="428A4FE0"/>
    <w:rsid w:val="428E2E24"/>
    <w:rsid w:val="429017FC"/>
    <w:rsid w:val="42914EC6"/>
    <w:rsid w:val="4297701F"/>
    <w:rsid w:val="42977427"/>
    <w:rsid w:val="429C554F"/>
    <w:rsid w:val="42A26D50"/>
    <w:rsid w:val="42A73EBF"/>
    <w:rsid w:val="42B00F6D"/>
    <w:rsid w:val="42B10DBC"/>
    <w:rsid w:val="42B66625"/>
    <w:rsid w:val="42BA1E7D"/>
    <w:rsid w:val="42BC6219"/>
    <w:rsid w:val="42C512CA"/>
    <w:rsid w:val="42C7289D"/>
    <w:rsid w:val="42C85A7F"/>
    <w:rsid w:val="42CE47E6"/>
    <w:rsid w:val="42D54D2A"/>
    <w:rsid w:val="42D86242"/>
    <w:rsid w:val="42E80214"/>
    <w:rsid w:val="42EF5BE0"/>
    <w:rsid w:val="42F851DA"/>
    <w:rsid w:val="42FE4918"/>
    <w:rsid w:val="430355D1"/>
    <w:rsid w:val="430565C8"/>
    <w:rsid w:val="430931EF"/>
    <w:rsid w:val="43094FC5"/>
    <w:rsid w:val="430C285C"/>
    <w:rsid w:val="4313669C"/>
    <w:rsid w:val="431A01C5"/>
    <w:rsid w:val="43253BC4"/>
    <w:rsid w:val="432927A6"/>
    <w:rsid w:val="432A5BD6"/>
    <w:rsid w:val="432B7DEC"/>
    <w:rsid w:val="43342642"/>
    <w:rsid w:val="433821C6"/>
    <w:rsid w:val="433B122E"/>
    <w:rsid w:val="433F416A"/>
    <w:rsid w:val="435E5073"/>
    <w:rsid w:val="43645BF7"/>
    <w:rsid w:val="436C0027"/>
    <w:rsid w:val="43771E90"/>
    <w:rsid w:val="43821D42"/>
    <w:rsid w:val="43963653"/>
    <w:rsid w:val="43987604"/>
    <w:rsid w:val="43B7549F"/>
    <w:rsid w:val="43B9286F"/>
    <w:rsid w:val="43BB4049"/>
    <w:rsid w:val="43BB4C9D"/>
    <w:rsid w:val="43C93EA9"/>
    <w:rsid w:val="43D65537"/>
    <w:rsid w:val="43DD2294"/>
    <w:rsid w:val="43E12102"/>
    <w:rsid w:val="43E92280"/>
    <w:rsid w:val="43F421E8"/>
    <w:rsid w:val="43F707D8"/>
    <w:rsid w:val="4401313F"/>
    <w:rsid w:val="4402298A"/>
    <w:rsid w:val="440A7998"/>
    <w:rsid w:val="440C2EEA"/>
    <w:rsid w:val="441D2BDD"/>
    <w:rsid w:val="441D3234"/>
    <w:rsid w:val="441F6C55"/>
    <w:rsid w:val="4420224D"/>
    <w:rsid w:val="442074C6"/>
    <w:rsid w:val="44243A14"/>
    <w:rsid w:val="44244565"/>
    <w:rsid w:val="44291B11"/>
    <w:rsid w:val="44311C57"/>
    <w:rsid w:val="44370325"/>
    <w:rsid w:val="44482FF1"/>
    <w:rsid w:val="44514687"/>
    <w:rsid w:val="445459C2"/>
    <w:rsid w:val="44617D0A"/>
    <w:rsid w:val="44682D18"/>
    <w:rsid w:val="446944E9"/>
    <w:rsid w:val="446F13F6"/>
    <w:rsid w:val="44723BA6"/>
    <w:rsid w:val="4473705C"/>
    <w:rsid w:val="44783538"/>
    <w:rsid w:val="447A346E"/>
    <w:rsid w:val="447C5BAA"/>
    <w:rsid w:val="4480015B"/>
    <w:rsid w:val="448174D9"/>
    <w:rsid w:val="44885E87"/>
    <w:rsid w:val="4490304D"/>
    <w:rsid w:val="44973FBF"/>
    <w:rsid w:val="449A759B"/>
    <w:rsid w:val="44A9401A"/>
    <w:rsid w:val="44AC3086"/>
    <w:rsid w:val="44BD076D"/>
    <w:rsid w:val="44C30184"/>
    <w:rsid w:val="44C8435A"/>
    <w:rsid w:val="44C93ABA"/>
    <w:rsid w:val="44CB6A19"/>
    <w:rsid w:val="44CC451B"/>
    <w:rsid w:val="44DB36D1"/>
    <w:rsid w:val="44EB3F4C"/>
    <w:rsid w:val="44F75C85"/>
    <w:rsid w:val="44FB6168"/>
    <w:rsid w:val="44FC3194"/>
    <w:rsid w:val="44FD00BD"/>
    <w:rsid w:val="45031836"/>
    <w:rsid w:val="4504637B"/>
    <w:rsid w:val="452306AA"/>
    <w:rsid w:val="45266F78"/>
    <w:rsid w:val="453C4611"/>
    <w:rsid w:val="4542601F"/>
    <w:rsid w:val="45471252"/>
    <w:rsid w:val="455B0F07"/>
    <w:rsid w:val="455B70CF"/>
    <w:rsid w:val="455F21AD"/>
    <w:rsid w:val="456125FB"/>
    <w:rsid w:val="45646D5D"/>
    <w:rsid w:val="456B16C4"/>
    <w:rsid w:val="456E27EF"/>
    <w:rsid w:val="45723D75"/>
    <w:rsid w:val="459E70EB"/>
    <w:rsid w:val="45B304D2"/>
    <w:rsid w:val="45C2259A"/>
    <w:rsid w:val="45C972E7"/>
    <w:rsid w:val="45D66454"/>
    <w:rsid w:val="45F146F2"/>
    <w:rsid w:val="45F710E6"/>
    <w:rsid w:val="45FB5F89"/>
    <w:rsid w:val="45FF1EFE"/>
    <w:rsid w:val="460C4432"/>
    <w:rsid w:val="461058D9"/>
    <w:rsid w:val="46165015"/>
    <w:rsid w:val="46280A29"/>
    <w:rsid w:val="462A1664"/>
    <w:rsid w:val="463B4251"/>
    <w:rsid w:val="465027ED"/>
    <w:rsid w:val="46582079"/>
    <w:rsid w:val="465F4343"/>
    <w:rsid w:val="46663080"/>
    <w:rsid w:val="468539A4"/>
    <w:rsid w:val="46C66179"/>
    <w:rsid w:val="46CB17EB"/>
    <w:rsid w:val="46DE668F"/>
    <w:rsid w:val="46E551CD"/>
    <w:rsid w:val="46EE4683"/>
    <w:rsid w:val="47014483"/>
    <w:rsid w:val="4703333D"/>
    <w:rsid w:val="471A4405"/>
    <w:rsid w:val="471E4B3E"/>
    <w:rsid w:val="471E6417"/>
    <w:rsid w:val="472F4367"/>
    <w:rsid w:val="473A5E83"/>
    <w:rsid w:val="473B2404"/>
    <w:rsid w:val="473F3688"/>
    <w:rsid w:val="47522D9A"/>
    <w:rsid w:val="47546291"/>
    <w:rsid w:val="475915CF"/>
    <w:rsid w:val="475B68AF"/>
    <w:rsid w:val="47763C9E"/>
    <w:rsid w:val="4778738B"/>
    <w:rsid w:val="477A3E46"/>
    <w:rsid w:val="47865720"/>
    <w:rsid w:val="478A29F0"/>
    <w:rsid w:val="478A3249"/>
    <w:rsid w:val="478C0ADF"/>
    <w:rsid w:val="478D5D75"/>
    <w:rsid w:val="4790736A"/>
    <w:rsid w:val="47943558"/>
    <w:rsid w:val="479A12BB"/>
    <w:rsid w:val="479E7121"/>
    <w:rsid w:val="47A80B00"/>
    <w:rsid w:val="47AD45F5"/>
    <w:rsid w:val="47BA4FF1"/>
    <w:rsid w:val="47CB6507"/>
    <w:rsid w:val="47D60BBC"/>
    <w:rsid w:val="47D7163B"/>
    <w:rsid w:val="47E064C7"/>
    <w:rsid w:val="47E156BB"/>
    <w:rsid w:val="47E77EB6"/>
    <w:rsid w:val="47F20C0E"/>
    <w:rsid w:val="48002C62"/>
    <w:rsid w:val="480515E9"/>
    <w:rsid w:val="48065890"/>
    <w:rsid w:val="48127D91"/>
    <w:rsid w:val="48162E9B"/>
    <w:rsid w:val="481E0218"/>
    <w:rsid w:val="48273063"/>
    <w:rsid w:val="482759BB"/>
    <w:rsid w:val="482A5811"/>
    <w:rsid w:val="484031A0"/>
    <w:rsid w:val="48460E01"/>
    <w:rsid w:val="48474441"/>
    <w:rsid w:val="484A3A4D"/>
    <w:rsid w:val="485A4946"/>
    <w:rsid w:val="486C5A57"/>
    <w:rsid w:val="487F196B"/>
    <w:rsid w:val="48843707"/>
    <w:rsid w:val="48865559"/>
    <w:rsid w:val="488B7278"/>
    <w:rsid w:val="488F7885"/>
    <w:rsid w:val="48921589"/>
    <w:rsid w:val="48943290"/>
    <w:rsid w:val="48B1483E"/>
    <w:rsid w:val="48C3184C"/>
    <w:rsid w:val="48E8561D"/>
    <w:rsid w:val="48EC6679"/>
    <w:rsid w:val="48F0103C"/>
    <w:rsid w:val="48F0714D"/>
    <w:rsid w:val="48F3402C"/>
    <w:rsid w:val="48F62D03"/>
    <w:rsid w:val="48F77F22"/>
    <w:rsid w:val="49006A4D"/>
    <w:rsid w:val="49272634"/>
    <w:rsid w:val="492A6E95"/>
    <w:rsid w:val="4939144E"/>
    <w:rsid w:val="493A24D0"/>
    <w:rsid w:val="493C6687"/>
    <w:rsid w:val="493D20BB"/>
    <w:rsid w:val="493E58F3"/>
    <w:rsid w:val="4959124E"/>
    <w:rsid w:val="495D071E"/>
    <w:rsid w:val="496164D0"/>
    <w:rsid w:val="49664EA6"/>
    <w:rsid w:val="496B669D"/>
    <w:rsid w:val="496E712A"/>
    <w:rsid w:val="49722A47"/>
    <w:rsid w:val="4973140F"/>
    <w:rsid w:val="497C4BE1"/>
    <w:rsid w:val="4980732D"/>
    <w:rsid w:val="49A31824"/>
    <w:rsid w:val="49AD7C3B"/>
    <w:rsid w:val="49B15E32"/>
    <w:rsid w:val="49B35477"/>
    <w:rsid w:val="49B66EC5"/>
    <w:rsid w:val="49B73BA5"/>
    <w:rsid w:val="49B7682F"/>
    <w:rsid w:val="49BE306A"/>
    <w:rsid w:val="49C071A1"/>
    <w:rsid w:val="49C161D8"/>
    <w:rsid w:val="49C24A88"/>
    <w:rsid w:val="49CC3F16"/>
    <w:rsid w:val="49D81F13"/>
    <w:rsid w:val="49E31136"/>
    <w:rsid w:val="49ED057A"/>
    <w:rsid w:val="49EF1D86"/>
    <w:rsid w:val="49FD0A6D"/>
    <w:rsid w:val="4A057339"/>
    <w:rsid w:val="4A0C2D29"/>
    <w:rsid w:val="4A15629C"/>
    <w:rsid w:val="4A203CA4"/>
    <w:rsid w:val="4A335BDC"/>
    <w:rsid w:val="4A344670"/>
    <w:rsid w:val="4A360F96"/>
    <w:rsid w:val="4A3A2422"/>
    <w:rsid w:val="4A3B40B2"/>
    <w:rsid w:val="4A4C696C"/>
    <w:rsid w:val="4A551320"/>
    <w:rsid w:val="4A573C9B"/>
    <w:rsid w:val="4A591C97"/>
    <w:rsid w:val="4A5B1925"/>
    <w:rsid w:val="4A9B73F3"/>
    <w:rsid w:val="4AAC1814"/>
    <w:rsid w:val="4AB50E42"/>
    <w:rsid w:val="4AB82002"/>
    <w:rsid w:val="4AB82B50"/>
    <w:rsid w:val="4ABB4926"/>
    <w:rsid w:val="4ABB6F17"/>
    <w:rsid w:val="4ABE1639"/>
    <w:rsid w:val="4ADC4024"/>
    <w:rsid w:val="4AE17C2C"/>
    <w:rsid w:val="4AEA24F0"/>
    <w:rsid w:val="4AEF656B"/>
    <w:rsid w:val="4AF5404E"/>
    <w:rsid w:val="4AF55886"/>
    <w:rsid w:val="4AF83131"/>
    <w:rsid w:val="4B036EDC"/>
    <w:rsid w:val="4B063561"/>
    <w:rsid w:val="4B150032"/>
    <w:rsid w:val="4B1D14E7"/>
    <w:rsid w:val="4B1D73DF"/>
    <w:rsid w:val="4B3A4FA6"/>
    <w:rsid w:val="4B6937DD"/>
    <w:rsid w:val="4B712CB3"/>
    <w:rsid w:val="4B715C38"/>
    <w:rsid w:val="4B766050"/>
    <w:rsid w:val="4B870600"/>
    <w:rsid w:val="4B88227D"/>
    <w:rsid w:val="4B897805"/>
    <w:rsid w:val="4B8E0170"/>
    <w:rsid w:val="4B8E63E6"/>
    <w:rsid w:val="4B964E4F"/>
    <w:rsid w:val="4BC22732"/>
    <w:rsid w:val="4BC27D75"/>
    <w:rsid w:val="4BC65B99"/>
    <w:rsid w:val="4BCC6CA8"/>
    <w:rsid w:val="4BCD230D"/>
    <w:rsid w:val="4BCD53D9"/>
    <w:rsid w:val="4BCF38CB"/>
    <w:rsid w:val="4BD44271"/>
    <w:rsid w:val="4BEF4C5D"/>
    <w:rsid w:val="4BF0140A"/>
    <w:rsid w:val="4BFB520C"/>
    <w:rsid w:val="4BFC046E"/>
    <w:rsid w:val="4BFC6236"/>
    <w:rsid w:val="4BFE10D1"/>
    <w:rsid w:val="4C073CF8"/>
    <w:rsid w:val="4C102782"/>
    <w:rsid w:val="4C132013"/>
    <w:rsid w:val="4C24124B"/>
    <w:rsid w:val="4C322BE9"/>
    <w:rsid w:val="4C4277B4"/>
    <w:rsid w:val="4C4541E5"/>
    <w:rsid w:val="4C476DF9"/>
    <w:rsid w:val="4C511CEE"/>
    <w:rsid w:val="4C5316E4"/>
    <w:rsid w:val="4C554428"/>
    <w:rsid w:val="4C5C3EA5"/>
    <w:rsid w:val="4C61437A"/>
    <w:rsid w:val="4C631272"/>
    <w:rsid w:val="4C822FF7"/>
    <w:rsid w:val="4C8556B7"/>
    <w:rsid w:val="4C89483F"/>
    <w:rsid w:val="4C8A5A53"/>
    <w:rsid w:val="4C9C7246"/>
    <w:rsid w:val="4C9F6D0C"/>
    <w:rsid w:val="4CA1222F"/>
    <w:rsid w:val="4CA27E8F"/>
    <w:rsid w:val="4CB30071"/>
    <w:rsid w:val="4CB76367"/>
    <w:rsid w:val="4CBF3179"/>
    <w:rsid w:val="4CCB6F14"/>
    <w:rsid w:val="4CCC16DA"/>
    <w:rsid w:val="4CD1326F"/>
    <w:rsid w:val="4CDD168C"/>
    <w:rsid w:val="4CDE1580"/>
    <w:rsid w:val="4CE856A5"/>
    <w:rsid w:val="4D05310C"/>
    <w:rsid w:val="4D0C5E9D"/>
    <w:rsid w:val="4D0F7EAD"/>
    <w:rsid w:val="4D15514C"/>
    <w:rsid w:val="4D166BD9"/>
    <w:rsid w:val="4D1C782A"/>
    <w:rsid w:val="4D2237E5"/>
    <w:rsid w:val="4D2A6914"/>
    <w:rsid w:val="4D341316"/>
    <w:rsid w:val="4D4542AC"/>
    <w:rsid w:val="4D4F3E2D"/>
    <w:rsid w:val="4D5077DD"/>
    <w:rsid w:val="4D706C30"/>
    <w:rsid w:val="4DA15110"/>
    <w:rsid w:val="4DB56ED5"/>
    <w:rsid w:val="4DB73A62"/>
    <w:rsid w:val="4DB97D79"/>
    <w:rsid w:val="4DD30E27"/>
    <w:rsid w:val="4DD90962"/>
    <w:rsid w:val="4E02546D"/>
    <w:rsid w:val="4E0C0C92"/>
    <w:rsid w:val="4E1D44D2"/>
    <w:rsid w:val="4E1E3793"/>
    <w:rsid w:val="4E2241CB"/>
    <w:rsid w:val="4E251856"/>
    <w:rsid w:val="4E282639"/>
    <w:rsid w:val="4E317E06"/>
    <w:rsid w:val="4E3E2E69"/>
    <w:rsid w:val="4E416B1D"/>
    <w:rsid w:val="4E4B212D"/>
    <w:rsid w:val="4E4C1829"/>
    <w:rsid w:val="4E505C40"/>
    <w:rsid w:val="4E585AEF"/>
    <w:rsid w:val="4E5C563B"/>
    <w:rsid w:val="4E650E6B"/>
    <w:rsid w:val="4E6E647A"/>
    <w:rsid w:val="4E7642A7"/>
    <w:rsid w:val="4E7E3962"/>
    <w:rsid w:val="4E9B7400"/>
    <w:rsid w:val="4EA548AD"/>
    <w:rsid w:val="4EC30B2B"/>
    <w:rsid w:val="4EC30BAA"/>
    <w:rsid w:val="4ECF07FD"/>
    <w:rsid w:val="4ED406B0"/>
    <w:rsid w:val="4EDB7799"/>
    <w:rsid w:val="4EE80F4D"/>
    <w:rsid w:val="4EED71B1"/>
    <w:rsid w:val="4EF11B96"/>
    <w:rsid w:val="4EF5428A"/>
    <w:rsid w:val="4EF75441"/>
    <w:rsid w:val="4EF85F9A"/>
    <w:rsid w:val="4F067E7F"/>
    <w:rsid w:val="4F0F0E50"/>
    <w:rsid w:val="4F18079A"/>
    <w:rsid w:val="4F1B620F"/>
    <w:rsid w:val="4F206722"/>
    <w:rsid w:val="4F2717D1"/>
    <w:rsid w:val="4F341D8D"/>
    <w:rsid w:val="4F355697"/>
    <w:rsid w:val="4F4D1CD3"/>
    <w:rsid w:val="4F557736"/>
    <w:rsid w:val="4F5C12A0"/>
    <w:rsid w:val="4F616F31"/>
    <w:rsid w:val="4F7760C5"/>
    <w:rsid w:val="4F815C1D"/>
    <w:rsid w:val="4F857B40"/>
    <w:rsid w:val="4F8D7933"/>
    <w:rsid w:val="4F8F24EB"/>
    <w:rsid w:val="4F923128"/>
    <w:rsid w:val="4F996C7E"/>
    <w:rsid w:val="4F9D7F82"/>
    <w:rsid w:val="4F9E10B3"/>
    <w:rsid w:val="4FA85516"/>
    <w:rsid w:val="4FAA4E3A"/>
    <w:rsid w:val="4FB72501"/>
    <w:rsid w:val="4FDB2A14"/>
    <w:rsid w:val="4FE5216E"/>
    <w:rsid w:val="4FEE43C5"/>
    <w:rsid w:val="4FEF7F19"/>
    <w:rsid w:val="4FF50AA2"/>
    <w:rsid w:val="4FF55E04"/>
    <w:rsid w:val="4FFA1F79"/>
    <w:rsid w:val="4FFE6D44"/>
    <w:rsid w:val="501C3419"/>
    <w:rsid w:val="501D4063"/>
    <w:rsid w:val="502A5FF4"/>
    <w:rsid w:val="50334961"/>
    <w:rsid w:val="50404D00"/>
    <w:rsid w:val="504A2ECF"/>
    <w:rsid w:val="50503A64"/>
    <w:rsid w:val="505A032B"/>
    <w:rsid w:val="50611C44"/>
    <w:rsid w:val="50641F16"/>
    <w:rsid w:val="506D39BB"/>
    <w:rsid w:val="506F3338"/>
    <w:rsid w:val="50877E67"/>
    <w:rsid w:val="5094213E"/>
    <w:rsid w:val="509C1B97"/>
    <w:rsid w:val="509E1BF6"/>
    <w:rsid w:val="50A40B8B"/>
    <w:rsid w:val="50A66EF3"/>
    <w:rsid w:val="50AB2E49"/>
    <w:rsid w:val="50AC26DF"/>
    <w:rsid w:val="50AE19B8"/>
    <w:rsid w:val="50B00860"/>
    <w:rsid w:val="50BB1A75"/>
    <w:rsid w:val="50C02457"/>
    <w:rsid w:val="50C22147"/>
    <w:rsid w:val="50DA5D1D"/>
    <w:rsid w:val="50DF3746"/>
    <w:rsid w:val="50E00775"/>
    <w:rsid w:val="51065AE3"/>
    <w:rsid w:val="51073487"/>
    <w:rsid w:val="5130697A"/>
    <w:rsid w:val="51407712"/>
    <w:rsid w:val="51606D80"/>
    <w:rsid w:val="51815543"/>
    <w:rsid w:val="518D502C"/>
    <w:rsid w:val="519333FF"/>
    <w:rsid w:val="51984E54"/>
    <w:rsid w:val="51A146B6"/>
    <w:rsid w:val="51AE3CED"/>
    <w:rsid w:val="51B97C10"/>
    <w:rsid w:val="51BB5FF1"/>
    <w:rsid w:val="51C26272"/>
    <w:rsid w:val="51C606FB"/>
    <w:rsid w:val="51D854A9"/>
    <w:rsid w:val="51E30B6A"/>
    <w:rsid w:val="51EF1984"/>
    <w:rsid w:val="51F747E0"/>
    <w:rsid w:val="52103C34"/>
    <w:rsid w:val="52114A1C"/>
    <w:rsid w:val="52147C8F"/>
    <w:rsid w:val="52151D21"/>
    <w:rsid w:val="521A1356"/>
    <w:rsid w:val="52252690"/>
    <w:rsid w:val="52252BF9"/>
    <w:rsid w:val="52307421"/>
    <w:rsid w:val="52337F1C"/>
    <w:rsid w:val="5236531B"/>
    <w:rsid w:val="5249689C"/>
    <w:rsid w:val="52525E85"/>
    <w:rsid w:val="525562DE"/>
    <w:rsid w:val="52567E52"/>
    <w:rsid w:val="526A51AF"/>
    <w:rsid w:val="52802154"/>
    <w:rsid w:val="528B4CAA"/>
    <w:rsid w:val="528C13A2"/>
    <w:rsid w:val="528E1B19"/>
    <w:rsid w:val="52BF6099"/>
    <w:rsid w:val="52CD0B04"/>
    <w:rsid w:val="52D935FA"/>
    <w:rsid w:val="52DA789D"/>
    <w:rsid w:val="52E84EAB"/>
    <w:rsid w:val="52F13016"/>
    <w:rsid w:val="52FA4A88"/>
    <w:rsid w:val="530326EF"/>
    <w:rsid w:val="531955E1"/>
    <w:rsid w:val="532173A6"/>
    <w:rsid w:val="53311999"/>
    <w:rsid w:val="533C45DC"/>
    <w:rsid w:val="534534A3"/>
    <w:rsid w:val="53460BCE"/>
    <w:rsid w:val="534C36C4"/>
    <w:rsid w:val="535B5FF9"/>
    <w:rsid w:val="53663AD9"/>
    <w:rsid w:val="536D21D8"/>
    <w:rsid w:val="53796342"/>
    <w:rsid w:val="53820BB2"/>
    <w:rsid w:val="538B36FB"/>
    <w:rsid w:val="538D79B9"/>
    <w:rsid w:val="5398169E"/>
    <w:rsid w:val="539911C5"/>
    <w:rsid w:val="53AA73C8"/>
    <w:rsid w:val="53C029D2"/>
    <w:rsid w:val="53C241C4"/>
    <w:rsid w:val="53C429B7"/>
    <w:rsid w:val="53D43002"/>
    <w:rsid w:val="53D904AE"/>
    <w:rsid w:val="53E81D64"/>
    <w:rsid w:val="53EB712E"/>
    <w:rsid w:val="53F5628E"/>
    <w:rsid w:val="54003C95"/>
    <w:rsid w:val="540A4448"/>
    <w:rsid w:val="54183F4F"/>
    <w:rsid w:val="541C53CD"/>
    <w:rsid w:val="54241077"/>
    <w:rsid w:val="54251052"/>
    <w:rsid w:val="542E1E30"/>
    <w:rsid w:val="54391E2A"/>
    <w:rsid w:val="543F370E"/>
    <w:rsid w:val="54505D70"/>
    <w:rsid w:val="545C1B55"/>
    <w:rsid w:val="54631A1F"/>
    <w:rsid w:val="547055A0"/>
    <w:rsid w:val="54787ECC"/>
    <w:rsid w:val="54812C87"/>
    <w:rsid w:val="548361DF"/>
    <w:rsid w:val="54957EB4"/>
    <w:rsid w:val="54AA7585"/>
    <w:rsid w:val="54AC3060"/>
    <w:rsid w:val="54AF794C"/>
    <w:rsid w:val="54B67786"/>
    <w:rsid w:val="54BB6BD3"/>
    <w:rsid w:val="54C63A10"/>
    <w:rsid w:val="54DA5C4C"/>
    <w:rsid w:val="54DB7858"/>
    <w:rsid w:val="54E50145"/>
    <w:rsid w:val="54F70681"/>
    <w:rsid w:val="54FB522F"/>
    <w:rsid w:val="55006CF5"/>
    <w:rsid w:val="550D5140"/>
    <w:rsid w:val="55132040"/>
    <w:rsid w:val="551A6E9C"/>
    <w:rsid w:val="55211C4B"/>
    <w:rsid w:val="55265024"/>
    <w:rsid w:val="55293427"/>
    <w:rsid w:val="553E6CB0"/>
    <w:rsid w:val="55437516"/>
    <w:rsid w:val="554A1CE4"/>
    <w:rsid w:val="554B0A2E"/>
    <w:rsid w:val="555A19E2"/>
    <w:rsid w:val="555B33C1"/>
    <w:rsid w:val="55607B9B"/>
    <w:rsid w:val="5569463C"/>
    <w:rsid w:val="55755D7B"/>
    <w:rsid w:val="55757CBD"/>
    <w:rsid w:val="557C5594"/>
    <w:rsid w:val="55957379"/>
    <w:rsid w:val="55966F76"/>
    <w:rsid w:val="55AC349A"/>
    <w:rsid w:val="55B52048"/>
    <w:rsid w:val="55BD174C"/>
    <w:rsid w:val="55C81BB8"/>
    <w:rsid w:val="55CE6A55"/>
    <w:rsid w:val="55DF5269"/>
    <w:rsid w:val="55E216F8"/>
    <w:rsid w:val="55E25788"/>
    <w:rsid w:val="55E417AE"/>
    <w:rsid w:val="55EF6F20"/>
    <w:rsid w:val="55FF40FA"/>
    <w:rsid w:val="56047661"/>
    <w:rsid w:val="560D3F28"/>
    <w:rsid w:val="560F3D55"/>
    <w:rsid w:val="56105F34"/>
    <w:rsid w:val="56147900"/>
    <w:rsid w:val="561671B6"/>
    <w:rsid w:val="56231287"/>
    <w:rsid w:val="5629232E"/>
    <w:rsid w:val="562A339F"/>
    <w:rsid w:val="563450DB"/>
    <w:rsid w:val="563E0D12"/>
    <w:rsid w:val="56444033"/>
    <w:rsid w:val="5649778D"/>
    <w:rsid w:val="56582EC5"/>
    <w:rsid w:val="565A1147"/>
    <w:rsid w:val="565A6D9C"/>
    <w:rsid w:val="56635A76"/>
    <w:rsid w:val="566E512C"/>
    <w:rsid w:val="567808EC"/>
    <w:rsid w:val="56864983"/>
    <w:rsid w:val="568E7350"/>
    <w:rsid w:val="56984E38"/>
    <w:rsid w:val="569B4737"/>
    <w:rsid w:val="56A47248"/>
    <w:rsid w:val="56B96F71"/>
    <w:rsid w:val="56C44362"/>
    <w:rsid w:val="56CA4BBB"/>
    <w:rsid w:val="56D83364"/>
    <w:rsid w:val="56DD6AC9"/>
    <w:rsid w:val="56DF277A"/>
    <w:rsid w:val="56E03E16"/>
    <w:rsid w:val="56ED3EE4"/>
    <w:rsid w:val="56F00B76"/>
    <w:rsid w:val="56F55395"/>
    <w:rsid w:val="56F745A8"/>
    <w:rsid w:val="56FF6F78"/>
    <w:rsid w:val="571635A1"/>
    <w:rsid w:val="57352F0E"/>
    <w:rsid w:val="57354B82"/>
    <w:rsid w:val="573B48F4"/>
    <w:rsid w:val="57415D44"/>
    <w:rsid w:val="57422253"/>
    <w:rsid w:val="5746251C"/>
    <w:rsid w:val="57492FF5"/>
    <w:rsid w:val="574A5AA3"/>
    <w:rsid w:val="575C1A86"/>
    <w:rsid w:val="57767700"/>
    <w:rsid w:val="579A6EF3"/>
    <w:rsid w:val="579B330C"/>
    <w:rsid w:val="57A178D5"/>
    <w:rsid w:val="57A37560"/>
    <w:rsid w:val="57A83858"/>
    <w:rsid w:val="57A94D61"/>
    <w:rsid w:val="57AF5C54"/>
    <w:rsid w:val="57B2759A"/>
    <w:rsid w:val="57B42188"/>
    <w:rsid w:val="57B45112"/>
    <w:rsid w:val="57B4655E"/>
    <w:rsid w:val="57CC6CEA"/>
    <w:rsid w:val="57D70A47"/>
    <w:rsid w:val="57D903E2"/>
    <w:rsid w:val="57E005EC"/>
    <w:rsid w:val="57FB0019"/>
    <w:rsid w:val="580D4B29"/>
    <w:rsid w:val="581A5F5A"/>
    <w:rsid w:val="58215951"/>
    <w:rsid w:val="5822625D"/>
    <w:rsid w:val="58264612"/>
    <w:rsid w:val="58306021"/>
    <w:rsid w:val="583078AE"/>
    <w:rsid w:val="583D2C7F"/>
    <w:rsid w:val="5843317B"/>
    <w:rsid w:val="58507329"/>
    <w:rsid w:val="58623FD0"/>
    <w:rsid w:val="587D5FE6"/>
    <w:rsid w:val="58821087"/>
    <w:rsid w:val="588D22B7"/>
    <w:rsid w:val="588F1C60"/>
    <w:rsid w:val="58953FF1"/>
    <w:rsid w:val="589849BB"/>
    <w:rsid w:val="589A731F"/>
    <w:rsid w:val="58B41748"/>
    <w:rsid w:val="58C039AA"/>
    <w:rsid w:val="58C33DB9"/>
    <w:rsid w:val="58C425E3"/>
    <w:rsid w:val="58CF4446"/>
    <w:rsid w:val="58D1737A"/>
    <w:rsid w:val="58EE76E8"/>
    <w:rsid w:val="58F67780"/>
    <w:rsid w:val="58FD2B7C"/>
    <w:rsid w:val="58FF0E69"/>
    <w:rsid w:val="59174271"/>
    <w:rsid w:val="59206ABC"/>
    <w:rsid w:val="59256ED3"/>
    <w:rsid w:val="59271FEC"/>
    <w:rsid w:val="59350CC7"/>
    <w:rsid w:val="59393975"/>
    <w:rsid w:val="59417210"/>
    <w:rsid w:val="5946051F"/>
    <w:rsid w:val="595B07E0"/>
    <w:rsid w:val="59692FF0"/>
    <w:rsid w:val="597645D2"/>
    <w:rsid w:val="597E00FB"/>
    <w:rsid w:val="597E453F"/>
    <w:rsid w:val="597E49BB"/>
    <w:rsid w:val="59932EFC"/>
    <w:rsid w:val="59967306"/>
    <w:rsid w:val="599D37A3"/>
    <w:rsid w:val="59B10E52"/>
    <w:rsid w:val="59B76C32"/>
    <w:rsid w:val="59C67DEE"/>
    <w:rsid w:val="59C9568A"/>
    <w:rsid w:val="59D00AB8"/>
    <w:rsid w:val="59E74322"/>
    <w:rsid w:val="5A002FA3"/>
    <w:rsid w:val="5A007E30"/>
    <w:rsid w:val="5A0343C9"/>
    <w:rsid w:val="5A08125A"/>
    <w:rsid w:val="5A0E7F63"/>
    <w:rsid w:val="5A160D56"/>
    <w:rsid w:val="5A2179FB"/>
    <w:rsid w:val="5A243921"/>
    <w:rsid w:val="5A2776EF"/>
    <w:rsid w:val="5A45521F"/>
    <w:rsid w:val="5A4752B6"/>
    <w:rsid w:val="5A5051A4"/>
    <w:rsid w:val="5A6A69B7"/>
    <w:rsid w:val="5A6B504C"/>
    <w:rsid w:val="5A885001"/>
    <w:rsid w:val="5A8960C5"/>
    <w:rsid w:val="5A99743F"/>
    <w:rsid w:val="5A9E1877"/>
    <w:rsid w:val="5AA87A7C"/>
    <w:rsid w:val="5AA91D17"/>
    <w:rsid w:val="5AAC3162"/>
    <w:rsid w:val="5AB216C4"/>
    <w:rsid w:val="5ABC1E55"/>
    <w:rsid w:val="5ADD4D11"/>
    <w:rsid w:val="5AE26CDD"/>
    <w:rsid w:val="5AE42730"/>
    <w:rsid w:val="5AE75385"/>
    <w:rsid w:val="5AEA0953"/>
    <w:rsid w:val="5AEC23B4"/>
    <w:rsid w:val="5B052047"/>
    <w:rsid w:val="5B0D3DD0"/>
    <w:rsid w:val="5B0F7EB6"/>
    <w:rsid w:val="5B266F16"/>
    <w:rsid w:val="5B32108D"/>
    <w:rsid w:val="5B3625B8"/>
    <w:rsid w:val="5B3B3368"/>
    <w:rsid w:val="5B3F47FC"/>
    <w:rsid w:val="5B41351D"/>
    <w:rsid w:val="5B624147"/>
    <w:rsid w:val="5B640BA4"/>
    <w:rsid w:val="5B7339AD"/>
    <w:rsid w:val="5B813703"/>
    <w:rsid w:val="5B842A8E"/>
    <w:rsid w:val="5B9F61D8"/>
    <w:rsid w:val="5BA86394"/>
    <w:rsid w:val="5BB82B14"/>
    <w:rsid w:val="5BB95B06"/>
    <w:rsid w:val="5BC03858"/>
    <w:rsid w:val="5BD536D5"/>
    <w:rsid w:val="5BF2787E"/>
    <w:rsid w:val="5BFA335F"/>
    <w:rsid w:val="5C322A65"/>
    <w:rsid w:val="5C46536D"/>
    <w:rsid w:val="5C526F7B"/>
    <w:rsid w:val="5C595364"/>
    <w:rsid w:val="5C6959CB"/>
    <w:rsid w:val="5C6C51C1"/>
    <w:rsid w:val="5C7B6810"/>
    <w:rsid w:val="5C7E1616"/>
    <w:rsid w:val="5C805B19"/>
    <w:rsid w:val="5C8252D4"/>
    <w:rsid w:val="5C84485C"/>
    <w:rsid w:val="5C861F85"/>
    <w:rsid w:val="5C917CB2"/>
    <w:rsid w:val="5C92145C"/>
    <w:rsid w:val="5C99030E"/>
    <w:rsid w:val="5C9A4295"/>
    <w:rsid w:val="5C9B4F43"/>
    <w:rsid w:val="5C9E3C9E"/>
    <w:rsid w:val="5CAD01E8"/>
    <w:rsid w:val="5CB149DB"/>
    <w:rsid w:val="5CC434C5"/>
    <w:rsid w:val="5CD3177D"/>
    <w:rsid w:val="5CD40035"/>
    <w:rsid w:val="5CDC0140"/>
    <w:rsid w:val="5CDF2B73"/>
    <w:rsid w:val="5CE9458D"/>
    <w:rsid w:val="5D0449CF"/>
    <w:rsid w:val="5D0E21AC"/>
    <w:rsid w:val="5D3468C4"/>
    <w:rsid w:val="5D3B635D"/>
    <w:rsid w:val="5D434714"/>
    <w:rsid w:val="5D457A5D"/>
    <w:rsid w:val="5D4E3012"/>
    <w:rsid w:val="5D4E3C68"/>
    <w:rsid w:val="5D5F23EC"/>
    <w:rsid w:val="5D797731"/>
    <w:rsid w:val="5D7E7E9A"/>
    <w:rsid w:val="5DA70253"/>
    <w:rsid w:val="5DA82CCD"/>
    <w:rsid w:val="5DB55C27"/>
    <w:rsid w:val="5DCB09A1"/>
    <w:rsid w:val="5DCB5CF0"/>
    <w:rsid w:val="5DDC29E4"/>
    <w:rsid w:val="5DF239A3"/>
    <w:rsid w:val="5DF3456E"/>
    <w:rsid w:val="5E0E1390"/>
    <w:rsid w:val="5E12327B"/>
    <w:rsid w:val="5E213EF8"/>
    <w:rsid w:val="5E2C29D6"/>
    <w:rsid w:val="5E2F5CFC"/>
    <w:rsid w:val="5E3036B9"/>
    <w:rsid w:val="5E32252F"/>
    <w:rsid w:val="5E42228C"/>
    <w:rsid w:val="5E464496"/>
    <w:rsid w:val="5E61698D"/>
    <w:rsid w:val="5E7E60A9"/>
    <w:rsid w:val="5E901A68"/>
    <w:rsid w:val="5EB17513"/>
    <w:rsid w:val="5EB860D2"/>
    <w:rsid w:val="5EBC2E54"/>
    <w:rsid w:val="5EDA2CAC"/>
    <w:rsid w:val="5EDB00E0"/>
    <w:rsid w:val="5EDE5287"/>
    <w:rsid w:val="5EE61F49"/>
    <w:rsid w:val="5F1950E1"/>
    <w:rsid w:val="5F1E54FC"/>
    <w:rsid w:val="5F1E7070"/>
    <w:rsid w:val="5F315AA9"/>
    <w:rsid w:val="5F3634EE"/>
    <w:rsid w:val="5F3F74F9"/>
    <w:rsid w:val="5F445B2E"/>
    <w:rsid w:val="5F5A7308"/>
    <w:rsid w:val="5F5F359D"/>
    <w:rsid w:val="5F6E41B1"/>
    <w:rsid w:val="5F714634"/>
    <w:rsid w:val="5F714A57"/>
    <w:rsid w:val="5F715D02"/>
    <w:rsid w:val="5F785CFF"/>
    <w:rsid w:val="5F7B5532"/>
    <w:rsid w:val="5F8C05DD"/>
    <w:rsid w:val="5F9136E2"/>
    <w:rsid w:val="5F945C6E"/>
    <w:rsid w:val="5F9609A6"/>
    <w:rsid w:val="5F976056"/>
    <w:rsid w:val="5F9A541A"/>
    <w:rsid w:val="5FA03C55"/>
    <w:rsid w:val="5FA96BB5"/>
    <w:rsid w:val="5FC26490"/>
    <w:rsid w:val="5FCB0FAC"/>
    <w:rsid w:val="5FCC0F20"/>
    <w:rsid w:val="5FD7050C"/>
    <w:rsid w:val="5FE3287C"/>
    <w:rsid w:val="5FE502FA"/>
    <w:rsid w:val="5FEF66DA"/>
    <w:rsid w:val="5FF727EF"/>
    <w:rsid w:val="600A2620"/>
    <w:rsid w:val="600D7226"/>
    <w:rsid w:val="6010367B"/>
    <w:rsid w:val="60177C95"/>
    <w:rsid w:val="601C03AD"/>
    <w:rsid w:val="60226395"/>
    <w:rsid w:val="60282BEF"/>
    <w:rsid w:val="602B20E7"/>
    <w:rsid w:val="602F7A19"/>
    <w:rsid w:val="603C224B"/>
    <w:rsid w:val="60444B10"/>
    <w:rsid w:val="604C03D2"/>
    <w:rsid w:val="60612816"/>
    <w:rsid w:val="60615277"/>
    <w:rsid w:val="60695999"/>
    <w:rsid w:val="607346D5"/>
    <w:rsid w:val="608D470F"/>
    <w:rsid w:val="608F1164"/>
    <w:rsid w:val="60A023E2"/>
    <w:rsid w:val="60AC0BDD"/>
    <w:rsid w:val="60C86DFB"/>
    <w:rsid w:val="60D46DAF"/>
    <w:rsid w:val="60D52922"/>
    <w:rsid w:val="60F87B91"/>
    <w:rsid w:val="6100676D"/>
    <w:rsid w:val="61032C9D"/>
    <w:rsid w:val="610757A6"/>
    <w:rsid w:val="610A1465"/>
    <w:rsid w:val="6110560E"/>
    <w:rsid w:val="61122616"/>
    <w:rsid w:val="61124738"/>
    <w:rsid w:val="61143FE6"/>
    <w:rsid w:val="61224AC8"/>
    <w:rsid w:val="612416C4"/>
    <w:rsid w:val="612F062B"/>
    <w:rsid w:val="61316948"/>
    <w:rsid w:val="61355264"/>
    <w:rsid w:val="61366397"/>
    <w:rsid w:val="613D1908"/>
    <w:rsid w:val="613E6B14"/>
    <w:rsid w:val="61466D6C"/>
    <w:rsid w:val="61474679"/>
    <w:rsid w:val="61651B50"/>
    <w:rsid w:val="616B34F1"/>
    <w:rsid w:val="61762A25"/>
    <w:rsid w:val="61967EE9"/>
    <w:rsid w:val="619F0AE4"/>
    <w:rsid w:val="61A8544A"/>
    <w:rsid w:val="61B34920"/>
    <w:rsid w:val="61B8363E"/>
    <w:rsid w:val="61D35210"/>
    <w:rsid w:val="61D62588"/>
    <w:rsid w:val="61E10F96"/>
    <w:rsid w:val="61E20CAB"/>
    <w:rsid w:val="61E26A39"/>
    <w:rsid w:val="61EA1899"/>
    <w:rsid w:val="61EE361C"/>
    <w:rsid w:val="61F2346C"/>
    <w:rsid w:val="61F3564A"/>
    <w:rsid w:val="620455FF"/>
    <w:rsid w:val="62051E5E"/>
    <w:rsid w:val="620751EB"/>
    <w:rsid w:val="62096860"/>
    <w:rsid w:val="620D5CAE"/>
    <w:rsid w:val="620F5FBB"/>
    <w:rsid w:val="621141EC"/>
    <w:rsid w:val="621B439A"/>
    <w:rsid w:val="622542A4"/>
    <w:rsid w:val="622F4676"/>
    <w:rsid w:val="62357B4C"/>
    <w:rsid w:val="623C3E79"/>
    <w:rsid w:val="624B1DCB"/>
    <w:rsid w:val="624D3860"/>
    <w:rsid w:val="62642BCA"/>
    <w:rsid w:val="627830C8"/>
    <w:rsid w:val="627E4AA6"/>
    <w:rsid w:val="628C2580"/>
    <w:rsid w:val="6299479C"/>
    <w:rsid w:val="62AE5634"/>
    <w:rsid w:val="62B775E1"/>
    <w:rsid w:val="62B8695E"/>
    <w:rsid w:val="62C054DC"/>
    <w:rsid w:val="62C20E6C"/>
    <w:rsid w:val="62CD43DC"/>
    <w:rsid w:val="62D50569"/>
    <w:rsid w:val="62D877BF"/>
    <w:rsid w:val="62DD303E"/>
    <w:rsid w:val="62E03F56"/>
    <w:rsid w:val="62EB1915"/>
    <w:rsid w:val="62EC4F39"/>
    <w:rsid w:val="62F05B79"/>
    <w:rsid w:val="62F43C66"/>
    <w:rsid w:val="62F54D21"/>
    <w:rsid w:val="62F83111"/>
    <w:rsid w:val="630925DA"/>
    <w:rsid w:val="630E2BEE"/>
    <w:rsid w:val="63145F63"/>
    <w:rsid w:val="63153B67"/>
    <w:rsid w:val="63191F45"/>
    <w:rsid w:val="631A114F"/>
    <w:rsid w:val="631F4897"/>
    <w:rsid w:val="6327117C"/>
    <w:rsid w:val="633270F6"/>
    <w:rsid w:val="63340F00"/>
    <w:rsid w:val="633849E8"/>
    <w:rsid w:val="633F742D"/>
    <w:rsid w:val="63446387"/>
    <w:rsid w:val="63541E44"/>
    <w:rsid w:val="6359534E"/>
    <w:rsid w:val="636C63D7"/>
    <w:rsid w:val="637A1FAF"/>
    <w:rsid w:val="638350A5"/>
    <w:rsid w:val="63854194"/>
    <w:rsid w:val="639123D5"/>
    <w:rsid w:val="63936CEA"/>
    <w:rsid w:val="63945C4D"/>
    <w:rsid w:val="6394724E"/>
    <w:rsid w:val="639532D1"/>
    <w:rsid w:val="63A91068"/>
    <w:rsid w:val="63AA53D6"/>
    <w:rsid w:val="63AF6032"/>
    <w:rsid w:val="63B7308A"/>
    <w:rsid w:val="63BA23B1"/>
    <w:rsid w:val="63BE0768"/>
    <w:rsid w:val="63BE1EAF"/>
    <w:rsid w:val="63BE38DD"/>
    <w:rsid w:val="63BE4877"/>
    <w:rsid w:val="63CC1E6C"/>
    <w:rsid w:val="63D42E6F"/>
    <w:rsid w:val="63D56733"/>
    <w:rsid w:val="63DF01FA"/>
    <w:rsid w:val="63ED7418"/>
    <w:rsid w:val="63F55F2B"/>
    <w:rsid w:val="63FB2A16"/>
    <w:rsid w:val="640E09AC"/>
    <w:rsid w:val="641423F7"/>
    <w:rsid w:val="6414705B"/>
    <w:rsid w:val="6418742C"/>
    <w:rsid w:val="64241675"/>
    <w:rsid w:val="642E0DC1"/>
    <w:rsid w:val="64383811"/>
    <w:rsid w:val="643B1DDB"/>
    <w:rsid w:val="64527EE2"/>
    <w:rsid w:val="6463704A"/>
    <w:rsid w:val="64680B35"/>
    <w:rsid w:val="646D4927"/>
    <w:rsid w:val="64746411"/>
    <w:rsid w:val="64773568"/>
    <w:rsid w:val="64784319"/>
    <w:rsid w:val="647F5072"/>
    <w:rsid w:val="648A53C3"/>
    <w:rsid w:val="649609B3"/>
    <w:rsid w:val="649C3ACA"/>
    <w:rsid w:val="64AD6C47"/>
    <w:rsid w:val="64AF3495"/>
    <w:rsid w:val="64B1582E"/>
    <w:rsid w:val="64C007C5"/>
    <w:rsid w:val="64C25AE1"/>
    <w:rsid w:val="64CC53E2"/>
    <w:rsid w:val="64D8522D"/>
    <w:rsid w:val="64F459EF"/>
    <w:rsid w:val="64FC6A39"/>
    <w:rsid w:val="64FF5554"/>
    <w:rsid w:val="64FF5B33"/>
    <w:rsid w:val="650C735C"/>
    <w:rsid w:val="651A528F"/>
    <w:rsid w:val="652210F7"/>
    <w:rsid w:val="65252373"/>
    <w:rsid w:val="652D20EA"/>
    <w:rsid w:val="65310787"/>
    <w:rsid w:val="65320BD1"/>
    <w:rsid w:val="654A0485"/>
    <w:rsid w:val="655679F7"/>
    <w:rsid w:val="655C0221"/>
    <w:rsid w:val="656A3DE1"/>
    <w:rsid w:val="656B28FD"/>
    <w:rsid w:val="657958FF"/>
    <w:rsid w:val="657A4E84"/>
    <w:rsid w:val="657F02BE"/>
    <w:rsid w:val="6584001B"/>
    <w:rsid w:val="658558D2"/>
    <w:rsid w:val="658B2995"/>
    <w:rsid w:val="65911C80"/>
    <w:rsid w:val="65981B19"/>
    <w:rsid w:val="65A264C4"/>
    <w:rsid w:val="65AC7F98"/>
    <w:rsid w:val="65AF7515"/>
    <w:rsid w:val="65B01F8D"/>
    <w:rsid w:val="65D63A96"/>
    <w:rsid w:val="65F46A63"/>
    <w:rsid w:val="65FF233E"/>
    <w:rsid w:val="660367A1"/>
    <w:rsid w:val="6607745E"/>
    <w:rsid w:val="66093FCB"/>
    <w:rsid w:val="660C1008"/>
    <w:rsid w:val="66130AAB"/>
    <w:rsid w:val="66247877"/>
    <w:rsid w:val="663F3D5C"/>
    <w:rsid w:val="66442B47"/>
    <w:rsid w:val="6645606B"/>
    <w:rsid w:val="664A5DB0"/>
    <w:rsid w:val="664F5592"/>
    <w:rsid w:val="666138BE"/>
    <w:rsid w:val="666B61C1"/>
    <w:rsid w:val="66704DB8"/>
    <w:rsid w:val="667430BA"/>
    <w:rsid w:val="667D6E94"/>
    <w:rsid w:val="667E376F"/>
    <w:rsid w:val="66814262"/>
    <w:rsid w:val="6687181F"/>
    <w:rsid w:val="66956B8B"/>
    <w:rsid w:val="66991703"/>
    <w:rsid w:val="669D565A"/>
    <w:rsid w:val="669D5DF0"/>
    <w:rsid w:val="66A04B27"/>
    <w:rsid w:val="66AB0232"/>
    <w:rsid w:val="66AC42E9"/>
    <w:rsid w:val="66B20A89"/>
    <w:rsid w:val="66B327B0"/>
    <w:rsid w:val="66B57968"/>
    <w:rsid w:val="66B92610"/>
    <w:rsid w:val="66C65DA4"/>
    <w:rsid w:val="66CB27C0"/>
    <w:rsid w:val="66CD7497"/>
    <w:rsid w:val="66D525AE"/>
    <w:rsid w:val="66E67C21"/>
    <w:rsid w:val="66EA41B3"/>
    <w:rsid w:val="66F939B6"/>
    <w:rsid w:val="67027284"/>
    <w:rsid w:val="674027E5"/>
    <w:rsid w:val="67475E38"/>
    <w:rsid w:val="67537032"/>
    <w:rsid w:val="67656864"/>
    <w:rsid w:val="6766467F"/>
    <w:rsid w:val="676B362B"/>
    <w:rsid w:val="676D60D7"/>
    <w:rsid w:val="67775F53"/>
    <w:rsid w:val="67805079"/>
    <w:rsid w:val="67873F03"/>
    <w:rsid w:val="679773D7"/>
    <w:rsid w:val="679E131D"/>
    <w:rsid w:val="67A2624C"/>
    <w:rsid w:val="67AE39D7"/>
    <w:rsid w:val="67B2779B"/>
    <w:rsid w:val="67B42723"/>
    <w:rsid w:val="67C26BE9"/>
    <w:rsid w:val="67C935E9"/>
    <w:rsid w:val="67CD5390"/>
    <w:rsid w:val="67CF66A0"/>
    <w:rsid w:val="67D55811"/>
    <w:rsid w:val="67D73840"/>
    <w:rsid w:val="67F41BB8"/>
    <w:rsid w:val="67F60BB7"/>
    <w:rsid w:val="67FB60A5"/>
    <w:rsid w:val="67FC1404"/>
    <w:rsid w:val="68022384"/>
    <w:rsid w:val="6806232A"/>
    <w:rsid w:val="680901EC"/>
    <w:rsid w:val="680B049B"/>
    <w:rsid w:val="681329CD"/>
    <w:rsid w:val="681E50F5"/>
    <w:rsid w:val="682870E2"/>
    <w:rsid w:val="682B1DC8"/>
    <w:rsid w:val="68514045"/>
    <w:rsid w:val="68541A0A"/>
    <w:rsid w:val="686E2CBE"/>
    <w:rsid w:val="68995A67"/>
    <w:rsid w:val="689E408E"/>
    <w:rsid w:val="68B77FEA"/>
    <w:rsid w:val="68BE2805"/>
    <w:rsid w:val="68CC65D0"/>
    <w:rsid w:val="68D121D5"/>
    <w:rsid w:val="68D8103F"/>
    <w:rsid w:val="68EE6D9D"/>
    <w:rsid w:val="68FB681C"/>
    <w:rsid w:val="69005F31"/>
    <w:rsid w:val="69010FD4"/>
    <w:rsid w:val="690E0534"/>
    <w:rsid w:val="69214F2D"/>
    <w:rsid w:val="69294D34"/>
    <w:rsid w:val="6934460D"/>
    <w:rsid w:val="693508DD"/>
    <w:rsid w:val="694A5299"/>
    <w:rsid w:val="694E280C"/>
    <w:rsid w:val="69554EBE"/>
    <w:rsid w:val="695568D4"/>
    <w:rsid w:val="69607A6C"/>
    <w:rsid w:val="696B7A43"/>
    <w:rsid w:val="696D0FD1"/>
    <w:rsid w:val="697C6401"/>
    <w:rsid w:val="697D34E1"/>
    <w:rsid w:val="69822039"/>
    <w:rsid w:val="69865073"/>
    <w:rsid w:val="698C58DA"/>
    <w:rsid w:val="69954DA9"/>
    <w:rsid w:val="6999348E"/>
    <w:rsid w:val="69A7696E"/>
    <w:rsid w:val="69AB6664"/>
    <w:rsid w:val="69C37CDD"/>
    <w:rsid w:val="69CD70A4"/>
    <w:rsid w:val="69D973C3"/>
    <w:rsid w:val="69DF007F"/>
    <w:rsid w:val="69E63DBE"/>
    <w:rsid w:val="69F27551"/>
    <w:rsid w:val="6A017D99"/>
    <w:rsid w:val="6A095812"/>
    <w:rsid w:val="6A114CCF"/>
    <w:rsid w:val="6A195EB9"/>
    <w:rsid w:val="6A322912"/>
    <w:rsid w:val="6A483D54"/>
    <w:rsid w:val="6A497372"/>
    <w:rsid w:val="6A4C7F9A"/>
    <w:rsid w:val="6A4E7F60"/>
    <w:rsid w:val="6A4F0FE3"/>
    <w:rsid w:val="6A632100"/>
    <w:rsid w:val="6A647A43"/>
    <w:rsid w:val="6A6E3D8A"/>
    <w:rsid w:val="6A702E47"/>
    <w:rsid w:val="6A81003E"/>
    <w:rsid w:val="6A907C90"/>
    <w:rsid w:val="6ABD2B8A"/>
    <w:rsid w:val="6AC122A3"/>
    <w:rsid w:val="6ACA5FB0"/>
    <w:rsid w:val="6ACF4C27"/>
    <w:rsid w:val="6ADE18EE"/>
    <w:rsid w:val="6ADF3594"/>
    <w:rsid w:val="6AE73F4D"/>
    <w:rsid w:val="6AF17318"/>
    <w:rsid w:val="6B0B1D32"/>
    <w:rsid w:val="6B0F0139"/>
    <w:rsid w:val="6B0F0659"/>
    <w:rsid w:val="6B2142CE"/>
    <w:rsid w:val="6B2315D2"/>
    <w:rsid w:val="6B25182E"/>
    <w:rsid w:val="6B276A3E"/>
    <w:rsid w:val="6B30021B"/>
    <w:rsid w:val="6B3B0707"/>
    <w:rsid w:val="6B471513"/>
    <w:rsid w:val="6B56083E"/>
    <w:rsid w:val="6B5D2250"/>
    <w:rsid w:val="6B5F2E07"/>
    <w:rsid w:val="6B6B376C"/>
    <w:rsid w:val="6B7C613A"/>
    <w:rsid w:val="6B7F0990"/>
    <w:rsid w:val="6B850C29"/>
    <w:rsid w:val="6B954CEF"/>
    <w:rsid w:val="6BA840D6"/>
    <w:rsid w:val="6BAC1043"/>
    <w:rsid w:val="6BAD2A66"/>
    <w:rsid w:val="6BB87FC4"/>
    <w:rsid w:val="6BBE61C0"/>
    <w:rsid w:val="6BD46B4D"/>
    <w:rsid w:val="6BDE22A7"/>
    <w:rsid w:val="6BE73798"/>
    <w:rsid w:val="6BEC2FCA"/>
    <w:rsid w:val="6BF419EF"/>
    <w:rsid w:val="6BFF2E92"/>
    <w:rsid w:val="6C182FA3"/>
    <w:rsid w:val="6C1A082E"/>
    <w:rsid w:val="6C3707E3"/>
    <w:rsid w:val="6C5D623A"/>
    <w:rsid w:val="6C693AEA"/>
    <w:rsid w:val="6C6958BA"/>
    <w:rsid w:val="6C69732B"/>
    <w:rsid w:val="6C6A2B82"/>
    <w:rsid w:val="6C6E6BE1"/>
    <w:rsid w:val="6C6F3102"/>
    <w:rsid w:val="6C784971"/>
    <w:rsid w:val="6C860712"/>
    <w:rsid w:val="6C860B71"/>
    <w:rsid w:val="6C863AD3"/>
    <w:rsid w:val="6C8F0FB6"/>
    <w:rsid w:val="6C975335"/>
    <w:rsid w:val="6C995B9F"/>
    <w:rsid w:val="6C9C715F"/>
    <w:rsid w:val="6CB03800"/>
    <w:rsid w:val="6CB36312"/>
    <w:rsid w:val="6CB543F8"/>
    <w:rsid w:val="6CD3191A"/>
    <w:rsid w:val="6CE83B52"/>
    <w:rsid w:val="6CF71267"/>
    <w:rsid w:val="6CFD7470"/>
    <w:rsid w:val="6D193B0B"/>
    <w:rsid w:val="6D1E7058"/>
    <w:rsid w:val="6D2162B4"/>
    <w:rsid w:val="6D216DEF"/>
    <w:rsid w:val="6D222178"/>
    <w:rsid w:val="6D2C13DF"/>
    <w:rsid w:val="6D2F5008"/>
    <w:rsid w:val="6D351109"/>
    <w:rsid w:val="6D39408A"/>
    <w:rsid w:val="6D535020"/>
    <w:rsid w:val="6D5A4F02"/>
    <w:rsid w:val="6D644C93"/>
    <w:rsid w:val="6D6A5CC8"/>
    <w:rsid w:val="6D6B3F91"/>
    <w:rsid w:val="6D7538E1"/>
    <w:rsid w:val="6D7707C3"/>
    <w:rsid w:val="6D86428B"/>
    <w:rsid w:val="6D8901BC"/>
    <w:rsid w:val="6D9346AE"/>
    <w:rsid w:val="6DB16CB7"/>
    <w:rsid w:val="6DB22D18"/>
    <w:rsid w:val="6DB96B12"/>
    <w:rsid w:val="6DC30A82"/>
    <w:rsid w:val="6DC918BA"/>
    <w:rsid w:val="6DCE7E6C"/>
    <w:rsid w:val="6DD16FED"/>
    <w:rsid w:val="6DE04488"/>
    <w:rsid w:val="6DEE7E36"/>
    <w:rsid w:val="6DF90DFC"/>
    <w:rsid w:val="6E132BBF"/>
    <w:rsid w:val="6E154224"/>
    <w:rsid w:val="6E156AB9"/>
    <w:rsid w:val="6E255579"/>
    <w:rsid w:val="6E2A1D7A"/>
    <w:rsid w:val="6E2D17B9"/>
    <w:rsid w:val="6E347D9E"/>
    <w:rsid w:val="6E39640B"/>
    <w:rsid w:val="6E457FD7"/>
    <w:rsid w:val="6E4E1431"/>
    <w:rsid w:val="6E5140E8"/>
    <w:rsid w:val="6E523ECC"/>
    <w:rsid w:val="6E6A4D62"/>
    <w:rsid w:val="6E733917"/>
    <w:rsid w:val="6E777980"/>
    <w:rsid w:val="6E8C433E"/>
    <w:rsid w:val="6E915325"/>
    <w:rsid w:val="6E950807"/>
    <w:rsid w:val="6E9C45CA"/>
    <w:rsid w:val="6EAE5828"/>
    <w:rsid w:val="6EBF54EA"/>
    <w:rsid w:val="6ECB09B7"/>
    <w:rsid w:val="6ECC5B21"/>
    <w:rsid w:val="6ED0560A"/>
    <w:rsid w:val="6EE62D04"/>
    <w:rsid w:val="6EEC353D"/>
    <w:rsid w:val="6EEF1C1D"/>
    <w:rsid w:val="6EF05FA7"/>
    <w:rsid w:val="6EF43A7A"/>
    <w:rsid w:val="6F097E86"/>
    <w:rsid w:val="6F151595"/>
    <w:rsid w:val="6F2C025F"/>
    <w:rsid w:val="6F2C25D4"/>
    <w:rsid w:val="6F2D598D"/>
    <w:rsid w:val="6F4308A1"/>
    <w:rsid w:val="6F46405D"/>
    <w:rsid w:val="6F5603AA"/>
    <w:rsid w:val="6F582142"/>
    <w:rsid w:val="6F6311C3"/>
    <w:rsid w:val="6F6F143A"/>
    <w:rsid w:val="6F7B4F57"/>
    <w:rsid w:val="6F8173A5"/>
    <w:rsid w:val="6F8731F0"/>
    <w:rsid w:val="6F98023F"/>
    <w:rsid w:val="6FAF5EAE"/>
    <w:rsid w:val="6FBC0E57"/>
    <w:rsid w:val="6FC57B35"/>
    <w:rsid w:val="6FCB5618"/>
    <w:rsid w:val="6FE26034"/>
    <w:rsid w:val="6FF551F5"/>
    <w:rsid w:val="6FF567F7"/>
    <w:rsid w:val="6FF901E4"/>
    <w:rsid w:val="6FFA68F6"/>
    <w:rsid w:val="7004100D"/>
    <w:rsid w:val="701820FB"/>
    <w:rsid w:val="70224DE3"/>
    <w:rsid w:val="703503A4"/>
    <w:rsid w:val="7036351C"/>
    <w:rsid w:val="703D6CEF"/>
    <w:rsid w:val="70412B93"/>
    <w:rsid w:val="70553D44"/>
    <w:rsid w:val="705D42D1"/>
    <w:rsid w:val="7062375F"/>
    <w:rsid w:val="70706378"/>
    <w:rsid w:val="7075364D"/>
    <w:rsid w:val="70771B88"/>
    <w:rsid w:val="708B2925"/>
    <w:rsid w:val="708D6597"/>
    <w:rsid w:val="70B16ED7"/>
    <w:rsid w:val="70BE359C"/>
    <w:rsid w:val="70C06B12"/>
    <w:rsid w:val="70C55B89"/>
    <w:rsid w:val="70C95948"/>
    <w:rsid w:val="70CE5088"/>
    <w:rsid w:val="70D900D5"/>
    <w:rsid w:val="70E96DC7"/>
    <w:rsid w:val="70EC759C"/>
    <w:rsid w:val="70EF6FAE"/>
    <w:rsid w:val="71091DB7"/>
    <w:rsid w:val="710A05D6"/>
    <w:rsid w:val="71164870"/>
    <w:rsid w:val="71215B48"/>
    <w:rsid w:val="712357B2"/>
    <w:rsid w:val="712D66C5"/>
    <w:rsid w:val="71315B56"/>
    <w:rsid w:val="713425DE"/>
    <w:rsid w:val="71362F91"/>
    <w:rsid w:val="71380537"/>
    <w:rsid w:val="71395FAD"/>
    <w:rsid w:val="713C7860"/>
    <w:rsid w:val="7158707F"/>
    <w:rsid w:val="715F7096"/>
    <w:rsid w:val="71634934"/>
    <w:rsid w:val="71684551"/>
    <w:rsid w:val="716C7616"/>
    <w:rsid w:val="71723E36"/>
    <w:rsid w:val="71760E9C"/>
    <w:rsid w:val="71895007"/>
    <w:rsid w:val="718C2955"/>
    <w:rsid w:val="718C3250"/>
    <w:rsid w:val="719528E3"/>
    <w:rsid w:val="719C38AD"/>
    <w:rsid w:val="719D43E5"/>
    <w:rsid w:val="71BA2D03"/>
    <w:rsid w:val="71BE0807"/>
    <w:rsid w:val="71D13370"/>
    <w:rsid w:val="71D14DF2"/>
    <w:rsid w:val="71DD2475"/>
    <w:rsid w:val="71DD54E0"/>
    <w:rsid w:val="71E25D9B"/>
    <w:rsid w:val="71EA1849"/>
    <w:rsid w:val="71EF67A8"/>
    <w:rsid w:val="71FB2E51"/>
    <w:rsid w:val="71FC4024"/>
    <w:rsid w:val="72097561"/>
    <w:rsid w:val="72167FDA"/>
    <w:rsid w:val="721B506B"/>
    <w:rsid w:val="724033F7"/>
    <w:rsid w:val="72416679"/>
    <w:rsid w:val="72433065"/>
    <w:rsid w:val="72457278"/>
    <w:rsid w:val="726E0B11"/>
    <w:rsid w:val="728175C3"/>
    <w:rsid w:val="728729C7"/>
    <w:rsid w:val="728E5109"/>
    <w:rsid w:val="72A16F64"/>
    <w:rsid w:val="72A2415E"/>
    <w:rsid w:val="72AC288B"/>
    <w:rsid w:val="72B266AC"/>
    <w:rsid w:val="72BE6CD8"/>
    <w:rsid w:val="72C03295"/>
    <w:rsid w:val="72C346BD"/>
    <w:rsid w:val="72CE404E"/>
    <w:rsid w:val="72E47A77"/>
    <w:rsid w:val="72EB7CFE"/>
    <w:rsid w:val="72ED4786"/>
    <w:rsid w:val="72F5500F"/>
    <w:rsid w:val="72FA404C"/>
    <w:rsid w:val="72FD4B94"/>
    <w:rsid w:val="73035024"/>
    <w:rsid w:val="731822C5"/>
    <w:rsid w:val="73261C73"/>
    <w:rsid w:val="73274383"/>
    <w:rsid w:val="73296A24"/>
    <w:rsid w:val="733B25A8"/>
    <w:rsid w:val="733E766B"/>
    <w:rsid w:val="733F3107"/>
    <w:rsid w:val="734A04E5"/>
    <w:rsid w:val="735019D7"/>
    <w:rsid w:val="736F044F"/>
    <w:rsid w:val="737410AC"/>
    <w:rsid w:val="73785F09"/>
    <w:rsid w:val="7391679E"/>
    <w:rsid w:val="73A53482"/>
    <w:rsid w:val="73AA5EEC"/>
    <w:rsid w:val="73B04236"/>
    <w:rsid w:val="73B431A6"/>
    <w:rsid w:val="73BB09D2"/>
    <w:rsid w:val="73BD186A"/>
    <w:rsid w:val="73BF77D7"/>
    <w:rsid w:val="73CB6CEC"/>
    <w:rsid w:val="73E27B00"/>
    <w:rsid w:val="73E65029"/>
    <w:rsid w:val="73EF3643"/>
    <w:rsid w:val="73EF42A9"/>
    <w:rsid w:val="73F017DA"/>
    <w:rsid w:val="73F07D9A"/>
    <w:rsid w:val="73F12351"/>
    <w:rsid w:val="73F41526"/>
    <w:rsid w:val="74090D59"/>
    <w:rsid w:val="74180BBF"/>
    <w:rsid w:val="74266B95"/>
    <w:rsid w:val="742E73BF"/>
    <w:rsid w:val="743D2A5D"/>
    <w:rsid w:val="74451C3B"/>
    <w:rsid w:val="74566DBA"/>
    <w:rsid w:val="745A0BA9"/>
    <w:rsid w:val="745D2796"/>
    <w:rsid w:val="7460605D"/>
    <w:rsid w:val="74645E2C"/>
    <w:rsid w:val="747A5C59"/>
    <w:rsid w:val="747B1953"/>
    <w:rsid w:val="748D4D0B"/>
    <w:rsid w:val="748F2873"/>
    <w:rsid w:val="74A27DD2"/>
    <w:rsid w:val="74AA513B"/>
    <w:rsid w:val="74B47A08"/>
    <w:rsid w:val="74C07362"/>
    <w:rsid w:val="74E0416E"/>
    <w:rsid w:val="74EE09B3"/>
    <w:rsid w:val="74F16FF8"/>
    <w:rsid w:val="75032417"/>
    <w:rsid w:val="75115B78"/>
    <w:rsid w:val="751630F3"/>
    <w:rsid w:val="751B0EF7"/>
    <w:rsid w:val="751D677C"/>
    <w:rsid w:val="751E11BF"/>
    <w:rsid w:val="75231E7F"/>
    <w:rsid w:val="75315F8E"/>
    <w:rsid w:val="7544346D"/>
    <w:rsid w:val="75494DE0"/>
    <w:rsid w:val="754A58F7"/>
    <w:rsid w:val="75590E73"/>
    <w:rsid w:val="755D4311"/>
    <w:rsid w:val="75684184"/>
    <w:rsid w:val="75782865"/>
    <w:rsid w:val="7580783F"/>
    <w:rsid w:val="758D23F8"/>
    <w:rsid w:val="759146BB"/>
    <w:rsid w:val="759B05B0"/>
    <w:rsid w:val="75A20554"/>
    <w:rsid w:val="75B30DD6"/>
    <w:rsid w:val="75C25231"/>
    <w:rsid w:val="75C876B4"/>
    <w:rsid w:val="75DF4381"/>
    <w:rsid w:val="75E142B9"/>
    <w:rsid w:val="75E5151B"/>
    <w:rsid w:val="75EC37AE"/>
    <w:rsid w:val="75F11993"/>
    <w:rsid w:val="75F16CCA"/>
    <w:rsid w:val="76054A17"/>
    <w:rsid w:val="76185AAD"/>
    <w:rsid w:val="76211AF6"/>
    <w:rsid w:val="76275FAE"/>
    <w:rsid w:val="762E39BD"/>
    <w:rsid w:val="763537F6"/>
    <w:rsid w:val="763B3B81"/>
    <w:rsid w:val="76417696"/>
    <w:rsid w:val="76453603"/>
    <w:rsid w:val="76686B17"/>
    <w:rsid w:val="766F7C81"/>
    <w:rsid w:val="76760936"/>
    <w:rsid w:val="767F314F"/>
    <w:rsid w:val="7683750C"/>
    <w:rsid w:val="769120F5"/>
    <w:rsid w:val="76940D5A"/>
    <w:rsid w:val="7695521B"/>
    <w:rsid w:val="769F638C"/>
    <w:rsid w:val="76D11E42"/>
    <w:rsid w:val="76D5246B"/>
    <w:rsid w:val="76D613FE"/>
    <w:rsid w:val="76D61C06"/>
    <w:rsid w:val="77123450"/>
    <w:rsid w:val="771E342D"/>
    <w:rsid w:val="77241334"/>
    <w:rsid w:val="772E3EC9"/>
    <w:rsid w:val="778B74B3"/>
    <w:rsid w:val="779C66D3"/>
    <w:rsid w:val="77A52D33"/>
    <w:rsid w:val="77B86D8D"/>
    <w:rsid w:val="77B95085"/>
    <w:rsid w:val="77C82507"/>
    <w:rsid w:val="77C94A5C"/>
    <w:rsid w:val="77CE0154"/>
    <w:rsid w:val="77D51602"/>
    <w:rsid w:val="77ED2A98"/>
    <w:rsid w:val="77F359E9"/>
    <w:rsid w:val="77FA3B58"/>
    <w:rsid w:val="780E6346"/>
    <w:rsid w:val="7810476F"/>
    <w:rsid w:val="781B4D0B"/>
    <w:rsid w:val="781B6277"/>
    <w:rsid w:val="782402F6"/>
    <w:rsid w:val="7826124C"/>
    <w:rsid w:val="782D5E70"/>
    <w:rsid w:val="782E0211"/>
    <w:rsid w:val="783E6B68"/>
    <w:rsid w:val="78490F79"/>
    <w:rsid w:val="786308D6"/>
    <w:rsid w:val="786660BB"/>
    <w:rsid w:val="786D13B6"/>
    <w:rsid w:val="7876280E"/>
    <w:rsid w:val="787967A0"/>
    <w:rsid w:val="787E5DA4"/>
    <w:rsid w:val="7886011F"/>
    <w:rsid w:val="788620D6"/>
    <w:rsid w:val="788E4C33"/>
    <w:rsid w:val="789A14D5"/>
    <w:rsid w:val="78A23C35"/>
    <w:rsid w:val="78AE55B9"/>
    <w:rsid w:val="78B1241F"/>
    <w:rsid w:val="78B5402C"/>
    <w:rsid w:val="78C33580"/>
    <w:rsid w:val="78C44908"/>
    <w:rsid w:val="78CA3104"/>
    <w:rsid w:val="78CD5726"/>
    <w:rsid w:val="78DD724E"/>
    <w:rsid w:val="78E144CE"/>
    <w:rsid w:val="78E46F81"/>
    <w:rsid w:val="78E97DB2"/>
    <w:rsid w:val="78FB0EF8"/>
    <w:rsid w:val="78FD349A"/>
    <w:rsid w:val="78FE7A25"/>
    <w:rsid w:val="790300B9"/>
    <w:rsid w:val="792C6D0B"/>
    <w:rsid w:val="793731E3"/>
    <w:rsid w:val="79392389"/>
    <w:rsid w:val="793F4619"/>
    <w:rsid w:val="79476D94"/>
    <w:rsid w:val="795200ED"/>
    <w:rsid w:val="79533E74"/>
    <w:rsid w:val="79537BB7"/>
    <w:rsid w:val="79590D62"/>
    <w:rsid w:val="79651C45"/>
    <w:rsid w:val="796C1BE9"/>
    <w:rsid w:val="7972462B"/>
    <w:rsid w:val="79742E29"/>
    <w:rsid w:val="797C1FFB"/>
    <w:rsid w:val="798F727F"/>
    <w:rsid w:val="79933267"/>
    <w:rsid w:val="7998292C"/>
    <w:rsid w:val="79BC5130"/>
    <w:rsid w:val="79C439E3"/>
    <w:rsid w:val="79F075B1"/>
    <w:rsid w:val="79FB0C04"/>
    <w:rsid w:val="79FD459D"/>
    <w:rsid w:val="79FE5779"/>
    <w:rsid w:val="7A0144E6"/>
    <w:rsid w:val="7A082841"/>
    <w:rsid w:val="7A0C5205"/>
    <w:rsid w:val="7A314E83"/>
    <w:rsid w:val="7A31635E"/>
    <w:rsid w:val="7A320584"/>
    <w:rsid w:val="7A444B44"/>
    <w:rsid w:val="7A4568FC"/>
    <w:rsid w:val="7A6639DD"/>
    <w:rsid w:val="7A697475"/>
    <w:rsid w:val="7A6D79AA"/>
    <w:rsid w:val="7A7A62B5"/>
    <w:rsid w:val="7A7C4599"/>
    <w:rsid w:val="7A8157F4"/>
    <w:rsid w:val="7A8210D7"/>
    <w:rsid w:val="7A8E0619"/>
    <w:rsid w:val="7A9D6F98"/>
    <w:rsid w:val="7AC552F2"/>
    <w:rsid w:val="7AD53C91"/>
    <w:rsid w:val="7AD91D8E"/>
    <w:rsid w:val="7ADB5C40"/>
    <w:rsid w:val="7ADD7099"/>
    <w:rsid w:val="7AE53FA2"/>
    <w:rsid w:val="7AE91E92"/>
    <w:rsid w:val="7AF37660"/>
    <w:rsid w:val="7B0D54DA"/>
    <w:rsid w:val="7B126289"/>
    <w:rsid w:val="7B212D78"/>
    <w:rsid w:val="7B30530E"/>
    <w:rsid w:val="7B3846C8"/>
    <w:rsid w:val="7B390DDA"/>
    <w:rsid w:val="7B693808"/>
    <w:rsid w:val="7B6D58DE"/>
    <w:rsid w:val="7B8F488C"/>
    <w:rsid w:val="7B974F1E"/>
    <w:rsid w:val="7B993DA4"/>
    <w:rsid w:val="7B9E0E8A"/>
    <w:rsid w:val="7BAA71B9"/>
    <w:rsid w:val="7BAF7D8E"/>
    <w:rsid w:val="7BB07905"/>
    <w:rsid w:val="7BB10B07"/>
    <w:rsid w:val="7BB35BDB"/>
    <w:rsid w:val="7BB41F7B"/>
    <w:rsid w:val="7BBF1BA5"/>
    <w:rsid w:val="7BDC2D7A"/>
    <w:rsid w:val="7BEA6E48"/>
    <w:rsid w:val="7BF71F56"/>
    <w:rsid w:val="7BFB33F0"/>
    <w:rsid w:val="7C0433BA"/>
    <w:rsid w:val="7C0467F7"/>
    <w:rsid w:val="7C052A99"/>
    <w:rsid w:val="7C1C2365"/>
    <w:rsid w:val="7C440D38"/>
    <w:rsid w:val="7C4A0704"/>
    <w:rsid w:val="7C4A26E6"/>
    <w:rsid w:val="7C59098D"/>
    <w:rsid w:val="7C5D0A3D"/>
    <w:rsid w:val="7C816640"/>
    <w:rsid w:val="7C907C58"/>
    <w:rsid w:val="7C9573CA"/>
    <w:rsid w:val="7C973ADB"/>
    <w:rsid w:val="7C973CE5"/>
    <w:rsid w:val="7C9C5AAF"/>
    <w:rsid w:val="7CA26400"/>
    <w:rsid w:val="7CA504FC"/>
    <w:rsid w:val="7CA92D22"/>
    <w:rsid w:val="7CAB1228"/>
    <w:rsid w:val="7CB13DE8"/>
    <w:rsid w:val="7CB53CE5"/>
    <w:rsid w:val="7CB8747E"/>
    <w:rsid w:val="7CC66EA5"/>
    <w:rsid w:val="7CD3492C"/>
    <w:rsid w:val="7CD91ED4"/>
    <w:rsid w:val="7CDA083F"/>
    <w:rsid w:val="7CDA4FD7"/>
    <w:rsid w:val="7CDE6632"/>
    <w:rsid w:val="7CE31486"/>
    <w:rsid w:val="7CE355AB"/>
    <w:rsid w:val="7CE95E3F"/>
    <w:rsid w:val="7CED4739"/>
    <w:rsid w:val="7CF81AC1"/>
    <w:rsid w:val="7D051E6D"/>
    <w:rsid w:val="7D130BAA"/>
    <w:rsid w:val="7D1D7C55"/>
    <w:rsid w:val="7D293E37"/>
    <w:rsid w:val="7D2C2A2C"/>
    <w:rsid w:val="7D342497"/>
    <w:rsid w:val="7D3C3A40"/>
    <w:rsid w:val="7D3D1E08"/>
    <w:rsid w:val="7D3F49EB"/>
    <w:rsid w:val="7D42460F"/>
    <w:rsid w:val="7D491923"/>
    <w:rsid w:val="7D4B0579"/>
    <w:rsid w:val="7D555FAC"/>
    <w:rsid w:val="7D5E6C78"/>
    <w:rsid w:val="7D625500"/>
    <w:rsid w:val="7D661AAB"/>
    <w:rsid w:val="7D6B63FA"/>
    <w:rsid w:val="7D6C6BA9"/>
    <w:rsid w:val="7D7F0A40"/>
    <w:rsid w:val="7D873270"/>
    <w:rsid w:val="7D8E409D"/>
    <w:rsid w:val="7D9E5BDD"/>
    <w:rsid w:val="7DC151FE"/>
    <w:rsid w:val="7DD05B20"/>
    <w:rsid w:val="7DDA0FC1"/>
    <w:rsid w:val="7DDC6964"/>
    <w:rsid w:val="7DE065A7"/>
    <w:rsid w:val="7DEB5334"/>
    <w:rsid w:val="7DF52D47"/>
    <w:rsid w:val="7DFA7B58"/>
    <w:rsid w:val="7E054DC3"/>
    <w:rsid w:val="7E0A7D52"/>
    <w:rsid w:val="7E0E2884"/>
    <w:rsid w:val="7E1813FE"/>
    <w:rsid w:val="7E250A47"/>
    <w:rsid w:val="7E276BB4"/>
    <w:rsid w:val="7E2B01D4"/>
    <w:rsid w:val="7E2E5534"/>
    <w:rsid w:val="7E2E67D3"/>
    <w:rsid w:val="7E3139AB"/>
    <w:rsid w:val="7E33168C"/>
    <w:rsid w:val="7E3B6737"/>
    <w:rsid w:val="7E631219"/>
    <w:rsid w:val="7E64128C"/>
    <w:rsid w:val="7E671940"/>
    <w:rsid w:val="7E6B536E"/>
    <w:rsid w:val="7E7517E8"/>
    <w:rsid w:val="7E8E203F"/>
    <w:rsid w:val="7E8F25D0"/>
    <w:rsid w:val="7E923935"/>
    <w:rsid w:val="7EAB29B1"/>
    <w:rsid w:val="7EAC6DCF"/>
    <w:rsid w:val="7EAF3AF1"/>
    <w:rsid w:val="7EBC1F58"/>
    <w:rsid w:val="7EC9106A"/>
    <w:rsid w:val="7EC957DD"/>
    <w:rsid w:val="7ED14DB6"/>
    <w:rsid w:val="7ED16578"/>
    <w:rsid w:val="7EDC3B37"/>
    <w:rsid w:val="7EE75461"/>
    <w:rsid w:val="7EE76915"/>
    <w:rsid w:val="7EEC6E13"/>
    <w:rsid w:val="7EEC7F9A"/>
    <w:rsid w:val="7EF118F1"/>
    <w:rsid w:val="7EF47DC2"/>
    <w:rsid w:val="7EF60A7C"/>
    <w:rsid w:val="7F0B68A2"/>
    <w:rsid w:val="7F115E56"/>
    <w:rsid w:val="7F2039B5"/>
    <w:rsid w:val="7F24500C"/>
    <w:rsid w:val="7F26493B"/>
    <w:rsid w:val="7F2A6727"/>
    <w:rsid w:val="7F4419AA"/>
    <w:rsid w:val="7F45214C"/>
    <w:rsid w:val="7F4E793F"/>
    <w:rsid w:val="7F5579B0"/>
    <w:rsid w:val="7F58405D"/>
    <w:rsid w:val="7F617E8B"/>
    <w:rsid w:val="7F6A7EA9"/>
    <w:rsid w:val="7F6D53FE"/>
    <w:rsid w:val="7F7807C4"/>
    <w:rsid w:val="7F837A9D"/>
    <w:rsid w:val="7F947FF8"/>
    <w:rsid w:val="7F977394"/>
    <w:rsid w:val="7F9D1D7D"/>
    <w:rsid w:val="7F9E1A24"/>
    <w:rsid w:val="7FA450A9"/>
    <w:rsid w:val="7FA87001"/>
    <w:rsid w:val="7FB25208"/>
    <w:rsid w:val="7FB3330A"/>
    <w:rsid w:val="7FBE350D"/>
    <w:rsid w:val="7FCB08BB"/>
    <w:rsid w:val="7FCC0E95"/>
    <w:rsid w:val="7FD17A99"/>
    <w:rsid w:val="7FDA4E4D"/>
    <w:rsid w:val="7FFC5E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pPr>
    <w:rPr>
      <w:rFonts w:ascii="Tahoma" w:hAnsi="Tahoma" w:eastAsia="微软雅黑" w:cstheme="minorBidi"/>
      <w:sz w:val="22"/>
      <w:szCs w:val="22"/>
      <w:lang w:val="en-US" w:eastAsia="zh-CN" w:bidi="ar-SA"/>
    </w:rPr>
  </w:style>
  <w:style w:type="paragraph" w:styleId="3">
    <w:name w:val="heading 1"/>
    <w:basedOn w:val="1"/>
    <w:next w:val="1"/>
    <w:qFormat/>
    <w:uiPriority w:val="0"/>
    <w:pPr>
      <w:keepNext/>
      <w:keepLines/>
      <w:outlineLvl w:val="0"/>
    </w:pPr>
    <w:rPr>
      <w:b/>
      <w:bCs/>
      <w:kern w:val="44"/>
      <w:szCs w:val="44"/>
    </w:rPr>
  </w:style>
  <w:style w:type="paragraph" w:styleId="4">
    <w:name w:val="heading 2"/>
    <w:basedOn w:val="1"/>
    <w:next w:val="1"/>
    <w:qFormat/>
    <w:uiPriority w:val="0"/>
    <w:pPr>
      <w:keepNext/>
      <w:keepLines/>
      <w:spacing w:line="416" w:lineRule="auto"/>
      <w:outlineLvl w:val="1"/>
    </w:pPr>
    <w:rPr>
      <w:rFonts w:ascii="Arial" w:hAnsi="Arial" w:eastAsia="黑体"/>
      <w:b/>
      <w:bCs/>
      <w:kern w:val="2"/>
      <w:sz w:val="32"/>
      <w:szCs w:val="32"/>
    </w:rPr>
  </w:style>
  <w:style w:type="paragraph" w:styleId="2">
    <w:name w:val="heading 3"/>
    <w:basedOn w:val="1"/>
    <w:next w:val="1"/>
    <w:qFormat/>
    <w:uiPriority w:val="0"/>
    <w:pPr>
      <w:keepNext/>
      <w:outlineLvl w:val="2"/>
    </w:pPr>
    <w:rPr>
      <w:sz w:val="44"/>
      <w:shd w:val="pct10" w:color="auto" w:fill="FFFFFF"/>
    </w:rPr>
  </w:style>
  <w:style w:type="paragraph" w:styleId="5">
    <w:name w:val="heading 6"/>
    <w:basedOn w:val="1"/>
    <w:next w:val="1"/>
    <w:qFormat/>
    <w:uiPriority w:val="1"/>
    <w:pPr>
      <w:spacing w:before="26"/>
      <w:ind w:left="115"/>
      <w:outlineLvl w:val="6"/>
    </w:pPr>
    <w:rPr>
      <w:rFonts w:ascii="宋体" w:hAnsi="宋体" w:eastAsia="宋体"/>
      <w:b/>
      <w:bCs/>
      <w:sz w:val="24"/>
      <w:szCs w:val="24"/>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table of authorities"/>
    <w:basedOn w:val="1"/>
    <w:next w:val="1"/>
    <w:semiHidden/>
    <w:qFormat/>
    <w:uiPriority w:val="0"/>
    <w:pPr>
      <w:ind w:left="420" w:leftChars="200"/>
    </w:pPr>
  </w:style>
  <w:style w:type="paragraph" w:styleId="7">
    <w:name w:val="Note Heading"/>
    <w:basedOn w:val="1"/>
    <w:next w:val="1"/>
    <w:qFormat/>
    <w:uiPriority w:val="0"/>
    <w:pPr>
      <w:jc w:val="center"/>
    </w:pPr>
  </w:style>
  <w:style w:type="paragraph" w:styleId="8">
    <w:name w:val="Normal Indent"/>
    <w:basedOn w:val="1"/>
    <w:qFormat/>
    <w:uiPriority w:val="0"/>
    <w:pPr>
      <w:widowControl w:val="0"/>
      <w:spacing w:beforeLines="50" w:line="360" w:lineRule="auto"/>
      <w:ind w:firstLine="560" w:firstLineChars="200"/>
      <w:jc w:val="both"/>
    </w:pPr>
    <w:rPr>
      <w:kern w:val="2"/>
      <w:sz w:val="28"/>
    </w:rPr>
  </w:style>
  <w:style w:type="paragraph" w:styleId="9">
    <w:name w:val="caption"/>
    <w:basedOn w:val="1"/>
    <w:next w:val="1"/>
    <w:qFormat/>
    <w:uiPriority w:val="0"/>
    <w:pPr>
      <w:jc w:val="center"/>
    </w:pPr>
    <w:rPr>
      <w:rFonts w:ascii="Arial" w:hAnsi="Arial" w:cs="Arial"/>
      <w:sz w:val="24"/>
    </w:rPr>
  </w:style>
  <w:style w:type="paragraph" w:styleId="10">
    <w:name w:val="Document Map"/>
    <w:basedOn w:val="1"/>
    <w:link w:val="67"/>
    <w:qFormat/>
    <w:uiPriority w:val="0"/>
    <w:rPr>
      <w:rFonts w:ascii="宋体" w:eastAsia="宋体"/>
      <w:sz w:val="18"/>
      <w:szCs w:val="18"/>
    </w:rPr>
  </w:style>
  <w:style w:type="paragraph" w:styleId="11">
    <w:name w:val="annotation text"/>
    <w:basedOn w:val="1"/>
    <w:qFormat/>
    <w:uiPriority w:val="0"/>
  </w:style>
  <w:style w:type="paragraph" w:styleId="12">
    <w:name w:val="Body Text"/>
    <w:basedOn w:val="1"/>
    <w:next w:val="7"/>
    <w:qFormat/>
    <w:uiPriority w:val="0"/>
    <w:rPr>
      <w:rFonts w:eastAsia="楷体_GB2312"/>
      <w:spacing w:val="-8"/>
      <w:sz w:val="24"/>
    </w:rPr>
  </w:style>
  <w:style w:type="paragraph" w:styleId="13">
    <w:name w:val="Body Text Indent"/>
    <w:basedOn w:val="1"/>
    <w:qFormat/>
    <w:uiPriority w:val="0"/>
    <w:pPr>
      <w:jc w:val="center"/>
    </w:pPr>
    <w:rPr>
      <w:rFonts w:eastAsia="楷体_GB2312"/>
      <w:sz w:val="24"/>
    </w:rPr>
  </w:style>
  <w:style w:type="paragraph" w:styleId="14">
    <w:name w:val="Block Text"/>
    <w:basedOn w:val="1"/>
    <w:qFormat/>
    <w:uiPriority w:val="0"/>
    <w:pPr>
      <w:spacing w:line="440" w:lineRule="exact"/>
      <w:ind w:left="113" w:right="113" w:firstLine="567"/>
    </w:pPr>
    <w:rPr>
      <w:rFonts w:ascii="仿宋_GB2312" w:eastAsia="仿宋_GB2312"/>
      <w:sz w:val="28"/>
      <w:szCs w:val="20"/>
    </w:rPr>
  </w:style>
  <w:style w:type="paragraph" w:styleId="15">
    <w:name w:val="Plain Text"/>
    <w:basedOn w:val="1"/>
    <w:unhideWhenUsed/>
    <w:qFormat/>
    <w:uiPriority w:val="99"/>
    <w:rPr>
      <w:rFonts w:ascii="宋体" w:hAnsi="Courier New"/>
      <w:sz w:val="20"/>
      <w:szCs w:val="21"/>
    </w:rPr>
  </w:style>
  <w:style w:type="paragraph" w:styleId="16">
    <w:name w:val="Body Text Indent 2"/>
    <w:basedOn w:val="1"/>
    <w:qFormat/>
    <w:uiPriority w:val="99"/>
    <w:pPr>
      <w:spacing w:after="120" w:line="480" w:lineRule="auto"/>
      <w:ind w:left="420" w:leftChars="200"/>
    </w:pPr>
  </w:style>
  <w:style w:type="paragraph" w:styleId="17">
    <w:name w:val="Balloon Text"/>
    <w:basedOn w:val="1"/>
    <w:link w:val="65"/>
    <w:qFormat/>
    <w:uiPriority w:val="0"/>
    <w:rPr>
      <w:sz w:val="18"/>
      <w:szCs w:val="18"/>
    </w:rPr>
  </w:style>
  <w:style w:type="paragraph" w:styleId="18">
    <w:name w:val="footer"/>
    <w:basedOn w:val="1"/>
    <w:link w:val="66"/>
    <w:qFormat/>
    <w:uiPriority w:val="99"/>
    <w:pPr>
      <w:tabs>
        <w:tab w:val="center" w:pos="4153"/>
        <w:tab w:val="right" w:pos="8306"/>
      </w:tabs>
    </w:pPr>
    <w:rPr>
      <w:sz w:val="18"/>
      <w:szCs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20">
    <w:name w:val="toc 1"/>
    <w:basedOn w:val="1"/>
    <w:next w:val="1"/>
    <w:qFormat/>
    <w:uiPriority w:val="0"/>
  </w:style>
  <w:style w:type="paragraph" w:styleId="21">
    <w:name w:val="List"/>
    <w:basedOn w:val="1"/>
    <w:qFormat/>
    <w:uiPriority w:val="0"/>
    <w:pPr>
      <w:ind w:left="200" w:hanging="200" w:hangingChars="200"/>
    </w:pPr>
  </w:style>
  <w:style w:type="paragraph" w:styleId="22">
    <w:name w:val="Normal (Web)"/>
    <w:basedOn w:val="1"/>
    <w:qFormat/>
    <w:uiPriority w:val="0"/>
    <w:pPr>
      <w:spacing w:before="100" w:beforeAutospacing="1" w:after="100" w:afterAutospacing="1"/>
    </w:pPr>
    <w:rPr>
      <w:rFonts w:ascii="宋体" w:hAnsi="宋体" w:cs="宋体"/>
      <w:sz w:val="24"/>
    </w:rPr>
  </w:style>
  <w:style w:type="paragraph" w:styleId="23">
    <w:name w:val="Body Text First Indent"/>
    <w:basedOn w:val="12"/>
    <w:qFormat/>
    <w:uiPriority w:val="0"/>
    <w:pPr>
      <w:ind w:firstLine="420" w:firstLineChars="100"/>
    </w:pPr>
    <w:rPr>
      <w:sz w:val="18"/>
    </w:rPr>
  </w:style>
  <w:style w:type="paragraph" w:styleId="24">
    <w:name w:val="Body Text First Indent 2"/>
    <w:basedOn w:val="13"/>
    <w:qFormat/>
    <w:uiPriority w:val="0"/>
    <w:pPr>
      <w:ind w:firstLine="42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page number"/>
    <w:basedOn w:val="27"/>
    <w:qFormat/>
    <w:uiPriority w:val="0"/>
  </w:style>
  <w:style w:type="character" w:styleId="29">
    <w:name w:val="FollowedHyperlink"/>
    <w:basedOn w:val="27"/>
    <w:qFormat/>
    <w:uiPriority w:val="0"/>
    <w:rPr>
      <w:color w:val="000000"/>
      <w:u w:val="none"/>
    </w:rPr>
  </w:style>
  <w:style w:type="character" w:styleId="30">
    <w:name w:val="Emphasis"/>
    <w:basedOn w:val="27"/>
    <w:qFormat/>
    <w:uiPriority w:val="0"/>
  </w:style>
  <w:style w:type="character" w:styleId="31">
    <w:name w:val="Hyperlink"/>
    <w:basedOn w:val="27"/>
    <w:qFormat/>
    <w:uiPriority w:val="0"/>
    <w:rPr>
      <w:color w:val="000000"/>
      <w:u w:val="none"/>
    </w:rPr>
  </w:style>
  <w:style w:type="character" w:styleId="32">
    <w:name w:val="annotation reference"/>
    <w:semiHidden/>
    <w:qFormat/>
    <w:uiPriority w:val="0"/>
    <w:rPr>
      <w:sz w:val="21"/>
      <w:szCs w:val="21"/>
    </w:rPr>
  </w:style>
  <w:style w:type="paragraph" w:customStyle="1" w:styleId="33">
    <w:name w:val="样式 首行缩进:  2 字符1"/>
    <w:basedOn w:val="1"/>
    <w:qFormat/>
    <w:uiPriority w:val="0"/>
    <w:pPr>
      <w:spacing w:line="360" w:lineRule="auto"/>
      <w:ind w:firstLine="480" w:firstLineChars="200"/>
    </w:pPr>
    <w:rPr>
      <w:rFonts w:cs="宋体"/>
      <w:szCs w:val="20"/>
    </w:rPr>
  </w:style>
  <w:style w:type="paragraph" w:customStyle="1" w:styleId="34">
    <w:name w:val="正文(首行缩进)"/>
    <w:basedOn w:val="1"/>
    <w:qFormat/>
    <w:uiPriority w:val="0"/>
    <w:pPr>
      <w:widowControl w:val="0"/>
      <w:adjustRightInd w:val="0"/>
      <w:snapToGrid w:val="0"/>
      <w:spacing w:line="360" w:lineRule="auto"/>
      <w:ind w:firstLine="200" w:firstLineChars="200"/>
      <w:jc w:val="both"/>
    </w:pPr>
    <w:rPr>
      <w:snapToGrid w:val="0"/>
      <w:szCs w:val="24"/>
    </w:rPr>
  </w:style>
  <w:style w:type="paragraph" w:customStyle="1" w:styleId="35">
    <w:name w:val="Char Char Char Char Char2 Char Char Char Char"/>
    <w:basedOn w:val="1"/>
    <w:qFormat/>
    <w:uiPriority w:val="0"/>
    <w:pPr>
      <w:spacing w:line="360" w:lineRule="auto"/>
      <w:ind w:firstLine="200" w:firstLineChars="200"/>
    </w:pPr>
  </w:style>
  <w:style w:type="paragraph" w:customStyle="1" w:styleId="36">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37">
    <w:name w:val="列出段落1"/>
    <w:basedOn w:val="1"/>
    <w:qFormat/>
    <w:uiPriority w:val="0"/>
    <w:pPr>
      <w:widowControl w:val="0"/>
      <w:adjustRightInd/>
      <w:snapToGrid/>
      <w:ind w:firstLine="420" w:firstLineChars="200"/>
      <w:jc w:val="both"/>
    </w:pPr>
    <w:rPr>
      <w:rFonts w:ascii="Times New Roman" w:hAnsi="Times New Roman" w:eastAsia="宋体"/>
      <w:kern w:val="2"/>
      <w:sz w:val="21"/>
      <w:szCs w:val="20"/>
    </w:rPr>
  </w:style>
  <w:style w:type="paragraph" w:customStyle="1" w:styleId="38">
    <w:name w:val="谢—正文"/>
    <w:basedOn w:val="1"/>
    <w:qFormat/>
    <w:uiPriority w:val="0"/>
    <w:pPr>
      <w:spacing w:line="500" w:lineRule="exact"/>
      <w:ind w:firstLine="200" w:firstLineChars="200"/>
    </w:pPr>
    <w:rPr>
      <w:rFonts w:eastAsia="楷体_GB2312"/>
      <w:sz w:val="28"/>
    </w:rPr>
  </w:style>
  <w:style w:type="paragraph" w:customStyle="1" w:styleId="39">
    <w:name w:val="p0"/>
    <w:basedOn w:val="1"/>
    <w:qFormat/>
    <w:uiPriority w:val="0"/>
    <w:pPr>
      <w:spacing w:line="365" w:lineRule="atLeast"/>
      <w:ind w:left="1"/>
      <w:textAlignment w:val="bottom"/>
    </w:pPr>
    <w:rPr>
      <w:sz w:val="20"/>
      <w:szCs w:val="20"/>
    </w:rPr>
  </w:style>
  <w:style w:type="paragraph" w:customStyle="1" w:styleId="40">
    <w:name w:val="表格1"/>
    <w:basedOn w:val="15"/>
    <w:next w:val="1"/>
    <w:qFormat/>
    <w:uiPriority w:val="0"/>
  </w:style>
  <w:style w:type="paragraph" w:customStyle="1" w:styleId="41">
    <w:name w:val="0正文"/>
    <w:basedOn w:val="1"/>
    <w:semiHidden/>
    <w:qFormat/>
    <w:uiPriority w:val="99"/>
    <w:pPr>
      <w:spacing w:line="360" w:lineRule="auto"/>
      <w:ind w:firstLine="720" w:firstLineChars="200"/>
    </w:pPr>
    <w:rPr>
      <w:sz w:val="24"/>
      <w:szCs w:val="24"/>
    </w:rPr>
  </w:style>
  <w:style w:type="paragraph" w:customStyle="1" w:styleId="42">
    <w:name w:val="表内容123"/>
    <w:basedOn w:val="1"/>
    <w:qFormat/>
    <w:uiPriority w:val="0"/>
    <w:pPr>
      <w:pBdr>
        <w:top w:val="none" w:color="auto" w:sz="0" w:space="1"/>
        <w:left w:val="none" w:color="auto" w:sz="0" w:space="4"/>
        <w:bottom w:val="none" w:color="auto" w:sz="0" w:space="1"/>
        <w:right w:val="none" w:color="auto" w:sz="0" w:space="4"/>
      </w:pBdr>
      <w:spacing w:line="340" w:lineRule="exact"/>
      <w:jc w:val="center"/>
    </w:pPr>
    <w:rPr>
      <w:rFonts w:ascii="Times New Roman" w:hAnsi="Times New Roman"/>
      <w:sz w:val="21"/>
    </w:rPr>
  </w:style>
  <w:style w:type="paragraph" w:customStyle="1" w:styleId="43">
    <w:name w:val="样式4"/>
    <w:basedOn w:val="12"/>
    <w:qFormat/>
    <w:uiPriority w:val="0"/>
    <w:pPr>
      <w:widowControl w:val="0"/>
      <w:spacing w:line="360" w:lineRule="auto"/>
      <w:ind w:right="-120" w:rightChars="-50" w:firstLine="600" w:firstLineChars="250"/>
      <w:jc w:val="both"/>
    </w:pPr>
    <w:rPr>
      <w:rFonts w:hAnsi="宋体" w:eastAsia="宋体"/>
      <w:snapToGrid w:val="0"/>
      <w:spacing w:val="0"/>
      <w:kern w:val="2"/>
      <w:szCs w:val="24"/>
    </w:rPr>
  </w:style>
  <w:style w:type="paragraph" w:customStyle="1" w:styleId="44">
    <w:name w:val="样式1"/>
    <w:basedOn w:val="8"/>
    <w:qFormat/>
    <w:uiPriority w:val="0"/>
    <w:pPr>
      <w:jc w:val="center"/>
    </w:pPr>
    <w:rPr>
      <w:sz w:val="21"/>
      <w:szCs w:val="21"/>
    </w:rPr>
  </w:style>
  <w:style w:type="paragraph" w:customStyle="1" w:styleId="45">
    <w:name w:val="图图正文"/>
    <w:basedOn w:val="1"/>
    <w:qFormat/>
    <w:uiPriority w:val="0"/>
    <w:pPr>
      <w:widowControl w:val="0"/>
      <w:spacing w:line="360" w:lineRule="auto"/>
      <w:ind w:firstLine="200" w:firstLineChars="200"/>
      <w:jc w:val="both"/>
    </w:pPr>
    <w:rPr>
      <w:kern w:val="2"/>
      <w:sz w:val="24"/>
      <w:szCs w:val="24"/>
    </w:rPr>
  </w:style>
  <w:style w:type="paragraph" w:customStyle="1" w:styleId="46">
    <w:name w:val="啊啊正文"/>
    <w:basedOn w:val="1"/>
    <w:qFormat/>
    <w:uiPriority w:val="0"/>
    <w:pPr>
      <w:autoSpaceDE w:val="0"/>
      <w:autoSpaceDN w:val="0"/>
      <w:spacing w:line="360" w:lineRule="auto"/>
      <w:ind w:firstLine="200" w:firstLineChars="200"/>
    </w:pPr>
    <w:rPr>
      <w:rFonts w:cs="仿宋_GB2312"/>
      <w:sz w:val="24"/>
      <w:szCs w:val="28"/>
      <w:lang w:val="zh-CN"/>
    </w:rPr>
  </w:style>
  <w:style w:type="paragraph" w:customStyle="1" w:styleId="47">
    <w:name w:val="宗兴正文"/>
    <w:basedOn w:val="1"/>
    <w:qFormat/>
    <w:uiPriority w:val="0"/>
    <w:pPr>
      <w:ind w:firstLine="200"/>
      <w:jc w:val="both"/>
    </w:pPr>
    <w:rPr>
      <w:rFonts w:ascii="宋体" w:hAnsi="宋体"/>
      <w:spacing w:val="2"/>
      <w:sz w:val="21"/>
    </w:rPr>
  </w:style>
  <w:style w:type="paragraph" w:customStyle="1" w:styleId="48">
    <w:name w:val="正文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9">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
    <w:name w:val="标题3"/>
    <w:basedOn w:val="6"/>
    <w:next w:val="2"/>
    <w:qFormat/>
    <w:uiPriority w:val="0"/>
    <w:pPr>
      <w:ind w:left="0" w:leftChars="0"/>
      <w:jc w:val="both"/>
    </w:pPr>
    <w:rPr>
      <w:rFonts w:ascii="宋体" w:hAnsi="宋体"/>
      <w:b/>
      <w:bCs/>
      <w:szCs w:val="24"/>
    </w:rPr>
  </w:style>
  <w:style w:type="paragraph" w:customStyle="1" w:styleId="51">
    <w:name w:val="标题2"/>
    <w:basedOn w:val="6"/>
    <w:qFormat/>
    <w:uiPriority w:val="0"/>
    <w:pPr>
      <w:spacing w:beforeLines="50" w:afterLines="50"/>
      <w:ind w:left="0" w:leftChars="0"/>
      <w:jc w:val="both"/>
    </w:pPr>
    <w:rPr>
      <w:rFonts w:ascii="宋体" w:hAnsi="宋体"/>
      <w:b/>
      <w:sz w:val="28"/>
      <w:szCs w:val="28"/>
    </w:rPr>
  </w:style>
  <w:style w:type="paragraph" w:customStyle="1" w:styleId="52">
    <w:name w:val="啊啊表格内容"/>
    <w:basedOn w:val="1"/>
    <w:qFormat/>
    <w:uiPriority w:val="0"/>
    <w:pPr>
      <w:autoSpaceDE w:val="0"/>
      <w:autoSpaceDN w:val="0"/>
      <w:spacing w:line="340" w:lineRule="exact"/>
    </w:pPr>
    <w:rPr>
      <w:rFonts w:ascii="宋体" w:hAnsi="宋体" w:cs="仿宋_GB2312"/>
      <w:szCs w:val="28"/>
      <w:lang w:val="zh-CN"/>
    </w:rPr>
  </w:style>
  <w:style w:type="paragraph" w:customStyle="1" w:styleId="53">
    <w:name w:val="正文表格"/>
    <w:basedOn w:val="1"/>
    <w:qFormat/>
    <w:uiPriority w:val="0"/>
    <w:pPr>
      <w:jc w:val="center"/>
    </w:pPr>
    <w:rPr>
      <w:rFonts w:eastAsia="楷体_GB2312"/>
      <w:bCs/>
      <w:sz w:val="24"/>
      <w:szCs w:val="20"/>
    </w:rPr>
  </w:style>
  <w:style w:type="paragraph" w:customStyle="1" w:styleId="54">
    <w:name w:val="Table Paragraph"/>
    <w:basedOn w:val="1"/>
    <w:qFormat/>
    <w:uiPriority w:val="0"/>
    <w:rPr>
      <w:rFonts w:ascii="Calibri" w:hAnsi="Calibri"/>
      <w:lang w:eastAsia="en-US"/>
    </w:rPr>
  </w:style>
  <w:style w:type="paragraph" w:customStyle="1" w:styleId="55">
    <w:name w:val="样式2"/>
    <w:basedOn w:val="1"/>
    <w:qFormat/>
    <w:uiPriority w:val="0"/>
    <w:pPr>
      <w:ind w:firstLine="964" w:firstLineChars="400"/>
    </w:pPr>
    <w:rPr>
      <w:rFonts w:ascii="黑体" w:eastAsia="黑体"/>
      <w:b/>
      <w:bCs/>
      <w:sz w:val="24"/>
    </w:rPr>
  </w:style>
  <w:style w:type="paragraph" w:customStyle="1" w:styleId="56">
    <w:name w:val="表"/>
    <w:basedOn w:val="21"/>
    <w:next w:val="1"/>
    <w:qFormat/>
    <w:uiPriority w:val="0"/>
    <w:pPr>
      <w:keepNext/>
      <w:keepLines/>
      <w:spacing w:line="240" w:lineRule="exact"/>
      <w:ind w:left="0" w:firstLine="0" w:firstLineChars="0"/>
      <w:jc w:val="center"/>
    </w:pPr>
  </w:style>
  <w:style w:type="character" w:customStyle="1" w:styleId="57">
    <w:name w:val="font31"/>
    <w:qFormat/>
    <w:uiPriority w:val="0"/>
    <w:rPr>
      <w:rFonts w:hint="eastAsia" w:ascii="宋体" w:hAnsi="宋体" w:eastAsia="宋体" w:cs="宋体"/>
      <w:color w:val="000000"/>
      <w:sz w:val="22"/>
      <w:szCs w:val="22"/>
      <w:u w:val="none"/>
    </w:rPr>
  </w:style>
  <w:style w:type="paragraph" w:customStyle="1" w:styleId="58">
    <w:name w:val="123正文"/>
    <w:basedOn w:val="1"/>
    <w:link w:val="59"/>
    <w:qFormat/>
    <w:uiPriority w:val="0"/>
    <w:pPr>
      <w:spacing w:line="360" w:lineRule="auto"/>
      <w:ind w:firstLine="480" w:firstLineChars="200"/>
    </w:pPr>
    <w:rPr>
      <w:color w:val="0000FF"/>
      <w:sz w:val="24"/>
      <w:lang w:val="zh-CN"/>
    </w:rPr>
  </w:style>
  <w:style w:type="character" w:customStyle="1" w:styleId="59">
    <w:name w:val="123正文 Char"/>
    <w:link w:val="58"/>
    <w:qFormat/>
    <w:uiPriority w:val="0"/>
    <w:rPr>
      <w:color w:val="0000FF"/>
      <w:sz w:val="24"/>
      <w:lang w:val="zh-CN"/>
    </w:rPr>
  </w:style>
  <w:style w:type="paragraph" w:customStyle="1" w:styleId="60">
    <w:name w:val="1.1."/>
    <w:basedOn w:val="4"/>
    <w:qFormat/>
    <w:uiPriority w:val="0"/>
    <w:pPr>
      <w:spacing w:beforeLines="50" w:afterLines="50" w:line="360" w:lineRule="auto"/>
    </w:pPr>
    <w:rPr>
      <w:color w:val="0000FF"/>
      <w:sz w:val="28"/>
      <w:szCs w:val="28"/>
    </w:rPr>
  </w:style>
  <w:style w:type="paragraph" w:customStyle="1" w:styleId="61">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2">
    <w:name w:val="普通(网站)1"/>
    <w:basedOn w:val="1"/>
    <w:qFormat/>
    <w:uiPriority w:val="0"/>
    <w:pPr>
      <w:adjustRightInd/>
      <w:snapToGrid/>
      <w:spacing w:beforeAutospacing="1" w:afterAutospacing="1"/>
    </w:pPr>
    <w:rPr>
      <w:rFonts w:ascii="宋体" w:hAnsi="宋体" w:eastAsia="宋体" w:cs="宋体"/>
      <w:sz w:val="24"/>
      <w:szCs w:val="24"/>
    </w:rPr>
  </w:style>
  <w:style w:type="paragraph" w:customStyle="1" w:styleId="63">
    <w:name w:val="正文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64">
    <w:name w:val="一级aaa"/>
    <w:basedOn w:val="3"/>
    <w:qFormat/>
    <w:uiPriority w:val="0"/>
    <w:pPr>
      <w:keepNext w:val="0"/>
      <w:keepLines w:val="0"/>
      <w:widowControl w:val="0"/>
      <w:spacing w:beforeLines="100" w:afterLines="100" w:line="360" w:lineRule="auto"/>
    </w:pPr>
    <w:rPr>
      <w:kern w:val="0"/>
      <w:sz w:val="32"/>
      <w:szCs w:val="20"/>
    </w:rPr>
  </w:style>
  <w:style w:type="character" w:customStyle="1" w:styleId="65">
    <w:name w:val="批注框文本 Char"/>
    <w:basedOn w:val="27"/>
    <w:link w:val="17"/>
    <w:qFormat/>
    <w:uiPriority w:val="0"/>
    <w:rPr>
      <w:rFonts w:ascii="Tahoma" w:hAnsi="Tahoma" w:eastAsia="微软雅黑" w:cstheme="minorBidi"/>
      <w:sz w:val="18"/>
      <w:szCs w:val="18"/>
    </w:rPr>
  </w:style>
  <w:style w:type="character" w:customStyle="1" w:styleId="66">
    <w:name w:val="页脚 Char"/>
    <w:basedOn w:val="27"/>
    <w:link w:val="18"/>
    <w:qFormat/>
    <w:uiPriority w:val="99"/>
    <w:rPr>
      <w:rFonts w:ascii="Tahoma" w:hAnsi="Tahoma" w:eastAsia="微软雅黑" w:cstheme="minorBidi"/>
      <w:sz w:val="18"/>
      <w:szCs w:val="18"/>
    </w:rPr>
  </w:style>
  <w:style w:type="character" w:customStyle="1" w:styleId="67">
    <w:name w:val="文档结构图 Char"/>
    <w:basedOn w:val="27"/>
    <w:link w:val="10"/>
    <w:qFormat/>
    <w:uiPriority w:val="0"/>
    <w:rPr>
      <w:rFonts w:ascii="宋体" w:hAnsi="Tahoma" w:cstheme="minorBidi"/>
      <w:sz w:val="18"/>
      <w:szCs w:val="18"/>
    </w:rPr>
  </w:style>
  <w:style w:type="paragraph" w:customStyle="1" w:styleId="68">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 w:type="paragraph" w:customStyle="1" w:styleId="69">
    <w:name w:val="1.1.1"/>
    <w:basedOn w:val="70"/>
    <w:qFormat/>
    <w:uiPriority w:val="0"/>
    <w:pPr>
      <w:spacing w:before="120" w:beforeLines="50" w:after="120" w:afterLines="50"/>
      <w:ind w:firstLine="0" w:firstLineChars="0"/>
      <w:outlineLvl w:val="2"/>
    </w:pPr>
    <w:rPr>
      <w:rFonts w:eastAsia="宋体"/>
      <w:b/>
      <w:color w:val="0000FF"/>
      <w:sz w:val="24"/>
      <w:szCs w:val="24"/>
    </w:rPr>
  </w:style>
  <w:style w:type="paragraph" w:customStyle="1" w:styleId="70">
    <w:name w:val="样式3"/>
    <w:basedOn w:val="1"/>
    <w:qFormat/>
    <w:uiPriority w:val="0"/>
    <w:pPr>
      <w:spacing w:line="360" w:lineRule="auto"/>
      <w:ind w:firstLine="200" w:firstLineChars="200"/>
    </w:pPr>
    <w:rPr>
      <w:rFonts w:eastAsia="楷体_GB2312"/>
      <w:sz w:val="28"/>
      <w:szCs w:val="20"/>
    </w:rPr>
  </w:style>
  <w:style w:type="character" w:customStyle="1" w:styleId="71">
    <w:name w:val="font11"/>
    <w:qFormat/>
    <w:uiPriority w:val="0"/>
    <w:rPr>
      <w:rFonts w:hint="eastAsia" w:ascii="宋体" w:hAnsi="宋体" w:eastAsia="宋体"/>
      <w:color w:val="000000"/>
      <w:sz w:val="21"/>
      <w:szCs w:val="21"/>
      <w:u w:val="none"/>
    </w:rPr>
  </w:style>
  <w:style w:type="paragraph" w:customStyle="1" w:styleId="72">
    <w:name w:val="S正文S"/>
    <w:basedOn w:val="1"/>
    <w:qFormat/>
    <w:uiPriority w:val="0"/>
    <w:pPr>
      <w:snapToGrid w:val="0"/>
      <w:spacing w:line="360" w:lineRule="auto"/>
      <w:ind w:firstLine="200" w:firstLineChars="200"/>
    </w:pPr>
    <w:rPr>
      <w:rFonts w:eastAsia="宋体"/>
      <w:snapToGrid w:val="0"/>
      <w:sz w:val="24"/>
      <w:szCs w:val="24"/>
    </w:rPr>
  </w:style>
  <w:style w:type="paragraph" w:customStyle="1" w:styleId="73">
    <w:name w:val="啊啊二级标题"/>
    <w:basedOn w:val="1"/>
    <w:qFormat/>
    <w:uiPriority w:val="0"/>
    <w:pPr>
      <w:autoSpaceDE w:val="0"/>
      <w:autoSpaceDN w:val="0"/>
      <w:adjustRightInd w:val="0"/>
      <w:spacing w:before="120" w:after="120" w:line="360" w:lineRule="auto"/>
      <w:jc w:val="left"/>
      <w:outlineLvl w:val="1"/>
    </w:pPr>
    <w:rPr>
      <w:rFonts w:cs="仿宋_GB2312"/>
      <w:b/>
      <w:sz w:val="28"/>
      <w:szCs w:val="28"/>
      <w:lang w:val="zh-CN"/>
    </w:rPr>
  </w:style>
  <w:style w:type="paragraph" w:customStyle="1" w:styleId="74">
    <w:name w:val="yang正文"/>
    <w:basedOn w:val="1"/>
    <w:qFormat/>
    <w:uiPriority w:val="0"/>
    <w:pPr>
      <w:spacing w:line="360" w:lineRule="auto"/>
      <w:ind w:firstLine="480" w:firstLineChars="200"/>
    </w:pPr>
    <w:rPr>
      <w:sz w:val="24"/>
      <w:szCs w:val="24"/>
    </w:rPr>
  </w:style>
  <w:style w:type="paragraph" w:customStyle="1" w:styleId="75">
    <w:name w:val="xc正文"/>
    <w:basedOn w:val="1"/>
    <w:qFormat/>
    <w:uiPriority w:val="0"/>
    <w:pPr>
      <w:widowControl/>
      <w:autoSpaceDN w:val="0"/>
      <w:snapToGrid w:val="0"/>
      <w:spacing w:line="360" w:lineRule="auto"/>
      <w:ind w:firstLine="480" w:firstLineChars="200"/>
    </w:pPr>
    <w:rPr>
      <w:sz w:val="24"/>
    </w:rPr>
  </w:style>
  <w:style w:type="paragraph" w:customStyle="1" w:styleId="76">
    <w:name w:val="1.1"/>
    <w:basedOn w:val="4"/>
    <w:qFormat/>
    <w:uiPriority w:val="0"/>
    <w:pPr>
      <w:numPr>
        <w:ilvl w:val="1"/>
        <w:numId w:val="0"/>
      </w:numPr>
      <w:spacing w:before="156" w:beforeLines="50" w:after="156" w:afterLines="50" w:line="360" w:lineRule="auto"/>
    </w:pPr>
    <w:rPr>
      <w:rFonts w:ascii="Times New Roman" w:hAnsi="Times New Roman"/>
      <w:color w:val="0000FF"/>
      <w:sz w:val="28"/>
      <w:szCs w:val="28"/>
    </w:rPr>
  </w:style>
  <w:style w:type="paragraph" w:customStyle="1" w:styleId="77">
    <w:name w:val="表格"/>
    <w:basedOn w:val="78"/>
    <w:next w:val="1"/>
    <w:qFormat/>
    <w:uiPriority w:val="0"/>
    <w:pPr>
      <w:tabs>
        <w:tab w:val="left" w:pos="940"/>
      </w:tabs>
      <w:autoSpaceDE w:val="0"/>
      <w:autoSpaceDN w:val="0"/>
      <w:adjustRightInd w:val="0"/>
      <w:jc w:val="center"/>
    </w:pPr>
    <w:rPr>
      <w:rFonts w:eastAsia="楷体_GB2312"/>
      <w:kern w:val="0"/>
    </w:rPr>
  </w:style>
  <w:style w:type="paragraph" w:customStyle="1" w:styleId="78">
    <w:name w:val="表题"/>
    <w:basedOn w:val="1"/>
    <w:qFormat/>
    <w:uiPriority w:val="0"/>
    <w:pPr>
      <w:tabs>
        <w:tab w:val="left" w:pos="940"/>
      </w:tabs>
      <w:snapToGrid w:val="0"/>
      <w:jc w:val="center"/>
    </w:pPr>
    <w:rPr>
      <w:rFonts w:eastAsia="黑体"/>
      <w:sz w:val="24"/>
    </w:rPr>
  </w:style>
  <w:style w:type="paragraph" w:customStyle="1" w:styleId="79">
    <w:name w:val="表格正文"/>
    <w:basedOn w:val="1"/>
    <w:qFormat/>
    <w:uiPriority w:val="0"/>
    <w:pPr>
      <w:spacing w:line="360" w:lineRule="exact"/>
      <w:jc w:val="center"/>
    </w:pPr>
    <w:rPr>
      <w:rFonts w:ascii="Arial" w:hAnsi="Arial"/>
      <w:szCs w:val="24"/>
    </w:rPr>
  </w:style>
  <w:style w:type="paragraph" w:customStyle="1" w:styleId="80">
    <w:name w:val="List Paragraph1"/>
    <w:basedOn w:val="1"/>
    <w:qFormat/>
    <w:uiPriority w:val="99"/>
    <w:pPr>
      <w:ind w:firstLine="420" w:firstLineChars="200"/>
    </w:pPr>
  </w:style>
  <w:style w:type="character" w:customStyle="1" w:styleId="81">
    <w:name w:val="znspantitle"/>
    <w:basedOn w:val="27"/>
    <w:qFormat/>
    <w:uiPriority w:val="0"/>
    <w:rPr>
      <w:b/>
      <w:bCs/>
      <w:color w:val="333333"/>
    </w:rPr>
  </w:style>
  <w:style w:type="character" w:customStyle="1" w:styleId="82">
    <w:name w:val="cur"/>
    <w:basedOn w:val="27"/>
    <w:qFormat/>
    <w:uiPriority w:val="0"/>
    <w:rPr>
      <w:color w:val="FFFFFF"/>
      <w:shd w:val="clear" w:fill="2F6B98"/>
    </w:rPr>
  </w:style>
  <w:style w:type="character" w:customStyle="1" w:styleId="83">
    <w:name w:val="radio-btn"/>
    <w:basedOn w:val="27"/>
    <w:qFormat/>
    <w:uiPriority w:val="0"/>
    <w:rPr>
      <w:sz w:val="21"/>
      <w:szCs w:val="21"/>
    </w:rPr>
  </w:style>
  <w:style w:type="character" w:customStyle="1" w:styleId="84">
    <w:name w:val="radio-btn1"/>
    <w:basedOn w:val="27"/>
    <w:qFormat/>
    <w:uiPriority w:val="0"/>
    <w:rPr>
      <w:sz w:val="24"/>
      <w:szCs w:val="24"/>
    </w:rPr>
  </w:style>
  <w:style w:type="character" w:customStyle="1" w:styleId="85">
    <w:name w:val="radio-btn2"/>
    <w:basedOn w:val="27"/>
    <w:qFormat/>
    <w:uiPriority w:val="0"/>
    <w:rPr>
      <w:sz w:val="24"/>
      <w:szCs w:val="24"/>
    </w:rPr>
  </w:style>
  <w:style w:type="character" w:customStyle="1" w:styleId="86">
    <w:name w:val="lishishuju"/>
    <w:basedOn w:val="27"/>
    <w:qFormat/>
    <w:uiPriority w:val="0"/>
    <w:rPr>
      <w:b/>
      <w:bCs/>
      <w:color w:val="000052"/>
      <w:sz w:val="24"/>
      <w:szCs w:val="24"/>
      <w:bdr w:val="single" w:color="E3E3E3" w:sz="6" w:space="0"/>
    </w:rPr>
  </w:style>
  <w:style w:type="character" w:customStyle="1" w:styleId="87">
    <w:name w:val="lable"/>
    <w:basedOn w:val="27"/>
    <w:qFormat/>
    <w:uiPriority w:val="0"/>
    <w:rPr>
      <w:sz w:val="24"/>
      <w:szCs w:val="24"/>
    </w:rPr>
  </w:style>
  <w:style w:type="paragraph" w:styleId="88">
    <w:name w:val="List Paragraph"/>
    <w:basedOn w:val="1"/>
    <w:unhideWhenUsed/>
    <w:qFormat/>
    <w:uiPriority w:val="99"/>
    <w:pPr>
      <w:ind w:firstLine="420" w:firstLineChars="200"/>
    </w:pPr>
  </w:style>
  <w:style w:type="paragraph" w:customStyle="1" w:styleId="89">
    <w:name w:val="正文模版（戴）"/>
    <w:basedOn w:val="1"/>
    <w:qFormat/>
    <w:uiPriority w:val="0"/>
    <w:pPr>
      <w:adjustRightInd w:val="0"/>
      <w:snapToGrid w:val="0"/>
      <w:spacing w:line="360" w:lineRule="auto"/>
      <w:ind w:firstLine="464" w:firstLineChars="200"/>
    </w:pPr>
    <w:rPr>
      <w:rFonts w:ascii="宋体" w:hAnsi="宋体" w:cs="宋体"/>
      <w:snapToGrid w:val="0"/>
      <w:color w:val="000000"/>
      <w:spacing w:val="-4"/>
      <w:kern w:val="0"/>
      <w:sz w:val="24"/>
    </w:rPr>
  </w:style>
  <w:style w:type="character" w:customStyle="1" w:styleId="90">
    <w:name w:val="ca-1"/>
    <w:basedOn w:val="27"/>
    <w:qFormat/>
    <w:uiPriority w:val="0"/>
  </w:style>
  <w:style w:type="paragraph" w:customStyle="1" w:styleId="91">
    <w:name w:val="啊啊啊啊正文"/>
    <w:basedOn w:val="1"/>
    <w:qFormat/>
    <w:uiPriority w:val="0"/>
    <w:pPr>
      <w:spacing w:line="360" w:lineRule="auto"/>
      <w:ind w:firstLine="200" w:firstLineChars="200"/>
    </w:pPr>
    <w:rPr>
      <w:rFonts w:ascii="宋体" w:hAnsi="宋体"/>
      <w:sz w:val="24"/>
    </w:rPr>
  </w:style>
  <w:style w:type="paragraph" w:customStyle="1" w:styleId="92">
    <w:name w:val="表正文"/>
    <w:basedOn w:val="1"/>
    <w:qFormat/>
    <w:uiPriority w:val="0"/>
    <w:pPr>
      <w:spacing w:line="360" w:lineRule="auto"/>
      <w:ind w:firstLine="20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er" Target="foot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pn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2808</Words>
  <Characters>16012</Characters>
  <Lines>133</Lines>
  <Paragraphs>37</Paragraphs>
  <TotalTime>0</TotalTime>
  <ScaleCrop>false</ScaleCrop>
  <LinksUpToDate>false</LinksUpToDate>
  <CharactersWithSpaces>18783</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2018-06-07T06:22:00Z</dcterms:created>
  <dc:creator>sM</dc:creator>
  <cp:lastModifiedBy>WPS_1550155665</cp:lastModifiedBy>
  <cp:lastPrinted>2021-01-08T07:31:00Z</cp:lastPrinted>
  <dcterms:modified xsi:type="dcterms:W3CDTF">2021-11-09T01:28:49Z</dcterms:modified>
  <dc:title>年扩建5000万个纸质品项目竣工环境保护验收监测报告表</dc:title>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6D3470D264434D8897E4B22D5CA33F16</vt:lpwstr>
  </property>
</Properties>
</file>