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88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33" w:hRule="atLeast"/>
          <w:jc w:val="center"/>
        </w:trPr>
        <w:tc>
          <w:tcPr>
            <w:tcW w:w="8897" w:type="dxa"/>
            <w:tcBorders>
              <w:tl2br w:val="nil"/>
              <w:tr2bl w:val="nil"/>
            </w:tcBorders>
            <w:noWrap w:val="0"/>
            <w:vAlign w:val="center"/>
          </w:tcPr>
          <w:p>
            <w:pPr>
              <w:widowControl w:val="0"/>
              <w:spacing w:line="360" w:lineRule="auto"/>
              <w:jc w:val="center"/>
              <w:outlineLvl w:val="0"/>
              <w:rPr>
                <w:rFonts w:hint="eastAsia" w:ascii="仿宋" w:hAnsi="仿宋" w:eastAsia="仿宋" w:cs="仿宋"/>
                <w:b/>
                <w:color w:val="auto"/>
                <w:sz w:val="48"/>
                <w:szCs w:val="48"/>
                <w:lang w:val="en-US" w:eastAsia="zh-CN"/>
              </w:rPr>
            </w:pPr>
            <w:r>
              <w:rPr>
                <w:rFonts w:hint="eastAsia" w:ascii="仿宋" w:hAnsi="仿宋" w:eastAsia="仿宋" w:cs="仿宋"/>
                <w:b/>
                <w:color w:val="auto"/>
                <w:sz w:val="48"/>
                <w:szCs w:val="48"/>
                <w:lang w:val="en-US" w:eastAsia="zh-CN"/>
              </w:rPr>
              <w:t>木制家具加工生产项目竣工环境保护验收意见</w:t>
            </w:r>
          </w:p>
          <w:p>
            <w:pPr>
              <w:pStyle w:val="11"/>
              <w:widowControl w:val="0"/>
              <w:jc w:val="center"/>
              <w:rPr>
                <w:rFonts w:hint="eastAsia" w:ascii="仿宋" w:hAnsi="仿宋" w:eastAsia="仿宋"/>
                <w:b/>
                <w:bCs/>
                <w:color w:val="auto"/>
                <w:sz w:val="36"/>
                <w:szCs w:val="36"/>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8897" w:type="dxa"/>
            <w:tcBorders>
              <w:tl2br w:val="nil"/>
              <w:tr2bl w:val="nil"/>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b/>
                <w:bCs/>
                <w:color w:val="auto"/>
                <w:sz w:val="36"/>
                <w:szCs w:val="36"/>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8897" w:type="dxa"/>
            <w:tcBorders>
              <w:tl2br w:val="nil"/>
              <w:tr2bl w:val="nil"/>
            </w:tcBorders>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Times New Roman"/>
                <w:b/>
                <w:bCs/>
                <w:color w:val="auto"/>
                <w:sz w:val="36"/>
                <w:szCs w:val="36"/>
                <w:vertAlign w:val="baseline"/>
                <w:lang w:val="en-US" w:eastAsia="zh-CN"/>
              </w:rPr>
            </w:pPr>
            <w:r>
              <w:rPr>
                <w:rFonts w:hint="eastAsia" w:ascii="仿宋" w:hAnsi="仿宋" w:eastAsia="仿宋" w:cs="Times New Roman"/>
                <w:b/>
                <w:bCs/>
                <w:color w:val="auto"/>
                <w:sz w:val="36"/>
                <w:szCs w:val="36"/>
                <w:vertAlign w:val="baseline"/>
                <w:lang w:val="en-US" w:eastAsia="zh-CN"/>
              </w:rPr>
              <w:t>漳州明兴木业有限公司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8897" w:type="dxa"/>
            <w:tcBorders>
              <w:tl2br w:val="nil"/>
              <w:tr2bl w:val="nil"/>
            </w:tcBorders>
            <w:noWrap w:val="0"/>
            <w:vAlign w:val="top"/>
          </w:tcPr>
          <w:p>
            <w:pPr>
              <w:pStyle w:val="1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Times New Roman"/>
                <w:b/>
                <w:bCs/>
                <w:color w:val="auto"/>
                <w:sz w:val="36"/>
                <w:szCs w:val="36"/>
                <w:vertAlign w:val="baseline"/>
                <w:lang w:val="en-US" w:eastAsia="zh-CN"/>
              </w:rPr>
            </w:pPr>
            <w:r>
              <w:rPr>
                <w:rFonts w:hint="eastAsia" w:ascii="仿宋" w:hAnsi="仿宋" w:eastAsia="仿宋" w:cs="Times New Roman"/>
                <w:b/>
                <w:bCs/>
                <w:color w:val="auto"/>
                <w:sz w:val="36"/>
                <w:szCs w:val="36"/>
                <w:vertAlign w:val="baseline"/>
                <w:lang w:val="en-US" w:eastAsia="zh-CN"/>
              </w:rPr>
              <w:t>2021年5月19日</w:t>
            </w:r>
          </w:p>
        </w:tc>
      </w:tr>
    </w:tbl>
    <w:p>
      <w:pPr>
        <w:spacing w:after="0" w:line="360" w:lineRule="auto"/>
        <w:jc w:val="center"/>
        <w:rPr>
          <w:rFonts w:hint="eastAsia" w:ascii="Times New Roman" w:hAnsi="Times New Roman" w:eastAsia="仿宋" w:cs="Times New Roman"/>
          <w:b/>
          <w:bCs/>
          <w:color w:val="000000" w:themeColor="text1"/>
          <w:sz w:val="36"/>
          <w:szCs w:val="36"/>
          <w:lang w:eastAsia="zh-CN"/>
          <w14:textFill>
            <w14:solidFill>
              <w14:schemeClr w14:val="tx1"/>
            </w14:solidFill>
          </w14:textFill>
        </w:rPr>
      </w:pPr>
    </w:p>
    <w:p>
      <w:pPr>
        <w:keepNext w:val="0"/>
        <w:keepLines w:val="0"/>
        <w:pageBreakBefore w:val="0"/>
        <w:kinsoku/>
        <w:wordWrap/>
        <w:overflowPunct/>
        <w:topLinePunct w:val="0"/>
        <w:bidi w:val="0"/>
        <w:spacing w:line="360" w:lineRule="auto"/>
        <w:ind w:left="0" w:right="0" w:firstLine="723" w:firstLineChars="200"/>
        <w:jc w:val="center"/>
        <w:textAlignment w:val="auto"/>
        <w:rPr>
          <w:rFonts w:hint="eastAsia" w:ascii="Times New Roman" w:hAnsi="Times New Roman" w:eastAsia="仿宋" w:cs="Times New Roman"/>
          <w:b/>
          <w:bCs/>
          <w:color w:val="000000" w:themeColor="text1"/>
          <w:sz w:val="36"/>
          <w:szCs w:val="36"/>
          <w:lang w:eastAsia="zh-CN"/>
          <w14:textFill>
            <w14:solidFill>
              <w14:schemeClr w14:val="tx1"/>
            </w14:solidFill>
          </w14:textFill>
        </w:rPr>
      </w:pPr>
      <w:r>
        <w:rPr>
          <w:rFonts w:hint="eastAsia" w:ascii="Times New Roman" w:hAnsi="Times New Roman" w:eastAsia="仿宋" w:cs="Times New Roman"/>
          <w:b/>
          <w:bCs/>
          <w:color w:val="000000" w:themeColor="text1"/>
          <w:sz w:val="36"/>
          <w:szCs w:val="36"/>
          <w:lang w:eastAsia="zh-CN"/>
          <w14:textFill>
            <w14:solidFill>
              <w14:schemeClr w14:val="tx1"/>
            </w14:solidFill>
          </w14:textFill>
        </w:rPr>
        <w:t>漳州明兴木业有限公司木制家具加工生产项目</w:t>
      </w:r>
    </w:p>
    <w:p>
      <w:pPr>
        <w:keepNext w:val="0"/>
        <w:keepLines w:val="0"/>
        <w:pageBreakBefore w:val="0"/>
        <w:kinsoku/>
        <w:wordWrap/>
        <w:overflowPunct/>
        <w:topLinePunct w:val="0"/>
        <w:bidi w:val="0"/>
        <w:spacing w:line="360" w:lineRule="auto"/>
        <w:ind w:left="0" w:right="0" w:firstLine="723" w:firstLineChars="200"/>
        <w:jc w:val="center"/>
        <w:textAlignment w:val="auto"/>
        <w:rPr>
          <w:rFonts w:ascii="Times New Roman" w:hAnsi="Times New Roman" w:eastAsia="仿宋"/>
          <w:b/>
          <w:bCs/>
          <w:color w:val="000000" w:themeColor="text1"/>
          <w:sz w:val="36"/>
          <w:szCs w:val="36"/>
          <w14:textFill>
            <w14:solidFill>
              <w14:schemeClr w14:val="tx1"/>
            </w14:solidFill>
          </w14:textFill>
        </w:rPr>
      </w:pPr>
      <w:r>
        <w:rPr>
          <w:rFonts w:hint="eastAsia" w:ascii="Times New Roman" w:hAnsi="Times New Roman" w:eastAsia="仿宋" w:cs="Times New Roman"/>
          <w:b/>
          <w:bCs/>
          <w:color w:val="000000" w:themeColor="text1"/>
          <w:sz w:val="36"/>
          <w:szCs w:val="36"/>
          <w:lang w:eastAsia="zh-CN"/>
          <w14:textFill>
            <w14:solidFill>
              <w14:schemeClr w14:val="tx1"/>
            </w14:solidFill>
          </w14:textFill>
        </w:rPr>
        <w:t>竣工环境保护验收意</w:t>
      </w:r>
      <w:r>
        <w:rPr>
          <w:rFonts w:hint="eastAsia" w:ascii="Times New Roman" w:hAnsi="Times New Roman" w:eastAsia="仿宋"/>
          <w:b/>
          <w:bCs/>
          <w:color w:val="000000" w:themeColor="text1"/>
          <w:sz w:val="36"/>
          <w:szCs w:val="36"/>
          <w:lang w:eastAsia="zh-CN"/>
          <w14:textFill>
            <w14:solidFill>
              <w14:schemeClr w14:val="tx1"/>
            </w14:solidFill>
          </w14:textFill>
        </w:rPr>
        <w:t>见</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20</w:t>
      </w:r>
      <w:r>
        <w:rPr>
          <w:rFonts w:hint="eastAsia" w:ascii="Times New Roman" w:hAnsi="Times New Roman" w:eastAsia="仿宋" w:cs="Times New Roman"/>
          <w:color w:val="000000" w:themeColor="text1"/>
          <w:sz w:val="28"/>
          <w:szCs w:val="28"/>
          <w14:textFill>
            <w14:solidFill>
              <w14:schemeClr w14:val="tx1"/>
            </w14:solidFill>
          </w14:textFill>
        </w:rPr>
        <w:t>2</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1</w:t>
      </w:r>
      <w:r>
        <w:rPr>
          <w:rFonts w:ascii="Times New Roman" w:hAnsi="Times New Roman" w:eastAsia="仿宋" w:cs="Times New Roman"/>
          <w:color w:val="000000" w:themeColor="text1"/>
          <w:sz w:val="28"/>
          <w:szCs w:val="28"/>
          <w14:textFill>
            <w14:solidFill>
              <w14:schemeClr w14:val="tx1"/>
            </w14:solidFill>
          </w14:textFill>
        </w:rPr>
        <w:t>年</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5月19日，漳州明兴木业有限公司根据《木制家具加工生产项目竣工</w:t>
      </w:r>
      <w:r>
        <w:rPr>
          <w:rFonts w:ascii="Times New Roman" w:hAnsi="Times New Roman" w:eastAsia="仿宋" w:cs="Times New Roman"/>
          <w:color w:val="000000" w:themeColor="text1"/>
          <w:sz w:val="28"/>
          <w:szCs w:val="28"/>
          <w14:textFill>
            <w14:solidFill>
              <w14:schemeClr w14:val="tx1"/>
            </w14:solidFill>
          </w14:textFill>
        </w:rPr>
        <w:t>环</w:t>
      </w:r>
      <w:r>
        <w:rPr>
          <w:rFonts w:ascii="Times New Roman" w:hAnsi="Times New Roman" w:eastAsia="仿宋"/>
          <w:color w:val="000000" w:themeColor="text1"/>
          <w:sz w:val="28"/>
          <w:szCs w:val="28"/>
          <w14:textFill>
            <w14:solidFill>
              <w14:schemeClr w14:val="tx1"/>
            </w14:solidFill>
          </w14:textFill>
        </w:rPr>
        <w:t>境保护验收监测报告》并对照《建设项目竣工环境保护验收暂行办法》，严格依照国家有关法律法规、建设项目竣工环境保护验收技术指南、本项目环境影响评价报告表和审批部门审批决定等要求对本项目进行验收，提出意见如下：</w:t>
      </w:r>
    </w:p>
    <w:p>
      <w:pPr>
        <w:pStyle w:val="12"/>
        <w:keepNext w:val="0"/>
        <w:keepLines w:val="0"/>
        <w:pageBreakBefore w:val="0"/>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一、工程建设基本情况</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ascii="Times New Roman" w:hAnsi="Times New Roman" w:eastAsia="仿宋"/>
          <w:bCs/>
          <w:color w:val="000000" w:themeColor="text1"/>
          <w:sz w:val="28"/>
          <w:szCs w:val="28"/>
          <w14:textFill>
            <w14:solidFill>
              <w14:schemeClr w14:val="tx1"/>
            </w14:solidFill>
          </w14:textFill>
        </w:rPr>
      </w:pPr>
      <w:r>
        <w:rPr>
          <w:rFonts w:ascii="Times New Roman" w:hAnsi="Times New Roman" w:eastAsia="仿宋"/>
          <w:bCs/>
          <w:color w:val="000000" w:themeColor="text1"/>
          <w:sz w:val="28"/>
          <w:szCs w:val="28"/>
          <w14:textFill>
            <w14:solidFill>
              <w14:schemeClr w14:val="tx1"/>
            </w14:solidFill>
          </w14:textFill>
        </w:rPr>
        <w:t>(一)建设地点、规模、主要建设内容</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hint="eastAsia" w:ascii="Times New Roman" w:hAnsi="Times New Roman" w:eastAsia="仿宋" w:cs="Times New Roman"/>
          <w:color w:val="000000" w:themeColor="text1"/>
          <w:sz w:val="28"/>
          <w:szCs w:val="28"/>
          <w:lang w:val="en-US" w:eastAsia="zh-CN"/>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14:textFill>
            <w14:solidFill>
              <w14:schemeClr w14:val="tx1"/>
            </w14:solidFill>
          </w14:textFill>
        </w:rPr>
        <w:t>漳州明兴木业有限公司投资30万元</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在</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漳州市芗城区天宝镇墨溪村</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建设</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木制家具加工生产项目，</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生产规模为</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年产餐桌1000张、餐椅6000张、咖啡桌700张、茶几1400张、橱柜300套。项目由主体工程、环保工程等组成，具体建设内容见项目竣工环境保护验收监测报告表。</w:t>
      </w:r>
    </w:p>
    <w:p>
      <w:pPr>
        <w:keepNext w:val="0"/>
        <w:keepLines w:val="0"/>
        <w:pageBreakBefore w:val="0"/>
        <w:numPr>
          <w:ilvl w:val="0"/>
          <w:numId w:val="1"/>
        </w:numPr>
        <w:kinsoku/>
        <w:wordWrap/>
        <w:overflowPunct/>
        <w:topLinePunct w:val="0"/>
        <w:bidi w:val="0"/>
        <w:spacing w:line="360" w:lineRule="auto"/>
        <w:ind w:left="0" w:right="0" w:firstLine="560" w:firstLineChars="200"/>
        <w:textAlignment w:val="auto"/>
        <w:rPr>
          <w:rFonts w:ascii="Times New Roman" w:hAnsi="Times New Roman" w:eastAsia="仿宋"/>
          <w:bCs/>
          <w:color w:val="000000" w:themeColor="text1"/>
          <w:sz w:val="28"/>
          <w:szCs w:val="28"/>
          <w14:textFill>
            <w14:solidFill>
              <w14:schemeClr w14:val="tx1"/>
            </w14:solidFill>
          </w14:textFill>
        </w:rPr>
      </w:pPr>
      <w:r>
        <w:rPr>
          <w:rFonts w:ascii="Times New Roman" w:hAnsi="Times New Roman" w:eastAsia="仿宋"/>
          <w:bCs/>
          <w:color w:val="000000" w:themeColor="text1"/>
          <w:sz w:val="28"/>
          <w:szCs w:val="28"/>
          <w14:textFill>
            <w14:solidFill>
              <w14:schemeClr w14:val="tx1"/>
            </w14:solidFill>
          </w14:textFill>
        </w:rPr>
        <w:t>建设过程及环保审批情况</w:t>
      </w:r>
    </w:p>
    <w:p>
      <w:pPr>
        <w:keepNext w:val="0"/>
        <w:keepLines w:val="0"/>
        <w:pageBreakBefore w:val="0"/>
        <w:widowControl/>
        <w:kinsoku/>
        <w:wordWrap/>
        <w:overflowPunct/>
        <w:topLinePunct w:val="0"/>
        <w:autoSpaceDE/>
        <w:autoSpaceDN/>
        <w:bidi w:val="0"/>
        <w:adjustRightInd/>
        <w:snapToGrid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14:textFill>
            <w14:solidFill>
              <w14:schemeClr w14:val="tx1"/>
            </w14:solidFill>
          </w14:textFill>
        </w:rPr>
        <w:t>漳州明兴木业有限公司于2019年6月</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委</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江苏苏辰勘察设计院有限公司</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编制《</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木制家具加工生产项目</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环境影响报告表》</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并于</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2019年11月25日</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通过</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漳州市芗城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生态环境局审批，批复编号为：</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漳芗环审（2019）218号</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left="0" w:right="0" w:firstLine="560" w:firstLineChars="200"/>
        <w:jc w:val="both"/>
        <w:textAlignment w:val="auto"/>
        <w:rPr>
          <w:rFonts w:hint="eastAsia" w:ascii="Times New Roman" w:hAnsi="Times New Roman" w:eastAsia="仿宋" w:cs="Times New Roman"/>
          <w:color w:val="000000" w:themeColor="text1"/>
          <w:sz w:val="28"/>
          <w:szCs w:val="28"/>
          <w:lang w:val="en-US" w:eastAsia="zh-CN"/>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14:textFill>
            <w14:solidFill>
              <w14:schemeClr w14:val="tx1"/>
            </w14:solidFill>
          </w14:textFill>
        </w:rPr>
        <w:t>明兴木业公司于</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201</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7年11月开始搬迁相关设备至目前的场所进行建设，属于“未批先建”，</w:t>
      </w:r>
      <w:r>
        <w:rPr>
          <w:rFonts w:hint="default" w:ascii="Times New Roman" w:hAnsi="Times New Roman" w:eastAsia="仿宋" w:cs="Times New Roman"/>
          <w:color w:val="000000" w:themeColor="text1"/>
          <w:sz w:val="28"/>
          <w:szCs w:val="28"/>
          <w:lang w:val="en-US" w:eastAsia="zh-CN"/>
          <w14:textFill>
            <w14:solidFill>
              <w14:schemeClr w14:val="tx1"/>
            </w14:solidFill>
          </w14:textFill>
        </w:rPr>
        <w:t>201</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8年6月收到了漳州市芗城区环保局行政处罚决定书，并于2018年完成了罚款缴纳。</w:t>
      </w:r>
    </w:p>
    <w:p>
      <w:pPr>
        <w:keepNext w:val="0"/>
        <w:keepLines w:val="0"/>
        <w:pageBreakBefore w:val="0"/>
        <w:kinsoku/>
        <w:wordWrap/>
        <w:overflowPunct/>
        <w:topLinePunct w:val="0"/>
        <w:bidi w:val="0"/>
        <w:spacing w:line="360" w:lineRule="auto"/>
        <w:ind w:left="0" w:right="0" w:firstLine="560" w:firstLineChars="200"/>
        <w:textAlignment w:val="auto"/>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sz w:val="28"/>
          <w:szCs w:val="28"/>
          <w14:textFill>
            <w14:solidFill>
              <w14:schemeClr w14:val="tx1"/>
            </w14:solidFill>
          </w14:textFill>
        </w:rPr>
        <w:t>(三)投资情况</w:t>
      </w:r>
    </w:p>
    <w:p>
      <w:pPr>
        <w:keepNext w:val="0"/>
        <w:keepLines w:val="0"/>
        <w:pageBreakBefore w:val="0"/>
        <w:kinsoku/>
        <w:wordWrap/>
        <w:overflowPunct/>
        <w:topLinePunct w:val="0"/>
        <w:bidi w:val="0"/>
        <w:spacing w:line="360" w:lineRule="auto"/>
        <w:ind w:left="0" w:right="0" w:firstLine="560" w:firstLineChars="200"/>
        <w:textAlignment w:val="auto"/>
        <w:rPr>
          <w:rFonts w:ascii="Times New Roman" w:hAnsi="Times New Roman" w:eastAsia="仿宋"/>
          <w:color w:val="000000" w:themeColor="text1"/>
          <w:sz w:val="28"/>
          <w:szCs w:val="28"/>
          <w14:textFill>
            <w14:solidFill>
              <w14:schemeClr w14:val="tx1"/>
            </w14:solidFill>
          </w14:textFill>
        </w:rPr>
      </w:pPr>
      <w:r>
        <w:rPr>
          <w:rFonts w:hint="default" w:ascii="Times New Roman" w:hAnsi="Times New Roman" w:eastAsia="仿宋"/>
          <w:color w:val="000000" w:themeColor="text1"/>
          <w:sz w:val="28"/>
          <w:szCs w:val="28"/>
          <w:lang w:val="en-US" w:eastAsia="zh-CN"/>
          <w14:textFill>
            <w14:solidFill>
              <w14:schemeClr w14:val="tx1"/>
            </w14:solidFill>
          </w14:textFill>
        </w:rPr>
        <w:t>项目</w:t>
      </w:r>
      <w:r>
        <w:rPr>
          <w:rFonts w:hint="eastAsia" w:ascii="Times New Roman" w:hAnsi="Times New Roman" w:eastAsia="仿宋"/>
          <w:color w:val="000000" w:themeColor="text1"/>
          <w:sz w:val="28"/>
          <w:szCs w:val="28"/>
          <w:lang w:val="en-US" w:eastAsia="zh-CN"/>
          <w14:textFill>
            <w14:solidFill>
              <w14:schemeClr w14:val="tx1"/>
            </w14:solidFill>
          </w14:textFill>
        </w:rPr>
        <w:t>环评</w:t>
      </w:r>
      <w:r>
        <w:rPr>
          <w:rFonts w:hint="eastAsia" w:ascii="Times New Roman" w:hAnsi="Times New Roman" w:eastAsia="仿宋" w:cs="Times New Roman"/>
          <w:color w:val="000000" w:themeColor="text1"/>
          <w:sz w:val="28"/>
          <w:szCs w:val="28"/>
          <w:lang w:val="en-US" w:eastAsia="zh-CN"/>
          <w14:textFill>
            <w14:solidFill>
              <w14:schemeClr w14:val="tx1"/>
            </w14:solidFill>
          </w14:textFill>
        </w:rPr>
        <w:t>设计总投资30万元，其中环保投资18.2万元。实际投资情况与环评一致。</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ascii="Times New Roman" w:hAnsi="Times New Roman" w:eastAsia="仿宋"/>
          <w:bCs/>
          <w:color w:val="000000" w:themeColor="text1"/>
          <w:sz w:val="28"/>
          <w:szCs w:val="28"/>
          <w14:textFill>
            <w14:solidFill>
              <w14:schemeClr w14:val="tx1"/>
            </w14:solidFill>
          </w14:textFill>
        </w:rPr>
      </w:pPr>
      <w:r>
        <w:rPr>
          <w:rFonts w:ascii="Times New Roman" w:hAnsi="Times New Roman" w:eastAsia="仿宋"/>
          <w:bCs/>
          <w:color w:val="000000" w:themeColor="text1"/>
          <w:sz w:val="28"/>
          <w:szCs w:val="28"/>
          <w14:textFill>
            <w14:solidFill>
              <w14:schemeClr w14:val="tx1"/>
            </w14:solidFill>
          </w14:textFill>
        </w:rPr>
        <w:t>(四)验收范围</w:t>
      </w:r>
    </w:p>
    <w:p>
      <w:pPr>
        <w:pStyle w:val="12"/>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漳州明兴木业有限公司木制家具加工生产项目选址于漳州市芗城区天宝镇墨溪村，</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目前</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本</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项目</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已建成并投入试生产，故本次验收针对漳州明兴木业有限公司木制家具加工生产项目进行整体验收</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w:t>
      </w:r>
    </w:p>
    <w:p>
      <w:pPr>
        <w:pStyle w:val="12"/>
        <w:keepNext w:val="0"/>
        <w:keepLines w:val="0"/>
        <w:pageBreakBefore w:val="0"/>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二、工程变动情况</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根据《中华人民共和国环境影响评价法》和《建设项目环境保护管理条例》有关规定：“建设项目的环境影响评价文件经批准后，建设项目的性质、规模、地点、采用的生产工艺或者防治污染、防止生态破坏的措施发生重大变动的，建设单位应当重新报批建设项目的环境影响评价文件”。根据环境保护部办公厅文件《污染影响类建设项目重大变动清单（试行）》（环办环评函[2020]688号），建设项目的性质、规模、地点、生产工艺和环境保护措施五个因素中的一项或一项以上发生重大变动，且可能导致环境影响显著变化（特别是不利环境影响加重）的，界定为重大变动。</w:t>
      </w:r>
    </w:p>
    <w:p>
      <w:pPr>
        <w:pStyle w:val="13"/>
        <w:keepNext w:val="0"/>
        <w:keepLines w:val="0"/>
        <w:pageBreakBefore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环境影响评价设计</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粉尘采用集气罩收集后用布袋除尘设施净化处理再经15m高排气筒排放</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。实际建设情况为粉尘经集气罩收集后通过布袋除尘器处理后通过</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15m</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高排气筒排放；收集不完全的粉尘废气通过多台移动式布袋除尘器加强收集处理。实际建设情况能更有效的对粉尘废气进行收集，减少环境污染，没有发生重大变动。</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项目其他建设情况与环评设计基本保持一致，不存在重大变动。</w:t>
      </w:r>
    </w:p>
    <w:p>
      <w:pPr>
        <w:pStyle w:val="12"/>
        <w:keepNext w:val="0"/>
        <w:keepLines w:val="0"/>
        <w:pageBreakBefore w:val="0"/>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三、环境保护设施建设情况</w:t>
      </w:r>
    </w:p>
    <w:p>
      <w:pPr>
        <w:pStyle w:val="12"/>
        <w:keepNext w:val="0"/>
        <w:keepLines w:val="0"/>
        <w:pageBreakBefore w:val="0"/>
        <w:kinsoku/>
        <w:wordWrap/>
        <w:overflowPunct/>
        <w:topLinePunct w:val="0"/>
        <w:autoSpaceDE/>
        <w:autoSpaceDN/>
        <w:bidi w:val="0"/>
        <w:spacing w:before="0" w:beforeLines="0" w:beforeAutospacing="0" w:after="0" w:afterLines="0" w:afterAutospacing="0" w:line="360" w:lineRule="auto"/>
        <w:ind w:left="0" w:right="0" w:firstLine="560" w:firstLineChars="200"/>
        <w:jc w:val="both"/>
        <w:textAlignment w:val="auto"/>
        <w:outlineLvl w:val="0"/>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bidi="ar-SA"/>
          <w14:textFill>
            <w14:solidFill>
              <w14:schemeClr w14:val="tx1"/>
            </w14:solidFill>
          </w14:textFill>
        </w:rPr>
        <w:t>(一)废水</w:t>
      </w:r>
    </w:p>
    <w:p>
      <w:pPr>
        <w:keepNext w:val="0"/>
        <w:keepLines w:val="0"/>
        <w:pageBreakBefore w:val="0"/>
        <w:widowControl/>
        <w:numPr>
          <w:ilvl w:val="0"/>
          <w:numId w:val="0"/>
        </w:numPr>
        <w:kinsoku/>
        <w:wordWrap/>
        <w:overflowPunct/>
        <w:topLinePunct w:val="0"/>
        <w:bidi w:val="0"/>
        <w:spacing w:line="360" w:lineRule="auto"/>
        <w:ind w:left="0" w:right="0" w:firstLine="560" w:firstLineChars="200"/>
        <w:jc w:val="both"/>
        <w:textAlignment w:val="auto"/>
        <w:rPr>
          <w:rFonts w:hint="eastAsia" w:ascii="Times New Roman" w:hAnsi="Times New Roman" w:eastAsia="仿宋" w:cs="Times New Roman"/>
          <w:color w:val="000000" w:themeColor="text1"/>
          <w:sz w:val="28"/>
          <w:szCs w:val="28"/>
          <w:lang w:val="zh-CN"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本</w:t>
      </w:r>
      <w:r>
        <w:rPr>
          <w:rFonts w:hint="eastAsia" w:ascii="Times New Roman" w:hAnsi="Times New Roman" w:eastAsia="仿宋" w:cs="Times New Roman"/>
          <w:color w:val="000000" w:themeColor="text1"/>
          <w:sz w:val="28"/>
          <w:szCs w:val="28"/>
          <w:lang w:val="zh-CN" w:eastAsia="zh-CN" w:bidi="ar-SA"/>
          <w14:textFill>
            <w14:solidFill>
              <w14:schemeClr w14:val="tx1"/>
            </w14:solidFill>
          </w14:textFill>
        </w:rPr>
        <w:t>项目</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产生的废水主要为生产废水和员工生活污水</w:t>
      </w:r>
      <w:r>
        <w:rPr>
          <w:rFonts w:hint="eastAsia" w:ascii="Times New Roman" w:hAnsi="Times New Roman" w:eastAsia="仿宋" w:cs="Times New Roman"/>
          <w:color w:val="000000" w:themeColor="text1"/>
          <w:sz w:val="28"/>
          <w:szCs w:val="28"/>
          <w:lang w:val="zh-CN" w:eastAsia="zh-CN" w:bidi="ar-SA"/>
          <w14:textFill>
            <w14:solidFill>
              <w14:schemeClr w14:val="tx1"/>
            </w14:solidFill>
          </w14:textFill>
        </w:rPr>
        <w:t>。</w:t>
      </w:r>
    </w:p>
    <w:p>
      <w:pPr>
        <w:keepNext w:val="0"/>
        <w:keepLines w:val="0"/>
        <w:pageBreakBefore w:val="0"/>
        <w:widowControl/>
        <w:numPr>
          <w:ilvl w:val="0"/>
          <w:numId w:val="0"/>
        </w:numPr>
        <w:kinsoku/>
        <w:wordWrap/>
        <w:overflowPunct/>
        <w:topLinePunct w:val="0"/>
        <w:bidi w:val="0"/>
        <w:spacing w:line="360" w:lineRule="auto"/>
        <w:ind w:left="0" w:right="0" w:firstLine="560" w:firstLineChars="200"/>
        <w:jc w:val="both"/>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水帘除漆雾废水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经加药（pac+pam）</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絮凝沉淀后</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抽取上清液</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至</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喷淋台</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循环</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使用，不外排</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w:t>
      </w:r>
    </w:p>
    <w:p>
      <w:pPr>
        <w:pStyle w:val="14"/>
        <w:keepNext w:val="0"/>
        <w:keepLines w:val="0"/>
        <w:pageBreakBefore w:val="0"/>
        <w:kinsoku/>
        <w:wordWrap/>
        <w:overflowPunct/>
        <w:topLinePunct w:val="0"/>
        <w:bidi w:val="0"/>
        <w:ind w:left="0" w:right="0" w:firstLine="560" w:firstLineChars="200"/>
        <w:jc w:val="left"/>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生活污水经化粪池处理后</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用于农灌，不外排。</w:t>
      </w:r>
    </w:p>
    <w:p>
      <w:pPr>
        <w:pStyle w:val="12"/>
        <w:keepNext w:val="0"/>
        <w:keepLines w:val="0"/>
        <w:pageBreakBefore w:val="0"/>
        <w:kinsoku/>
        <w:wordWrap/>
        <w:overflowPunct/>
        <w:topLinePunct w:val="0"/>
        <w:autoSpaceDE/>
        <w:autoSpaceDN/>
        <w:bidi w:val="0"/>
        <w:spacing w:before="0" w:beforeLines="0" w:beforeAutospacing="0" w:after="0" w:afterLines="0" w:afterAutospacing="0" w:line="360" w:lineRule="auto"/>
        <w:ind w:left="0" w:right="0" w:firstLine="560" w:firstLineChars="200"/>
        <w:jc w:val="both"/>
        <w:textAlignment w:val="auto"/>
        <w:outlineLvl w:val="0"/>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bidi="ar-SA"/>
          <w14:textFill>
            <w14:solidFill>
              <w14:schemeClr w14:val="tx1"/>
            </w14:solidFill>
          </w14:textFill>
        </w:rPr>
        <w:t>(二)废气</w:t>
      </w:r>
    </w:p>
    <w:p>
      <w:pPr>
        <w:keepNext w:val="0"/>
        <w:keepLines w:val="0"/>
        <w:pageBreakBefore w:val="0"/>
        <w:widowControl/>
        <w:numPr>
          <w:ilvl w:val="0"/>
          <w:numId w:val="0"/>
        </w:numPr>
        <w:kinsoku/>
        <w:wordWrap/>
        <w:overflowPunct/>
        <w:topLinePunct w:val="0"/>
        <w:bidi w:val="0"/>
        <w:spacing w:line="360" w:lineRule="auto"/>
        <w:ind w:left="0" w:right="0" w:firstLine="560" w:firstLineChars="200"/>
        <w:jc w:val="both"/>
        <w:textAlignment w:val="auto"/>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bidi="ar-SA"/>
          <w14:textFill>
            <w14:solidFill>
              <w14:schemeClr w14:val="tx1"/>
            </w14:solidFill>
          </w14:textFill>
        </w:rPr>
        <w:t>本</w:t>
      </w:r>
      <w:r>
        <w:rPr>
          <w:rFonts w:hint="default" w:ascii="仿宋" w:hAnsi="仿宋" w:eastAsia="仿宋" w:cs="仿宋"/>
          <w:color w:val="000000" w:themeColor="text1"/>
          <w:sz w:val="28"/>
          <w:szCs w:val="28"/>
          <w:lang w:val="en-US" w:eastAsia="zh-CN" w:bidi="ar-SA"/>
          <w14:textFill>
            <w14:solidFill>
              <w14:schemeClr w14:val="tx1"/>
            </w14:solidFill>
          </w14:textFill>
        </w:rPr>
        <w:t>项目废气主要</w:t>
      </w:r>
      <w:r>
        <w:rPr>
          <w:rFonts w:hint="eastAsia" w:ascii="仿宋" w:hAnsi="仿宋" w:eastAsia="仿宋" w:cs="仿宋"/>
          <w:color w:val="000000" w:themeColor="text1"/>
          <w:sz w:val="28"/>
          <w:szCs w:val="28"/>
          <w:lang w:val="en-US" w:eastAsia="zh-CN" w:bidi="ar-SA"/>
          <w14:textFill>
            <w14:solidFill>
              <w14:schemeClr w14:val="tx1"/>
            </w14:solidFill>
          </w14:textFill>
        </w:rPr>
        <w:t>为喷漆过程产生的漆雾和喷漆、晾晒过程产生的有机废气；备料、细作、抛光、整修过程产生的粉尘。</w:t>
      </w:r>
    </w:p>
    <w:p>
      <w:pPr>
        <w:keepNext w:val="0"/>
        <w:keepLines w:val="0"/>
        <w:pageBreakBefore w:val="0"/>
        <w:widowControl/>
        <w:numPr>
          <w:ilvl w:val="0"/>
          <w:numId w:val="0"/>
        </w:numPr>
        <w:kinsoku/>
        <w:wordWrap/>
        <w:overflowPunct/>
        <w:topLinePunct w:val="0"/>
        <w:bidi w:val="0"/>
        <w:spacing w:line="360" w:lineRule="auto"/>
        <w:ind w:left="0" w:right="0" w:firstLine="560" w:firstLineChars="200"/>
        <w:jc w:val="both"/>
        <w:textAlignment w:val="auto"/>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bidi="ar-SA"/>
          <w14:textFill>
            <w14:solidFill>
              <w14:schemeClr w14:val="tx1"/>
            </w14:solidFill>
          </w14:textFill>
        </w:rPr>
        <w:t>喷漆、晾晒过程在相对密闭的喷漆房内作业，产生的漆雾经水帘净化处理后，未净化部分经风机引至喷淋塔+UV光催化氧化+活性炭净化处理，再由</w:t>
      </w:r>
      <w:r>
        <w:rPr>
          <w:rFonts w:hint="default" w:ascii="仿宋" w:hAnsi="仿宋" w:eastAsia="仿宋" w:cs="仿宋"/>
          <w:color w:val="000000" w:themeColor="text1"/>
          <w:sz w:val="28"/>
          <w:szCs w:val="28"/>
          <w:lang w:val="en-US" w:eastAsia="zh-CN" w:bidi="ar-SA"/>
          <w14:textFill>
            <w14:solidFill>
              <w14:schemeClr w14:val="tx1"/>
            </w14:solidFill>
          </w14:textFill>
        </w:rPr>
        <w:t>15m</w:t>
      </w:r>
      <w:r>
        <w:rPr>
          <w:rFonts w:hint="eastAsia" w:ascii="仿宋" w:hAnsi="仿宋" w:eastAsia="仿宋" w:cs="仿宋"/>
          <w:color w:val="000000" w:themeColor="text1"/>
          <w:sz w:val="28"/>
          <w:szCs w:val="28"/>
          <w:lang w:val="en-US" w:eastAsia="zh-CN" w:bidi="ar-SA"/>
          <w14:textFill>
            <w14:solidFill>
              <w14:schemeClr w14:val="tx1"/>
            </w14:solidFill>
          </w14:textFill>
        </w:rPr>
        <w:t>高排气筒排放。</w:t>
      </w:r>
    </w:p>
    <w:p>
      <w:pPr>
        <w:pStyle w:val="14"/>
        <w:keepNext w:val="0"/>
        <w:keepLines w:val="0"/>
        <w:pageBreakBefore w:val="0"/>
        <w:kinsoku/>
        <w:wordWrap/>
        <w:overflowPunct/>
        <w:topLinePunct w:val="0"/>
        <w:bidi w:val="0"/>
        <w:ind w:left="0" w:right="0" w:firstLine="560" w:firstLineChars="200"/>
        <w:jc w:val="left"/>
        <w:textAlignment w:val="auto"/>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bidi="ar-SA"/>
          <w14:textFill>
            <w14:solidFill>
              <w14:schemeClr w14:val="tx1"/>
            </w14:solidFill>
          </w14:textFill>
        </w:rPr>
        <w:t>备料、细作、抛光、整修过程产生的粉尘经集气罩收集后通过布袋除尘器处理后通过</w:t>
      </w:r>
      <w:r>
        <w:rPr>
          <w:rFonts w:hint="default" w:ascii="仿宋" w:hAnsi="仿宋" w:eastAsia="仿宋" w:cs="仿宋"/>
          <w:color w:val="000000" w:themeColor="text1"/>
          <w:sz w:val="28"/>
          <w:szCs w:val="28"/>
          <w:lang w:val="en-US" w:eastAsia="zh-CN" w:bidi="ar-SA"/>
          <w14:textFill>
            <w14:solidFill>
              <w14:schemeClr w14:val="tx1"/>
            </w14:solidFill>
          </w14:textFill>
        </w:rPr>
        <w:t>15m</w:t>
      </w:r>
      <w:r>
        <w:rPr>
          <w:rFonts w:hint="eastAsia" w:ascii="仿宋" w:hAnsi="仿宋" w:eastAsia="仿宋" w:cs="仿宋"/>
          <w:color w:val="000000" w:themeColor="text1"/>
          <w:sz w:val="28"/>
          <w:szCs w:val="28"/>
          <w:lang w:val="en-US" w:eastAsia="zh-CN" w:bidi="ar-SA"/>
          <w14:textFill>
            <w14:solidFill>
              <w14:schemeClr w14:val="tx1"/>
            </w14:solidFill>
          </w14:textFill>
        </w:rPr>
        <w:t>高排气筒排放；部分未收集粉尘废气通过移动式布袋除尘器收集处理，不会对环境产生影响。</w:t>
      </w:r>
    </w:p>
    <w:p>
      <w:pPr>
        <w:pStyle w:val="12"/>
        <w:keepNext w:val="0"/>
        <w:keepLines w:val="0"/>
        <w:pageBreakBefore w:val="0"/>
        <w:kinsoku/>
        <w:wordWrap/>
        <w:overflowPunct/>
        <w:topLinePunct w:val="0"/>
        <w:autoSpaceDE/>
        <w:autoSpaceDN/>
        <w:bidi w:val="0"/>
        <w:spacing w:before="0" w:beforeLines="0" w:beforeAutospacing="0" w:after="0" w:afterLines="0" w:afterAutospacing="0" w:line="360" w:lineRule="auto"/>
        <w:ind w:left="0" w:right="0" w:firstLine="560" w:firstLineChars="200"/>
        <w:jc w:val="both"/>
        <w:textAlignment w:val="auto"/>
        <w:outlineLvl w:val="0"/>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bidi="ar-SA"/>
          <w14:textFill>
            <w14:solidFill>
              <w14:schemeClr w14:val="tx1"/>
            </w14:solidFill>
          </w14:textFill>
        </w:rPr>
        <w:t>(三)噪声</w:t>
      </w:r>
    </w:p>
    <w:p>
      <w:pPr>
        <w:pStyle w:val="12"/>
        <w:keepNext w:val="0"/>
        <w:keepLines w:val="0"/>
        <w:pageBreakBefore w:val="0"/>
        <w:kinsoku/>
        <w:wordWrap/>
        <w:overflowPunct/>
        <w:topLinePunct w:val="0"/>
        <w:autoSpaceDE/>
        <w:autoSpaceDN/>
        <w:bidi w:val="0"/>
        <w:spacing w:before="0" w:beforeLines="0" w:beforeAutospacing="0" w:after="0" w:afterLines="0" w:afterAutospacing="0" w:line="360" w:lineRule="auto"/>
        <w:ind w:left="0" w:right="0" w:firstLine="560" w:firstLineChars="200"/>
        <w:jc w:val="both"/>
        <w:textAlignment w:val="auto"/>
        <w:outlineLvl w:val="0"/>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bidi="ar-SA"/>
          <w14:textFill>
            <w14:solidFill>
              <w14:schemeClr w14:val="tx1"/>
            </w14:solidFill>
          </w14:textFill>
        </w:rPr>
        <w:t>本项目主要噪声污染源主要来自机台设备运行时产生的噪声，主要通过合理布局，使高噪声设备远离厂界；对噪声值较高的设备基座底部安装减振垫等；定期检查并调整好运动机器部件的静平衡与动平衡的动力，加强设备维护，使其处于良好运行状态，以此来降低环境噪声污染。</w:t>
      </w:r>
    </w:p>
    <w:p>
      <w:pPr>
        <w:pStyle w:val="12"/>
        <w:keepNext w:val="0"/>
        <w:keepLines w:val="0"/>
        <w:pageBreakBefore w:val="0"/>
        <w:kinsoku/>
        <w:wordWrap/>
        <w:overflowPunct/>
        <w:topLinePunct w:val="0"/>
        <w:autoSpaceDE/>
        <w:autoSpaceDN/>
        <w:bidi w:val="0"/>
        <w:spacing w:before="0" w:beforeLines="0" w:beforeAutospacing="0" w:after="0" w:afterLines="0" w:afterAutospacing="0" w:line="360" w:lineRule="auto"/>
        <w:ind w:left="0" w:right="0" w:firstLine="560" w:firstLineChars="200"/>
        <w:jc w:val="both"/>
        <w:textAlignment w:val="auto"/>
        <w:outlineLvl w:val="0"/>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bidi="ar-SA"/>
          <w14:textFill>
            <w14:solidFill>
              <w14:schemeClr w14:val="tx1"/>
            </w14:solidFill>
          </w14:textFill>
        </w:rPr>
        <w:t>(四)固（液）体废物</w:t>
      </w:r>
    </w:p>
    <w:p>
      <w:pPr>
        <w:pStyle w:val="14"/>
        <w:keepNext w:val="0"/>
        <w:keepLines w:val="0"/>
        <w:pageBreakBefore w:val="0"/>
        <w:kinsoku/>
        <w:wordWrap/>
        <w:overflowPunct/>
        <w:topLinePunct w:val="0"/>
        <w:bidi w:val="0"/>
        <w:ind w:left="0" w:right="0" w:firstLine="560" w:firstLineChars="200"/>
        <w:jc w:val="left"/>
        <w:textAlignment w:val="auto"/>
        <w:rPr>
          <w:rFonts w:hint="default" w:ascii="仿宋" w:hAnsi="仿宋" w:eastAsia="仿宋" w:cs="仿宋"/>
          <w:color w:val="000000" w:themeColor="text1"/>
          <w:kern w:val="0"/>
          <w:sz w:val="28"/>
          <w:szCs w:val="28"/>
          <w:lang w:val="en-US" w:eastAsia="zh-CN" w:bidi="ar-SA"/>
          <w14:textFill>
            <w14:solidFill>
              <w14:schemeClr w14:val="tx1"/>
            </w14:solidFill>
          </w14:textFill>
        </w:rPr>
      </w:pPr>
      <w:r>
        <w:rPr>
          <w:rFonts w:hint="default" w:ascii="仿宋" w:hAnsi="仿宋" w:eastAsia="仿宋" w:cs="仿宋"/>
          <w:color w:val="000000" w:themeColor="text1"/>
          <w:kern w:val="0"/>
          <w:sz w:val="28"/>
          <w:szCs w:val="28"/>
          <w:lang w:val="en-US" w:eastAsia="zh-CN" w:bidi="ar-SA"/>
          <w14:textFill>
            <w14:solidFill>
              <w14:schemeClr w14:val="tx1"/>
            </w14:solidFill>
          </w14:textFill>
        </w:rPr>
        <w:t>本项目</w:t>
      </w:r>
      <w:r>
        <w:rPr>
          <w:rFonts w:hint="eastAsia" w:ascii="仿宋" w:hAnsi="仿宋" w:eastAsia="仿宋" w:cs="仿宋"/>
          <w:color w:val="000000" w:themeColor="text1"/>
          <w:kern w:val="0"/>
          <w:sz w:val="28"/>
          <w:szCs w:val="28"/>
          <w:lang w:val="en-US" w:eastAsia="zh-CN" w:bidi="ar-SA"/>
          <w14:textFill>
            <w14:solidFill>
              <w14:schemeClr w14:val="tx1"/>
            </w14:solidFill>
          </w14:textFill>
        </w:rPr>
        <w:t>产生的固体废物主要为生活垃圾和木料边角料，布袋除尘器的除尘灰等一般固废和漆渣，废漆桶，废活性炭，除漆雾废水等危险废物</w:t>
      </w:r>
      <w:r>
        <w:rPr>
          <w:rFonts w:hint="default" w:ascii="仿宋" w:hAnsi="仿宋" w:eastAsia="仿宋" w:cs="仿宋"/>
          <w:color w:val="000000" w:themeColor="text1"/>
          <w:kern w:val="0"/>
          <w:sz w:val="28"/>
          <w:szCs w:val="28"/>
          <w:lang w:val="en-US" w:eastAsia="zh-CN" w:bidi="ar-SA"/>
          <w14:textFill>
            <w14:solidFill>
              <w14:schemeClr w14:val="tx1"/>
            </w14:solidFill>
          </w14:textFill>
        </w:rPr>
        <w:t>。</w:t>
      </w:r>
    </w:p>
    <w:p>
      <w:pPr>
        <w:pStyle w:val="15"/>
        <w:keepNext w:val="0"/>
        <w:keepLines w:val="0"/>
        <w:pageBreakBefore w:val="0"/>
        <w:widowControl w:val="0"/>
        <w:numPr>
          <w:ilvl w:val="0"/>
          <w:numId w:val="0"/>
        </w:numPr>
        <w:kinsoku/>
        <w:wordWrap/>
        <w:overflowPunct/>
        <w:topLinePunct w:val="0"/>
        <w:bidi w:val="0"/>
        <w:adjustRightInd w:val="0"/>
        <w:spacing w:line="360" w:lineRule="auto"/>
        <w:ind w:left="0" w:right="0" w:firstLine="560" w:firstLineChars="200"/>
        <w:jc w:val="left"/>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项目生活垃圾产生量为5t/a。生活垃圾集中收集，由环卫部门每日清运至指定地点消纳。</w:t>
      </w:r>
    </w:p>
    <w:p>
      <w:pPr>
        <w:pStyle w:val="15"/>
        <w:keepNext w:val="0"/>
        <w:keepLines w:val="0"/>
        <w:pageBreakBefore w:val="0"/>
        <w:widowControl w:val="0"/>
        <w:kinsoku/>
        <w:wordWrap/>
        <w:overflowPunct/>
        <w:topLinePunct w:val="0"/>
        <w:bidi w:val="0"/>
        <w:spacing w:line="360" w:lineRule="auto"/>
        <w:ind w:left="0" w:right="0" w:firstLine="560" w:firstLineChars="200"/>
        <w:jc w:val="left"/>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项目废木料边角料的产生量为100t/a，布袋除尘收集粉尘量为1t/a，集中收集后交由漳州良盛新能源科技有限公司回收处理。</w:t>
      </w:r>
    </w:p>
    <w:p>
      <w:pPr>
        <w:pStyle w:val="15"/>
        <w:keepNext w:val="0"/>
        <w:keepLines w:val="0"/>
        <w:pageBreakBefore w:val="0"/>
        <w:widowControl w:val="0"/>
        <w:kinsoku/>
        <w:wordWrap/>
        <w:overflowPunct/>
        <w:topLinePunct w:val="0"/>
        <w:autoSpaceDE/>
        <w:autoSpaceDN/>
        <w:bidi w:val="0"/>
        <w:adjustRightInd w:val="0"/>
        <w:snapToGrid w:val="0"/>
        <w:spacing w:line="360" w:lineRule="auto"/>
        <w:ind w:left="0" w:right="0" w:firstLine="560" w:firstLineChars="200"/>
        <w:jc w:val="left"/>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项目产生的危废主要有漆渣（危废类别：HW12染料涂料废物），废漆桶（危废类别：HW12染料涂料废物），废活性炭（危废类别：HW49其他废物）和除漆雾废水（危废类别：HW12染料涂料废物）。项目漆渣的产生量为0.5t/a；废漆桶的年产生量为1t/a；废活性炭年产生量为1t/a；除漆雾废水</w:t>
      </w:r>
      <w:r>
        <w:rPr>
          <w:rFonts w:hint="default" w:ascii="仿宋" w:hAnsi="仿宋" w:eastAsia="仿宋" w:cs="仿宋"/>
          <w:color w:val="000000" w:themeColor="text1"/>
          <w:kern w:val="0"/>
          <w:sz w:val="28"/>
          <w:szCs w:val="28"/>
          <w:lang w:val="en-US" w:eastAsia="zh-CN" w:bidi="ar-SA"/>
          <w14:textFill>
            <w14:solidFill>
              <w14:schemeClr w14:val="tx1"/>
            </w14:solidFill>
          </w14:textFill>
        </w:rPr>
        <w:t>一年清理一次</w:t>
      </w:r>
      <w:r>
        <w:rPr>
          <w:rFonts w:hint="eastAsia" w:ascii="仿宋" w:hAnsi="仿宋" w:eastAsia="仿宋" w:cs="仿宋"/>
          <w:color w:val="000000" w:themeColor="text1"/>
          <w:kern w:val="0"/>
          <w:sz w:val="28"/>
          <w:szCs w:val="28"/>
          <w:lang w:val="en-US" w:eastAsia="zh-CN" w:bidi="ar-SA"/>
          <w14:textFill>
            <w14:solidFill>
              <w14:schemeClr w14:val="tx1"/>
            </w14:solidFill>
          </w14:textFill>
        </w:rPr>
        <w:t>，产生量为</w:t>
      </w:r>
      <w:r>
        <w:rPr>
          <w:rFonts w:hint="default" w:ascii="仿宋" w:hAnsi="仿宋" w:eastAsia="仿宋" w:cs="仿宋"/>
          <w:color w:val="000000" w:themeColor="text1"/>
          <w:kern w:val="0"/>
          <w:sz w:val="28"/>
          <w:szCs w:val="28"/>
          <w:lang w:val="en-US" w:eastAsia="zh-CN" w:bidi="ar-SA"/>
          <w14:textFill>
            <w14:solidFill>
              <w14:schemeClr w14:val="tx1"/>
            </w14:solidFill>
          </w14:textFill>
        </w:rPr>
        <w:t>8.64m³/a</w:t>
      </w:r>
      <w:r>
        <w:rPr>
          <w:rFonts w:hint="eastAsia" w:ascii="仿宋" w:hAnsi="仿宋" w:eastAsia="仿宋" w:cs="仿宋"/>
          <w:color w:val="000000" w:themeColor="text1"/>
          <w:kern w:val="0"/>
          <w:sz w:val="28"/>
          <w:szCs w:val="28"/>
          <w:lang w:val="en-US" w:eastAsia="zh-CN" w:bidi="ar-SA"/>
          <w14:textFill>
            <w14:solidFill>
              <w14:schemeClr w14:val="tx1"/>
            </w14:solidFill>
          </w14:textFill>
        </w:rPr>
        <w:t>。项目危废委托</w:t>
      </w:r>
      <w:r>
        <w:rPr>
          <w:rFonts w:hint="default" w:ascii="仿宋" w:hAnsi="仿宋" w:eastAsia="仿宋" w:cs="仿宋"/>
          <w:color w:val="000000" w:themeColor="text1"/>
          <w:kern w:val="0"/>
          <w:sz w:val="28"/>
          <w:szCs w:val="28"/>
          <w:lang w:val="en-US" w:eastAsia="zh-CN" w:bidi="ar-SA"/>
          <w14:textFill>
            <w14:solidFill>
              <w14:schemeClr w14:val="tx1"/>
            </w14:solidFill>
          </w14:textFill>
        </w:rPr>
        <w:t>福建省储鑫环保科技有限公司进行处理，不外排</w:t>
      </w:r>
      <w:r>
        <w:rPr>
          <w:rFonts w:hint="eastAsia" w:ascii="仿宋" w:hAnsi="仿宋" w:eastAsia="仿宋" w:cs="仿宋"/>
          <w:color w:val="000000" w:themeColor="text1"/>
          <w:kern w:val="0"/>
          <w:sz w:val="28"/>
          <w:szCs w:val="28"/>
          <w:lang w:val="en-US" w:eastAsia="zh-CN" w:bidi="ar-SA"/>
          <w14:textFill>
            <w14:solidFill>
              <w14:schemeClr w14:val="tx1"/>
            </w14:solidFill>
          </w14:textFill>
        </w:rPr>
        <w:t>。</w:t>
      </w:r>
    </w:p>
    <w:p>
      <w:pPr>
        <w:pStyle w:val="12"/>
        <w:keepNext w:val="0"/>
        <w:keepLines w:val="0"/>
        <w:pageBreakBefore w:val="0"/>
        <w:kinsoku/>
        <w:wordWrap/>
        <w:overflowPunct/>
        <w:topLinePunct w:val="0"/>
        <w:autoSpaceDE/>
        <w:autoSpaceDN/>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四、环境保护设施调试效果</w:t>
      </w:r>
    </w:p>
    <w:p>
      <w:pPr>
        <w:pStyle w:val="12"/>
        <w:keepNext w:val="0"/>
        <w:keepLines w:val="0"/>
        <w:pageBreakBefore w:val="0"/>
        <w:kinsoku/>
        <w:wordWrap/>
        <w:overflowPunct/>
        <w:topLinePunct w:val="0"/>
        <w:autoSpaceDE/>
        <w:autoSpaceDN/>
        <w:bidi w:val="0"/>
        <w:spacing w:before="0" w:beforeLines="0" w:beforeAutospacing="0" w:after="0" w:afterLines="0" w:afterAutospacing="0" w:line="360" w:lineRule="auto"/>
        <w:ind w:left="0" w:right="0" w:firstLine="560" w:firstLineChars="200"/>
        <w:jc w:val="both"/>
        <w:textAlignment w:val="auto"/>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(一)污染物排放情况</w:t>
      </w:r>
    </w:p>
    <w:p>
      <w:pPr>
        <w:pStyle w:val="12"/>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1.废水</w:t>
      </w:r>
    </w:p>
    <w:p>
      <w:pPr>
        <w:pStyle w:val="12"/>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环保竣工验收监测期间，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本项目</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水帘除漆雾废水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经加药（pac+pam）</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絮凝沉淀后</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抽取上清液</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至</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喷淋台</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循环</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使用，不外排</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本项目职工均不住厂，经核查项目废水产生量约为0.8m3/d，废水产生量较小，职工生活污水经过三级化粪池处理后用于周边农灌，因此本次验收不对生活废水进行监测</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w:t>
      </w:r>
    </w:p>
    <w:p>
      <w:pPr>
        <w:pStyle w:val="12"/>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2.废气</w:t>
      </w:r>
    </w:p>
    <w:p>
      <w:pPr>
        <w:pStyle w:val="12"/>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环保竣工验收监测期间，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本</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项目喷漆废气排放满足《工业涂装工序挥发性有机物排放标准》（DB35/-1783-2018）表1标准；</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粉尘废气排放满足</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《大气污染物综合排放标准》(GB16297-1996)表2标准；即：有组织颗粒物：120mg/m3。无组织废气</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甲苯、二甲苯、非甲烷总烃、厂界内非甲烷总烃</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排放满足</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《挥发性有机物无组织排放控制标准》（GB 37822-2019），同时厂界内非甲烷总烃</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排放</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满足</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《工业涂装工序挥发性有机物排放标准》（DB35/-1783-2018）；</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无组织废气颗粒物排放满足</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《大气污染物综合排放标准》(GB16297-1996)</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表2无组织控制要求。</w:t>
      </w:r>
    </w:p>
    <w:p>
      <w:pPr>
        <w:pStyle w:val="12"/>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3.场界噪声</w:t>
      </w:r>
    </w:p>
    <w:p>
      <w:pPr>
        <w:pStyle w:val="12"/>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环保竣工验收监测期间，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本</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目噪声符合《工业企业厂界环境噪声排放标准》（GB12348-2008）的</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2</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类标准</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，即昼间≤60dB(A)，夜间≤50dB(A)。</w:t>
      </w:r>
    </w:p>
    <w:p>
      <w:pPr>
        <w:pStyle w:val="12"/>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4.固（液）体废物</w:t>
      </w:r>
    </w:p>
    <w:p>
      <w:pPr>
        <w:pStyle w:val="14"/>
        <w:keepNext w:val="0"/>
        <w:keepLines w:val="0"/>
        <w:pageBreakBefore w:val="0"/>
        <w:kinsoku/>
        <w:wordWrap/>
        <w:overflowPunct/>
        <w:topLinePunct w:val="0"/>
        <w:bidi w:val="0"/>
        <w:ind w:left="0" w:right="0" w:firstLine="560" w:firstLineChars="200"/>
        <w:jc w:val="both"/>
        <w:textAlignment w:val="auto"/>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环保竣工验收</w:t>
      </w:r>
      <w:r>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t>监测期间，</w:t>
      </w:r>
      <w:r>
        <w:rPr>
          <w:rFonts w:hint="eastAsia" w:ascii="Times New Roman" w:hAnsi="Times New Roman" w:eastAsia="仿宋" w:cs="Times New Roman"/>
          <w:color w:val="000000" w:themeColor="text1"/>
          <w:kern w:val="0"/>
          <w:sz w:val="28"/>
          <w:szCs w:val="28"/>
          <w:lang w:val="en-US" w:eastAsia="zh-CN" w:bidi="ar-SA"/>
          <w14:textFill>
            <w14:solidFill>
              <w14:schemeClr w14:val="tx1"/>
            </w14:solidFill>
          </w14:textFill>
        </w:rPr>
        <w:t>本</w:t>
      </w:r>
      <w:r>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t>项目</w:t>
      </w:r>
      <w:r>
        <w:rPr>
          <w:rFonts w:hint="eastAsia" w:ascii="Times New Roman" w:hAnsi="Times New Roman" w:eastAsia="仿宋" w:cs="Times New Roman"/>
          <w:color w:val="000000" w:themeColor="text1"/>
          <w:kern w:val="0"/>
          <w:sz w:val="28"/>
          <w:szCs w:val="28"/>
          <w:lang w:val="en-US" w:eastAsia="zh-CN" w:bidi="ar-SA"/>
          <w14:textFill>
            <w14:solidFill>
              <w14:schemeClr w14:val="tx1"/>
            </w14:solidFill>
          </w14:textFill>
        </w:rPr>
        <w:t>产生的固体废物主要为一般固废、危险废物、</w:t>
      </w:r>
      <w:r>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t>生活垃圾。</w:t>
      </w:r>
    </w:p>
    <w:p>
      <w:pPr>
        <w:pStyle w:val="14"/>
        <w:keepNext w:val="0"/>
        <w:keepLines w:val="0"/>
        <w:pageBreakBefore w:val="0"/>
        <w:kinsoku/>
        <w:wordWrap/>
        <w:overflowPunct/>
        <w:topLinePunct w:val="0"/>
        <w:bidi w:val="0"/>
        <w:ind w:left="0" w:right="0" w:firstLine="560" w:firstLineChars="200"/>
        <w:jc w:val="both"/>
        <w:textAlignment w:val="auto"/>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kern w:val="0"/>
          <w:sz w:val="28"/>
          <w:szCs w:val="28"/>
          <w:lang w:val="en-US" w:eastAsia="zh-CN" w:bidi="ar-SA"/>
          <w14:textFill>
            <w14:solidFill>
              <w14:schemeClr w14:val="tx1"/>
            </w14:solidFill>
          </w14:textFill>
        </w:rPr>
        <w:t>一般固废有废木料边角料、布袋除尘器的除尘灰，生活垃圾。废木料边角料经集中分类收集后和布袋除尘收集的粉尘一同交由漳州良盛新能源科技有限公司回收处理，不外排。生活垃圾集中收集，由环卫部门每日清运至指定地点消纳。</w:t>
      </w:r>
    </w:p>
    <w:p>
      <w:pPr>
        <w:pStyle w:val="14"/>
        <w:keepNext w:val="0"/>
        <w:keepLines w:val="0"/>
        <w:pageBreakBefore w:val="0"/>
        <w:kinsoku/>
        <w:wordWrap/>
        <w:overflowPunct/>
        <w:topLinePunct w:val="0"/>
        <w:bidi w:val="0"/>
        <w:ind w:left="0" w:right="0" w:firstLine="560" w:firstLineChars="200"/>
        <w:jc w:val="both"/>
        <w:textAlignment w:val="auto"/>
        <w:rPr>
          <w:rFonts w:hint="default" w:ascii="Times New Roman" w:hAnsi="Times New Roman" w:eastAsia="仿宋"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kern w:val="0"/>
          <w:sz w:val="28"/>
          <w:szCs w:val="28"/>
          <w:lang w:val="en-US" w:eastAsia="zh-CN" w:bidi="ar-SA"/>
          <w14:textFill>
            <w14:solidFill>
              <w14:schemeClr w14:val="tx1"/>
            </w14:solidFill>
          </w14:textFill>
        </w:rPr>
        <w:t>危险废物主要有漆渣，废漆桶，废活性炭，除漆雾废水。统一收集后委托福建省储鑫环保科技有限公司进行处理。</w:t>
      </w:r>
    </w:p>
    <w:p>
      <w:pPr>
        <w:pStyle w:val="14"/>
        <w:keepNext w:val="0"/>
        <w:keepLines w:val="0"/>
        <w:pageBreakBefore w:val="0"/>
        <w:kinsoku/>
        <w:wordWrap/>
        <w:overflowPunct/>
        <w:topLinePunct w:val="0"/>
        <w:bidi w:val="0"/>
        <w:ind w:left="0" w:right="0" w:firstLine="560" w:firstLineChars="200"/>
        <w:jc w:val="both"/>
        <w:textAlignment w:val="auto"/>
        <w:rPr>
          <w:rFonts w:hint="eastAsia" w:ascii="Times New Roman" w:hAnsi="Times New Roman" w:eastAsia="仿宋" w:cs="Times New Roman"/>
          <w:color w:val="000000" w:themeColor="text1"/>
          <w:kern w:val="0"/>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kern w:val="0"/>
          <w:sz w:val="28"/>
          <w:szCs w:val="28"/>
          <w:lang w:val="en-US" w:eastAsia="zh-CN" w:bidi="ar-SA"/>
          <w14:textFill>
            <w14:solidFill>
              <w14:schemeClr w14:val="tx1"/>
            </w14:solidFill>
          </w14:textFill>
        </w:rPr>
        <w:t>在验收期间，固废处置采取了有效的处理措施后，项目产生的固体废物对周围环境产生的影响较小。</w:t>
      </w:r>
    </w:p>
    <w:p>
      <w:pPr>
        <w:pStyle w:val="12"/>
        <w:keepNext w:val="0"/>
        <w:keepLines w:val="0"/>
        <w:pageBreakBefore w:val="0"/>
        <w:numPr>
          <w:ilvl w:val="0"/>
          <w:numId w:val="2"/>
        </w:numPr>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工程建设对环境的影响</w:t>
      </w:r>
    </w:p>
    <w:p>
      <w:pPr>
        <w:pStyle w:val="12"/>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验收监测期间，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项目</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各污染物排放</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浓度</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均符合环评批复的要求。</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此外，敏感点环境空气、环境噪声现场监测结果均符合环境功能区限值要求，因此</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工程建设对环境的影响不大。</w:t>
      </w:r>
    </w:p>
    <w:p>
      <w:pPr>
        <w:pStyle w:val="12"/>
        <w:keepNext w:val="0"/>
        <w:keepLines w:val="0"/>
        <w:pageBreakBefore w:val="0"/>
        <w:numPr>
          <w:ilvl w:val="0"/>
          <w:numId w:val="2"/>
        </w:numPr>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验收结论</w:t>
      </w:r>
    </w:p>
    <w:p>
      <w:pPr>
        <w:pStyle w:val="13"/>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根据验收监测报告及现场踏看结果，</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漳州明兴木业有限公司木制家具加工生产项目</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基本落实环保“三同时”制度以及环评批复中提出的各项污染防治措施，各类污染物达标排放，符合环评批复要求。项目不涉及《污染影响类建设项目重大变动清单（试行）》</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（环办环评函[2020]688号）</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的</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十三条内容的存在重大变动</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格情形</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，以及</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不存在《建设项目竣工环境保护验收暂行办法》（以下简称《办法》）第八条规定的验收不合格情形，符合竣工环保验收条件</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w:t>
      </w:r>
    </w:p>
    <w:p>
      <w:pPr>
        <w:pStyle w:val="11"/>
        <w:keepNext w:val="0"/>
        <w:keepLines w:val="0"/>
        <w:pageBreakBefore w:val="0"/>
        <w:numPr>
          <w:ilvl w:val="0"/>
          <w:numId w:val="2"/>
        </w:numPr>
        <w:kinsoku/>
        <w:wordWrap/>
        <w:overflowPunct/>
        <w:topLinePunct w:val="0"/>
        <w:bidi w:val="0"/>
        <w:ind w:left="0" w:right="0" w:firstLine="562" w:firstLineChars="200"/>
        <w:textAlignment w:val="auto"/>
        <w:rPr>
          <w:rFonts w:ascii="Times New Roman" w:hAnsi="Times New Roman" w:eastAsia="仿宋"/>
          <w:b/>
          <w:bCs/>
          <w:color w:val="000000" w:themeColor="text1"/>
          <w:sz w:val="28"/>
          <w:szCs w:val="28"/>
          <w14:textFill>
            <w14:solidFill>
              <w14:schemeClr w14:val="tx1"/>
            </w14:solidFill>
          </w14:textFill>
        </w:rPr>
      </w:pPr>
      <w:r>
        <w:rPr>
          <w:rFonts w:hint="eastAsia" w:ascii="Times New Roman" w:hAnsi="Times New Roman" w:eastAsia="仿宋"/>
          <w:b/>
          <w:bCs/>
          <w:color w:val="000000" w:themeColor="text1"/>
          <w:sz w:val="28"/>
          <w:szCs w:val="28"/>
          <w14:textFill>
            <w14:solidFill>
              <w14:schemeClr w14:val="tx1"/>
            </w14:solidFill>
          </w14:textFill>
        </w:rPr>
        <w:t>验收组名单</w:t>
      </w:r>
    </w:p>
    <w:p>
      <w:pPr>
        <w:pStyle w:val="11"/>
        <w:keepNext w:val="0"/>
        <w:keepLines w:val="0"/>
        <w:pageBreakBefore w:val="0"/>
        <w:kinsoku/>
        <w:wordWrap/>
        <w:overflowPunct/>
        <w:topLinePunct w:val="0"/>
        <w:bidi w:val="0"/>
        <w:ind w:left="0" w:right="0" w:firstLine="560" w:firstLineChars="200"/>
        <w:textAlignment w:val="auto"/>
        <w:rPr>
          <w:rFonts w:ascii="Times New Roman" w:hAnsi="Times New Roman" w:eastAsia="仿宋"/>
          <w:color w:val="000000" w:themeColor="text1"/>
          <w:sz w:val="28"/>
          <w:szCs w:val="28"/>
          <w14:textFill>
            <w14:solidFill>
              <w14:schemeClr w14:val="tx1"/>
            </w14:solidFill>
          </w14:textFill>
        </w:rPr>
      </w:pPr>
      <w:r>
        <w:rPr>
          <w:rFonts w:hint="eastAsia" w:ascii="Times New Roman" w:hAnsi="Times New Roman" w:eastAsia="仿宋"/>
          <w:color w:val="000000" w:themeColor="text1"/>
          <w:sz w:val="28"/>
          <w:szCs w:val="28"/>
          <w14:textFill>
            <w14:solidFill>
              <w14:schemeClr w14:val="tx1"/>
            </w14:solidFill>
          </w14:textFill>
        </w:rPr>
        <w:t>验收组名单附后。</w:t>
      </w:r>
    </w:p>
    <w:p>
      <w:pPr>
        <w:keepNext w:val="0"/>
        <w:keepLines w:val="0"/>
        <w:pageBreakBefore w:val="0"/>
        <w:kinsoku/>
        <w:wordWrap/>
        <w:overflowPunct/>
        <w:topLinePunct w:val="0"/>
        <w:bidi w:val="0"/>
        <w:spacing w:line="360" w:lineRule="auto"/>
        <w:ind w:left="0" w:right="0" w:firstLine="560" w:firstLineChars="200"/>
        <w:jc w:val="right"/>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漳州明兴木业有限公司</w:t>
      </w:r>
    </w:p>
    <w:p>
      <w:pPr>
        <w:keepNext w:val="0"/>
        <w:keepLines w:val="0"/>
        <w:pageBreakBefore w:val="0"/>
        <w:kinsoku/>
        <w:wordWrap/>
        <w:overflowPunct/>
        <w:topLinePunct w:val="0"/>
        <w:bidi w:val="0"/>
        <w:spacing w:line="360" w:lineRule="auto"/>
        <w:ind w:left="0" w:right="0" w:firstLine="560" w:firstLineChars="200"/>
        <w:jc w:val="right"/>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sectPr>
          <w:footerReference r:id="rId3" w:type="default"/>
          <w:pgSz w:w="11906" w:h="16838"/>
          <w:pgMar w:top="1588" w:right="1474" w:bottom="1713" w:left="1474" w:header="851" w:footer="992" w:gutter="0"/>
          <w:cols w:space="720" w:num="1"/>
          <w:docGrid w:linePitch="312" w:charSpace="0"/>
        </w:sect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20</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21</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5</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月</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19日</w:t>
      </w:r>
    </w:p>
    <w:p>
      <w:pPr>
        <w:pStyle w:val="2"/>
        <w:rPr>
          <w:rFonts w:hint="eastAsia"/>
          <w:color w:val="0000FF"/>
          <w:lang w:eastAsia="zh-CN"/>
        </w:rPr>
      </w:pPr>
    </w:p>
    <w:p>
      <w:pPr>
        <w:pStyle w:val="2"/>
        <w:rPr>
          <w:rFonts w:hint="eastAsia"/>
          <w:lang w:val="en-US" w:eastAsia="zh-CN"/>
        </w:rPr>
        <w:sectPr>
          <w:footerReference r:id="rId4" w:type="default"/>
          <w:pgSz w:w="11907" w:h="16840"/>
          <w:pgMar w:top="1276" w:right="1134" w:bottom="1361" w:left="1417" w:header="992" w:footer="850" w:gutter="0"/>
          <w:pgBorders>
            <w:top w:val="none" w:sz="0" w:space="0"/>
            <w:left w:val="none" w:sz="0" w:space="0"/>
            <w:bottom w:val="none" w:sz="0" w:space="0"/>
            <w:right w:val="none" w:sz="0" w:space="0"/>
          </w:pgBorders>
          <w:cols w:space="720" w:num="1"/>
          <w:rtlGutter w:val="0"/>
          <w:docGrid w:linePitch="494" w:charSpace="0"/>
        </w:sectPr>
      </w:pPr>
      <w:r>
        <w:rPr>
          <w:rFonts w:hint="eastAsia"/>
          <w:lang w:val="en-US" w:eastAsia="zh-CN"/>
        </w:rPr>
        <w:drawing>
          <wp:inline distT="0" distB="0" distL="114300" distR="114300">
            <wp:extent cx="5306695" cy="7914005"/>
            <wp:effectExtent l="0" t="0" r="8255" b="10795"/>
            <wp:docPr id="78" name="图片 78" descr="4668854ae61463c6ed9fb11525808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4668854ae61463c6ed9fb115258081e"/>
                    <pic:cNvPicPr>
                      <a:picLocks noChangeAspect="1"/>
                    </pic:cNvPicPr>
                  </pic:nvPicPr>
                  <pic:blipFill>
                    <a:blip r:embed="rId6"/>
                    <a:srcRect l="6901" r="3691"/>
                    <a:stretch>
                      <a:fillRect/>
                    </a:stretch>
                  </pic:blipFill>
                  <pic:spPr>
                    <a:xfrm rot="10800000">
                      <a:off x="0" y="0"/>
                      <a:ext cx="5306695" cy="7914005"/>
                    </a:xfrm>
                    <a:prstGeom prst="rect">
                      <a:avLst/>
                    </a:prstGeom>
                  </pic:spPr>
                </pic:pic>
              </a:graphicData>
            </a:graphic>
          </wp:inline>
        </w:drawing>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3AC16"/>
    <w:multiLevelType w:val="singleLevel"/>
    <w:tmpl w:val="AA23AC16"/>
    <w:lvl w:ilvl="0" w:tentative="0">
      <w:start w:val="2"/>
      <w:numFmt w:val="chineseCounting"/>
      <w:lvlText w:val="(%1)"/>
      <w:lvlJc w:val="left"/>
      <w:pPr>
        <w:tabs>
          <w:tab w:val="left" w:pos="312"/>
        </w:tabs>
      </w:pPr>
      <w:rPr>
        <w:rFonts w:hint="eastAsia"/>
      </w:rPr>
    </w:lvl>
  </w:abstractNum>
  <w:abstractNum w:abstractNumId="1">
    <w:nsid w:val="AEFCD820"/>
    <w:multiLevelType w:val="singleLevel"/>
    <w:tmpl w:val="AEFCD820"/>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91F7A"/>
    <w:rsid w:val="5588130E"/>
    <w:rsid w:val="63291F7A"/>
    <w:rsid w:val="6B574E1F"/>
    <w:rsid w:val="7C767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ahoma" w:hAnsi="Tahoma" w:eastAsia="微软雅黑" w:cstheme="minorBidi"/>
      <w:sz w:val="22"/>
      <w:szCs w:val="22"/>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outlineLvl w:val="0"/>
    </w:pPr>
    <w:rPr>
      <w:rFonts w:asciiTheme="minorAscii" w:hAnsiTheme="minorAscii" w:eastAsiaTheme="minorEastAsia"/>
      <w:b/>
      <w:kern w:val="44"/>
      <w:sz w:val="30"/>
      <w:szCs w:val="22"/>
      <w:lang w:eastAsia="en-US"/>
    </w:rPr>
  </w:style>
  <w:style w:type="paragraph" w:styleId="5">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黑体"/>
      <w:b/>
      <w:sz w:val="28"/>
      <w:szCs w:val="22"/>
      <w:lang w:eastAsia="en-US"/>
    </w:rPr>
  </w:style>
  <w:style w:type="paragraph" w:styleId="6">
    <w:name w:val="heading 3"/>
    <w:basedOn w:val="1"/>
    <w:next w:val="1"/>
    <w:semiHidden/>
    <w:unhideWhenUsed/>
    <w:qFormat/>
    <w:uiPriority w:val="0"/>
    <w:pPr>
      <w:keepNext/>
      <w:keepLines/>
      <w:spacing w:beforeLines="0" w:beforeAutospacing="0" w:afterLines="0" w:afterAutospacing="0" w:line="360" w:lineRule="auto"/>
      <w:outlineLvl w:val="2"/>
    </w:pPr>
    <w:rPr>
      <w:rFonts w:asciiTheme="minorAscii" w:hAnsiTheme="minorAscii"/>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楷体_GB2312"/>
      <w:spacing w:val="-8"/>
      <w:sz w:val="24"/>
    </w:rPr>
  </w:style>
  <w:style w:type="paragraph" w:styleId="3">
    <w:name w:val="Note Heading"/>
    <w:basedOn w:val="1"/>
    <w:next w:val="1"/>
    <w:qFormat/>
    <w:uiPriority w:val="0"/>
    <w:pPr>
      <w:jc w:val="center"/>
    </w:pPr>
  </w:style>
  <w:style w:type="paragraph" w:styleId="7">
    <w:name w:val="footer"/>
    <w:basedOn w:val="1"/>
    <w:qFormat/>
    <w:uiPriority w:val="99"/>
    <w:pPr>
      <w:tabs>
        <w:tab w:val="center" w:pos="4153"/>
        <w:tab w:val="right" w:pos="8306"/>
      </w:tabs>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0正文"/>
    <w:basedOn w:val="1"/>
    <w:semiHidden/>
    <w:qFormat/>
    <w:uiPriority w:val="99"/>
    <w:pPr>
      <w:spacing w:line="360" w:lineRule="auto"/>
      <w:ind w:firstLine="720" w:firstLineChars="200"/>
    </w:pPr>
    <w:rPr>
      <w:sz w:val="24"/>
      <w:szCs w:val="24"/>
    </w:rPr>
  </w:style>
  <w:style w:type="paragraph" w:customStyle="1" w:styleId="12">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1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4">
    <w:name w:val="图图正文"/>
    <w:basedOn w:val="1"/>
    <w:qFormat/>
    <w:uiPriority w:val="0"/>
    <w:pPr>
      <w:widowControl w:val="0"/>
      <w:spacing w:line="360" w:lineRule="auto"/>
      <w:ind w:firstLine="200" w:firstLineChars="200"/>
      <w:jc w:val="both"/>
    </w:pPr>
    <w:rPr>
      <w:kern w:val="2"/>
      <w:sz w:val="24"/>
      <w:szCs w:val="24"/>
    </w:rPr>
  </w:style>
  <w:style w:type="paragraph" w:customStyle="1" w:styleId="15">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2021-07-28T08:44:00Z</dcterms:created>
  <dc:creator>阿三</dc:creator>
  <cp:lastModifiedBy>阿三</cp:lastModifiedBy>
  <dcterms:modified xsi:type="dcterms:W3CDTF">2021-07-28T08:44:42Z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900AA13E5AFD4BBCA874F4F7362EC58F</vt:lpwstr>
  </property>
</Properties>
</file>