
<file path=[Content_Types].xml><?xml version="1.0" encoding="utf-8"?>
<Types xmlns="http://schemas.openxmlformats.org/package/2006/content-types">
  <Default Extension="xml" ContentType="application/xml"/>
  <Default Extension="wmf" ContentType="image/x-wmf"/>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Times New Roman" w:hAnsi="Times New Roman" w:eastAsia="宋体" w:cs="Times New Roman"/>
          <w:b/>
          <w:color w:val="000000" w:themeColor="text1"/>
          <w:sz w:val="44"/>
          <w:szCs w:val="44"/>
          <w14:textFill>
            <w14:solidFill>
              <w14:schemeClr w14:val="tx1"/>
            </w14:solidFill>
          </w14:textFill>
        </w:rPr>
      </w:pPr>
      <w:bookmarkStart w:id="0" w:name="项目名称"/>
    </w:p>
    <w:p>
      <w:pPr>
        <w:pStyle w:val="3"/>
        <w:rPr>
          <w:rFonts w:hint="eastAsia"/>
          <w:color w:val="000000" w:themeColor="text1"/>
          <w14:textFill>
            <w14:solidFill>
              <w14:schemeClr w14:val="tx1"/>
            </w14:solidFill>
          </w14:textFill>
        </w:rPr>
      </w:pPr>
    </w:p>
    <w:bookmarkEnd w:id="0"/>
    <w:p>
      <w:pPr>
        <w:spacing w:line="360" w:lineRule="auto"/>
        <w:jc w:val="center"/>
        <w:rPr>
          <w:rFonts w:ascii="Times New Roman" w:hAnsi="Times New Roman" w:eastAsia="宋体" w:cs="Times New Roman"/>
          <w:b/>
          <w:color w:val="000000" w:themeColor="text1"/>
          <w:sz w:val="44"/>
          <w:szCs w:val="44"/>
          <w14:textFill>
            <w14:solidFill>
              <w14:schemeClr w14:val="tx1"/>
            </w14:solidFill>
          </w14:textFill>
        </w:rPr>
      </w:pPr>
      <w:r>
        <w:rPr>
          <w:rFonts w:hint="eastAsia" w:ascii="Times New Roman" w:hAnsi="Times New Roman" w:eastAsia="宋体" w:cs="Times New Roman"/>
          <w:b/>
          <w:color w:val="000000" w:themeColor="text1"/>
          <w:sz w:val="44"/>
          <w:szCs w:val="44"/>
          <w:lang w:eastAsia="zh-CN"/>
          <w14:textFill>
            <w14:solidFill>
              <w14:schemeClr w14:val="tx1"/>
            </w14:solidFill>
          </w14:textFill>
        </w:rPr>
        <w:t>华安溪源宏建材有限公司建筑废渣及废土方回收利用项目</w:t>
      </w:r>
      <w:r>
        <w:rPr>
          <w:rFonts w:hint="eastAsia" w:ascii="Times New Roman" w:hAnsi="Times New Roman" w:eastAsia="宋体" w:cs="Times New Roman"/>
          <w:b/>
          <w:color w:val="000000" w:themeColor="text1"/>
          <w:sz w:val="44"/>
          <w:szCs w:val="44"/>
          <w:lang w:val="en-US" w:eastAsia="zh-CN"/>
          <w14:textFill>
            <w14:solidFill>
              <w14:schemeClr w14:val="tx1"/>
            </w14:solidFill>
          </w14:textFill>
        </w:rPr>
        <w:t>阶段性</w:t>
      </w:r>
      <w:r>
        <w:rPr>
          <w:rFonts w:ascii="Times New Roman" w:hAnsi="Times New Roman" w:eastAsia="宋体" w:cs="Times New Roman"/>
          <w:b/>
          <w:color w:val="000000" w:themeColor="text1"/>
          <w:sz w:val="44"/>
          <w:szCs w:val="44"/>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4"/>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14:textFill>
            <w14:solidFill>
              <w14:schemeClr w14:val="tx1"/>
            </w14:solidFill>
          </w14:textFill>
        </w:rPr>
      </w:pPr>
    </w:p>
    <w:p>
      <w:pPr>
        <w:pStyle w:val="24"/>
        <w:ind w:firstLine="164"/>
        <w:rPr>
          <w:rFonts w:ascii="Times New Roman" w:hAnsi="Times New Roman" w:eastAsia="宋体" w:cs="Times New Roman"/>
          <w:color w:val="000000" w:themeColor="text1"/>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华安溪源宏建材贸易有限公司</w:t>
      </w:r>
    </w:p>
    <w:p>
      <w:pPr>
        <w:jc w:val="cente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华安溪源宏建材贸易有限公司</w:t>
      </w: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pStyle w:val="37"/>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1</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06</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FF"/>
          <w:sz w:val="28"/>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eastAsia" w:ascii="Times New Roman" w:hAnsi="Times New Roman" w:eastAsia="宋体" w:cs="Times New Roman"/>
          <w:bCs/>
          <w:color w:val="000000" w:themeColor="text1"/>
          <w:sz w:val="28"/>
          <w14:textFill>
            <w14:solidFill>
              <w14:schemeClr w14:val="tx1"/>
            </w14:solidFill>
          </w14:textFill>
        </w:rPr>
        <w:t>吴金桃</w:t>
      </w: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eastAsia" w:ascii="Times New Roman" w:hAnsi="Times New Roman" w:eastAsia="宋体" w:cs="Times New Roman"/>
          <w:bCs/>
          <w:color w:val="000000" w:themeColor="text1"/>
          <w:sz w:val="28"/>
          <w14:textFill>
            <w14:solidFill>
              <w14:schemeClr w14:val="tx1"/>
            </w14:solidFill>
          </w14:textFill>
        </w:rPr>
        <w:t>吴金桃</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r>
        <w:rPr>
          <w:rFonts w:hint="eastAsia" w:ascii="Times New Roman" w:hAnsi="Times New Roman" w:eastAsia="宋体" w:cs="Times New Roman"/>
          <w:bCs/>
          <w:color w:val="000000" w:themeColor="text1"/>
          <w:sz w:val="28"/>
          <w14:textFill>
            <w14:solidFill>
              <w14:schemeClr w14:val="tx1"/>
            </w14:solidFill>
          </w14:textFill>
        </w:rPr>
        <w:t>郑河根</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r>
        <w:rPr>
          <w:rFonts w:hint="eastAsia" w:ascii="Times New Roman" w:hAnsi="Times New Roman" w:eastAsia="宋体" w:cs="Times New Roman"/>
          <w:bCs/>
          <w:color w:val="000000" w:themeColor="text1"/>
          <w:sz w:val="28"/>
          <w14:textFill>
            <w14:solidFill>
              <w14:schemeClr w14:val="tx1"/>
            </w14:solidFill>
          </w14:textFill>
        </w:rPr>
        <w:t>郑河根</w:t>
      </w:r>
    </w:p>
    <w:p>
      <w:pPr>
        <w:spacing w:line="360" w:lineRule="auto"/>
        <w:rPr>
          <w:rFonts w:ascii="Times New Roman" w:hAnsi="Times New Roman" w:eastAsia="宋体" w:cs="Times New Roman"/>
          <w:color w:val="000000" w:themeColor="text1"/>
          <w:sz w:val="28"/>
          <w14:textFill>
            <w14:solidFill>
              <w14:schemeClr w14:val="tx1"/>
            </w14:solidFill>
          </w14:textFill>
        </w:rPr>
      </w:pPr>
      <w:r>
        <w:rPr>
          <w:rFonts w:ascii="Times New Roman" w:hAnsi="Times New Roman" w:eastAsia="宋体" w:cs="Times New Roman"/>
          <w:color w:val="000000" w:themeColor="text1"/>
          <w:sz w:val="28"/>
          <w14:textFill>
            <w14:solidFill>
              <w14:schemeClr w14:val="tx1"/>
            </w14:solidFill>
          </w14:textFill>
        </w:rPr>
        <w:tab/>
      </w: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pStyle w:val="25"/>
        <w:rPr>
          <w:rFonts w:ascii="Times New Roman" w:hAnsi="Times New Roman" w:eastAsia="宋体" w:cs="Times New Roman"/>
          <w:color w:val="000000" w:themeColor="text1"/>
          <w:sz w:val="28"/>
          <w14:textFill>
            <w14:solidFill>
              <w14:schemeClr w14:val="tx1"/>
            </w14:solidFill>
          </w14:textFill>
        </w:rPr>
      </w:pPr>
    </w:p>
    <w:p>
      <w:pPr>
        <w:spacing w:line="360" w:lineRule="auto"/>
        <w:rPr>
          <w:rFonts w:ascii="Times New Roman" w:hAnsi="Times New Roman" w:eastAsia="宋体" w:cs="Times New Roman"/>
          <w:color w:val="000000" w:themeColor="text1"/>
          <w:sz w:val="28"/>
          <w14:textFill>
            <w14:solidFill>
              <w14:schemeClr w14:val="tx1"/>
            </w14:solidFill>
          </w14:textFill>
        </w:rPr>
      </w:pPr>
    </w:p>
    <w:tbl>
      <w:tblPr>
        <w:tblStyle w:val="27"/>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华安溪源宏建材贸易有限公司</w:t>
            </w:r>
          </w:p>
        </w:tc>
        <w:tc>
          <w:tcPr>
            <w:tcW w:w="47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华安溪源宏建材贸易有限公司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电话:13906942255</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电话:13906942255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邮编:363801</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漳州市华安经济开发区九龙工业园</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漳州市华安经济开发区九龙工业园</w:t>
            </w:r>
          </w:p>
        </w:tc>
      </w:tr>
    </w:tbl>
    <w:p>
      <w:pPr>
        <w:jc w:val="center"/>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tbl>
      <w:tblPr>
        <w:tblStyle w:val="26"/>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华安溪源宏建材有限公司建筑废渣及废土方回收利用项目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华安溪源宏建材贸易有限公司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漳州市华安经济开发区九龙工业园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建筑材料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年产机制砂9.5万立方、水洗泥5万吨、碎石4.5万立方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年产碎石4.5万立方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建设项目环评时间</w:t>
            </w:r>
          </w:p>
        </w:tc>
        <w:tc>
          <w:tcPr>
            <w:tcW w:w="2441" w:type="dxa"/>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2019年11月</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开工建设时间</w:t>
            </w:r>
          </w:p>
        </w:tc>
        <w:tc>
          <w:tcPr>
            <w:tcW w:w="3073" w:type="dxa"/>
            <w:gridSpan w:val="3"/>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2020年1月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竣工时间</w:t>
            </w:r>
          </w:p>
        </w:tc>
        <w:tc>
          <w:tcPr>
            <w:tcW w:w="2441"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2020年12月</w:t>
            </w:r>
          </w:p>
        </w:tc>
        <w:tc>
          <w:tcPr>
            <w:tcW w:w="17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验收现场监测</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时间</w:t>
            </w:r>
          </w:p>
        </w:tc>
        <w:tc>
          <w:tcPr>
            <w:tcW w:w="3073" w:type="dxa"/>
            <w:gridSpan w:val="3"/>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auto"/>
                <w:sz w:val="21"/>
                <w:szCs w:val="21"/>
                <w:lang w:eastAsia="zh-CN"/>
              </w:rPr>
              <w:t>2021年5月21日至2021年5月22日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6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漳州市华安生态环境局</w:t>
            </w:r>
          </w:p>
        </w:tc>
        <w:tc>
          <w:tcPr>
            <w:tcW w:w="17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漳州华晟环保科技有限公司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9"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自建</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环保设施施工</w:t>
            </w:r>
          </w:p>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1200万元</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20万元</w:t>
            </w:r>
          </w:p>
        </w:tc>
        <w:tc>
          <w:tcPr>
            <w:tcW w:w="76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1200万元</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20万元</w:t>
            </w:r>
          </w:p>
        </w:tc>
        <w:tc>
          <w:tcPr>
            <w:tcW w:w="76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1、《建设项目竣工环境保护验收暂行办法》国环规环评【2017】4号；</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2018</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修订</w:t>
            </w:r>
            <w:r>
              <w:rPr>
                <w:rFonts w:ascii="Times New Roman" w:hAnsi="Times New Roman" w:eastAsia="宋体" w:cs="Times New Roman"/>
                <w:color w:val="000000" w:themeColor="text1"/>
                <w:sz w:val="21"/>
                <w:szCs w:val="21"/>
                <w14:textFill>
                  <w14:solidFill>
                    <w14:schemeClr w14:val="tx1"/>
                  </w14:solidFill>
                </w14:textFill>
              </w:rPr>
              <w:t>；</w:t>
            </w:r>
          </w:p>
          <w:p>
            <w:pPr>
              <w:pStyle w:val="13"/>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《中华人民共和国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ascii="Times New Roman" w:hAnsi="Times New Roman" w:eastAsia="宋体" w:cs="Times New Roman"/>
                <w:color w:val="000000" w:themeColor="text1"/>
                <w:sz w:val="21"/>
                <w:szCs w:val="21"/>
                <w14:textFill>
                  <w14:solidFill>
                    <w14:schemeClr w14:val="tx1"/>
                  </w14:solidFill>
                </w14:textFill>
              </w:rPr>
              <w:t>污染防治法》，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2017</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、《产业结构调整指导目录（201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年本）》（201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 xml:space="preserve"> 年修正）；</w:t>
            </w:r>
          </w:p>
          <w:p>
            <w:pPr>
              <w:ind w:left="420" w:hanging="420" w:hangingChars="20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、《福建</w:t>
            </w:r>
            <w:r>
              <w:rPr>
                <w:rFonts w:hint="eastAsia" w:ascii="Times New Roman" w:hAnsi="Times New Roman" w:eastAsia="宋体" w:cs="Times New Roman"/>
                <w:color w:val="000000" w:themeColor="text1"/>
                <w:sz w:val="21"/>
                <w:szCs w:val="21"/>
                <w14:textFill>
                  <w14:solidFill>
                    <w14:schemeClr w14:val="tx1"/>
                  </w14:solidFill>
                </w14:textFill>
              </w:rPr>
              <w:t>省环境保护条例》，2012 年3 月31 日实施。</w:t>
            </w:r>
          </w:p>
          <w:p>
            <w:pPr>
              <w:ind w:left="420" w:hanging="420" w:hangingChars="200"/>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华安溪源宏建材有限公司建筑废渣及废土方回收利用项目</w:t>
            </w:r>
            <w:r>
              <w:rPr>
                <w:rFonts w:hint="eastAsia" w:ascii="Times New Roman" w:hAnsi="Times New Roman" w:eastAsia="宋体" w:cs="Times New Roman"/>
                <w:color w:val="000000" w:themeColor="text1"/>
                <w:sz w:val="21"/>
                <w:szCs w:val="21"/>
                <w14:textFill>
                  <w14:solidFill>
                    <w14:schemeClr w14:val="tx1"/>
                  </w14:solidFill>
                </w14:textFill>
              </w:rPr>
              <w:t>环境影响报告表》；</w:t>
            </w:r>
          </w:p>
          <w:p>
            <w:pPr>
              <w:ind w:left="420" w:hanging="420" w:hangingChars="200"/>
              <w:rPr>
                <w:rFonts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漳州市华安生态环境局</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华安溪源宏建材有限公司建筑废渣及废土方回收利用项目</w:t>
            </w:r>
            <w:r>
              <w:rPr>
                <w:rFonts w:hint="eastAsia"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0" w:hRule="atLeast"/>
        </w:trPr>
        <w:tc>
          <w:tcPr>
            <w:tcW w:w="1655"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7269" w:type="dxa"/>
            <w:gridSpan w:val="5"/>
            <w:vAlign w:val="center"/>
          </w:tcPr>
          <w:p>
            <w:pPr>
              <w:pStyle w:val="25"/>
              <w:numPr>
                <w:ilvl w:val="0"/>
                <w:numId w:val="1"/>
              </w:numPr>
              <w:spacing w:after="60" w:line="240" w:lineRule="auto"/>
              <w:ind w:left="20" w:leftChars="0" w:firstLineChars="0"/>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《污水综合排放标准》（GB8978-96）表4 三级标准，即：pH：6-9、化学需氧量：500mg/L、五日化学需氧量：300mg/L、氨氮：45mg/L、悬浮物：400mg/L</w:t>
            </w:r>
            <w:bookmarkStart w:id="9" w:name="_GoBack"/>
            <w:bookmarkEnd w:id="9"/>
          </w:p>
          <w:p>
            <w:pPr>
              <w:pStyle w:val="25"/>
              <w:numPr>
                <w:ilvl w:val="0"/>
                <w:numId w:val="1"/>
              </w:numPr>
              <w:spacing w:after="60" w:line="240" w:lineRule="auto"/>
              <w:ind w:left="20" w:leftChars="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GB16297-1996）表2标准；即：无组织颗粒物</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p>
            <w:pPr>
              <w:pStyle w:val="25"/>
              <w:numPr>
                <w:ilvl w:val="0"/>
                <w:numId w:val="0"/>
              </w:numPr>
              <w:spacing w:after="60" w:line="240" w:lineRule="auto"/>
              <w:ind w:firstLine="420" w:firstLineChars="20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《工业企业厂界环境噪声排放标准》</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GB12348-2008</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类区标准</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，即昼间：65dB（A）；夜间55dB（A）</w:t>
            </w:r>
          </w:p>
        </w:tc>
      </w:tr>
    </w:tbl>
    <w:p>
      <w:pPr>
        <w:outlineLvl w:val="0"/>
        <w:rPr>
          <w:rFonts w:ascii="Times New Roman" w:hAnsi="Times New Roman" w:eastAsia="宋体" w:cs="Times New Roman"/>
          <w:color w:val="000000" w:themeColor="text1"/>
          <w:sz w:val="21"/>
          <w:szCs w:val="21"/>
          <w14:textFill>
            <w14:solidFill>
              <w14:schemeClr w14:val="tx1"/>
            </w14:solidFill>
          </w14:textFill>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r>
        <w:rPr>
          <w:rFonts w:ascii="Times New Roman" w:hAnsi="Times New Roman" w:eastAsia="宋体" w:cs="Times New Roman"/>
          <w:b/>
          <w:color w:val="000000" w:themeColor="text1"/>
          <w:sz w:val="21"/>
          <w:szCs w:val="21"/>
          <w14:textFill>
            <w14:solidFill>
              <w14:schemeClr w14:val="tx1"/>
            </w14:solidFill>
          </w14:textFill>
        </w:rPr>
        <w:t>表一</w:t>
      </w: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13"/>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华安溪源宏建材贸易有限公司</w:t>
            </w:r>
            <w:r>
              <w:rPr>
                <w:rFonts w:hint="default" w:ascii="Times New Roman" w:hAnsi="Times New Roman" w:eastAsia="宋体" w:cs="Times New Roman"/>
                <w:color w:val="000000" w:themeColor="text1"/>
                <w:sz w:val="24"/>
                <w:szCs w:val="24"/>
                <w14:textFill>
                  <w14:solidFill>
                    <w14:schemeClr w14:val="tx1"/>
                  </w14:solidFill>
                </w14:textFill>
              </w:rPr>
              <w:t>投资</w:t>
            </w:r>
            <w:r>
              <w:rPr>
                <w:rFonts w:hint="eastAsia" w:ascii="Times New Roman" w:hAnsi="Times New Roman" w:eastAsia="宋体" w:cs="Times New Roman"/>
                <w:color w:val="000000" w:themeColor="text1"/>
                <w:sz w:val="24"/>
                <w:szCs w:val="24"/>
                <w:lang w:eastAsia="zh-CN"/>
                <w14:textFill>
                  <w14:solidFill>
                    <w14:schemeClr w14:val="tx1"/>
                  </w14:solidFill>
                </w14:textFill>
              </w:rPr>
              <w:t>1200万元</w:t>
            </w:r>
            <w:r>
              <w:rPr>
                <w:rFonts w:hint="default" w:ascii="Times New Roman" w:hAnsi="Times New Roman" w:eastAsia="宋体" w:cs="Times New Roman"/>
                <w:color w:val="000000" w:themeColor="text1"/>
                <w:sz w:val="24"/>
                <w:szCs w:val="24"/>
                <w:lang w:eastAsia="zh-CN"/>
                <w14:textFill>
                  <w14:solidFill>
                    <w14:schemeClr w14:val="tx1"/>
                  </w14:solidFill>
                </w14:textFill>
              </w:rPr>
              <w:t>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漳州市华安经济开发区九龙工业园</w:t>
            </w:r>
            <w:r>
              <w:rPr>
                <w:rFonts w:hint="default" w:ascii="Times New Roman" w:hAnsi="Times New Roman" w:eastAsia="宋体" w:cs="Times New Roman"/>
                <w:color w:val="000000" w:themeColor="text1"/>
                <w:sz w:val="24"/>
                <w:szCs w:val="24"/>
                <w:lang w:eastAsia="zh-CN"/>
                <w14:textFill>
                  <w14:solidFill>
                    <w14:schemeClr w14:val="tx1"/>
                  </w14:solidFill>
                </w14:textFill>
              </w:rPr>
              <w:t>建设</w:t>
            </w:r>
            <w:r>
              <w:rPr>
                <w:rFonts w:hint="eastAsia" w:ascii="Times New Roman" w:hAnsi="Times New Roman" w:eastAsia="宋体" w:cs="Times New Roman"/>
                <w:color w:val="000000" w:themeColor="text1"/>
                <w:sz w:val="24"/>
                <w:szCs w:val="24"/>
                <w:lang w:eastAsia="zh-CN"/>
                <w14:textFill>
                  <w14:solidFill>
                    <w14:schemeClr w14:val="tx1"/>
                  </w14:solidFill>
                </w14:textFill>
              </w:rPr>
              <w:t>华安溪源宏建材有限公司建筑废渣及废土方回收利用项目</w:t>
            </w:r>
            <w:r>
              <w:rPr>
                <w:rFonts w:hint="default" w:ascii="Times New Roman" w:hAnsi="Times New Roman" w:eastAsia="宋体" w:cs="Times New Roman"/>
                <w:color w:val="000000" w:themeColor="text1"/>
                <w:sz w:val="24"/>
                <w:szCs w:val="24"/>
                <w:lang w:eastAsia="zh-CN"/>
                <w14:textFill>
                  <w14:solidFill>
                    <w14:schemeClr w14:val="tx1"/>
                  </w14:solidFill>
                </w14:textFill>
              </w:rPr>
              <w:t>，主要从事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建筑材料</w:t>
            </w:r>
            <w:r>
              <w:rPr>
                <w:rFonts w:hint="default" w:ascii="Times New Roman" w:hAnsi="Times New Roman" w:eastAsia="宋体" w:cs="Times New Roman"/>
                <w:color w:val="000000" w:themeColor="text1"/>
                <w:sz w:val="24"/>
                <w:szCs w:val="24"/>
                <w:lang w:eastAsia="zh-CN"/>
                <w14:textFill>
                  <w14:solidFill>
                    <w14:schemeClr w14:val="tx1"/>
                  </w14:solidFill>
                </w14:textFill>
              </w:rPr>
              <w:t>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租用</w:t>
            </w:r>
            <w:r>
              <w:rPr>
                <w:rFonts w:hint="eastAsia" w:ascii="Times New Roman" w:hAnsi="Times New Roman" w:eastAsia="宋体" w:cs="Times New Roman"/>
                <w:color w:val="000000" w:themeColor="text1"/>
                <w:sz w:val="24"/>
                <w:szCs w:val="24"/>
                <w:lang w:eastAsia="zh-CN"/>
                <w14:textFill>
                  <w14:solidFill>
                    <w14:schemeClr w14:val="tx1"/>
                  </w14:solidFill>
                </w14:textFill>
              </w:rPr>
              <w:t>华安正兴车轮有限公司占地面积5000平方米，建筑面积5000平方米，年产机制砂9.5万立方、水洗泥5万吨、碎石4.5万立方。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华安溪源宏建材贸易有限公司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需进行环境影响评价。</w:t>
            </w:r>
            <w:r>
              <w:rPr>
                <w:rFonts w:hint="eastAsia" w:ascii="Times New Roman" w:hAnsi="Times New Roman" w:eastAsia="宋体" w:cs="Times New Roman"/>
                <w:color w:val="000000" w:themeColor="text1"/>
                <w:sz w:val="24"/>
                <w:szCs w:val="24"/>
                <w:lang w:eastAsia="zh-CN"/>
                <w14:textFill>
                  <w14:solidFill>
                    <w14:schemeClr w14:val="tx1"/>
                  </w14:solidFill>
                </w14:textFill>
              </w:rPr>
              <w:t>于2019年11月委托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漳州华晟环保科技有限公司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编制完成《华安溪源宏建材有限公司建筑废渣及废土方回收利用项目环境影响报告表》，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并于2019年12月12日通过漳州市华安生态环境局审批，审批编号为：漳华环审【2019】57号。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本项目实际总投资</w:t>
            </w:r>
            <w:r>
              <w:rPr>
                <w:rFonts w:hint="eastAsia" w:ascii="Times New Roman" w:hAnsi="Times New Roman" w:eastAsia="宋体" w:cs="Times New Roman"/>
                <w:color w:val="000000" w:themeColor="text1"/>
                <w:sz w:val="24"/>
                <w:szCs w:val="24"/>
                <w:lang w:eastAsia="zh-CN"/>
                <w14:textFill>
                  <w14:solidFill>
                    <w14:schemeClr w14:val="tx1"/>
                  </w14:solidFill>
                </w14:textFill>
              </w:rPr>
              <w:t>1200万元</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，其中环保投资20万元。实际生产能力为年产碎石4.5万立方，实际员工数量为12人，年工作天数300天，每天工作16小时。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本项目四周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为：北侧为空地，西侧和南侧均为施工场地，西侧350m</w:t>
            </w:r>
            <w:r>
              <w:rPr>
                <w:rFonts w:hint="eastAsia" w:ascii="Times New Roman" w:hAnsi="Times New Roman" w:eastAsia="宋体" w:cs="Times New Roman"/>
                <w:color w:val="000000" w:themeColor="text1"/>
                <w:sz w:val="24"/>
                <w:szCs w:val="24"/>
                <w:lang w:eastAsia="zh-CN"/>
                <w14:textFill>
                  <w14:solidFill>
                    <w14:schemeClr w14:val="tx1"/>
                  </w14:solidFill>
                </w14:textFill>
              </w:rPr>
              <w:t>处为华安兴源房地产开发有限公司开发的商住区的施工场地，南侧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260m处为正兴学校，东侧隔正兴车轮的厂区道路为圣王大道。</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本项目于2020年1月开工建设，2020年12月生产车间2竣工，建成随时生产线，并已投入试生产；生产车间1-机制砂生产线尚未建成。根据《建设项目环境保护管理条例》和《建设项目竣</w:t>
            </w:r>
            <w:r>
              <w:rPr>
                <w:rFonts w:ascii="Times New Roman" w:hAnsi="Times New Roman" w:eastAsia="宋体" w:cs="Times New Roman"/>
                <w:color w:val="000000" w:themeColor="text1"/>
                <w:sz w:val="24"/>
                <w:szCs w:val="24"/>
                <w14:textFill>
                  <w14:solidFill>
                    <w14:schemeClr w14:val="tx1"/>
                  </w14:solidFill>
                </w14:textFill>
              </w:rPr>
              <w:t>工环境保护验收技术指南污染影响类》等法律法规文件的要求，公司依据国家有关法规文件、技术标准及经审批后的本项目环</w:t>
            </w:r>
            <w:r>
              <w:rPr>
                <w:rFonts w:ascii="Times New Roman" w:hAnsi="Times New Roman" w:eastAsia="宋体" w:cs="Times New Roman"/>
                <w:color w:val="auto"/>
                <w:sz w:val="24"/>
                <w:szCs w:val="24"/>
              </w:rPr>
              <w:t>境影响报告表并结合现场实际情况制</w:t>
            </w:r>
            <w:r>
              <w:rPr>
                <w:rFonts w:ascii="Times New Roman" w:hAnsi="Times New Roman" w:eastAsia="宋体" w:cs="Times New Roman"/>
                <w:color w:val="000000" w:themeColor="text1"/>
                <w:sz w:val="24"/>
                <w:szCs w:val="24"/>
                <w14:textFill>
                  <w14:solidFill>
                    <w14:schemeClr w14:val="tx1"/>
                  </w14:solidFill>
                </w14:textFill>
              </w:rPr>
              <w:t>定了本项目的环境保护验收监测方案，并于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2021年5月21日至2021年5月22日</w:t>
            </w:r>
            <w:r>
              <w:rPr>
                <w:rFonts w:ascii="Times New Roman" w:hAnsi="Times New Roman" w:eastAsia="宋体" w:cs="Times New Roman"/>
                <w:color w:val="000000" w:themeColor="text1"/>
                <w:sz w:val="24"/>
                <w:szCs w:val="24"/>
                <w14:textFill>
                  <w14:solidFill>
                    <w14:schemeClr w14:val="tx1"/>
                  </w14:solidFill>
                </w14:textFill>
              </w:rPr>
              <w:t>委托</w:t>
            </w:r>
            <w:r>
              <w:rPr>
                <w:rFonts w:hint="eastAsia" w:ascii="Times New Roman" w:hAnsi="Times New Roman" w:eastAsia="宋体" w:cs="Times New Roman"/>
                <w:color w:val="000000" w:themeColor="text1"/>
                <w:sz w:val="24"/>
                <w:szCs w:val="24"/>
                <w:lang w:eastAsia="zh-CN"/>
                <w14:textFill>
                  <w14:solidFill>
                    <w14:schemeClr w14:val="tx1"/>
                  </w14:solidFill>
                </w14:textFill>
              </w:rPr>
              <w:t>福建恒信环保安全技术有限公司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w:t>
            </w:r>
            <w:r>
              <w:rPr>
                <w:rFonts w:ascii="Times New Roman" w:hAnsi="Times New Roman" w:eastAsia="宋体" w:cs="Times New Roman"/>
                <w:color w:val="000000" w:themeColor="text1"/>
                <w:sz w:val="24"/>
                <w:szCs w:val="24"/>
                <w14:textFill>
                  <w14:solidFill>
                    <w14:schemeClr w14:val="tx1"/>
                  </w14:solidFill>
                </w14:textFill>
              </w:rPr>
              <w:t>本项目开展竣工环境保护验收监测，根据现场监测情况、样品监测分析结果及现场调查情况，编制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ascii="Times New Roman" w:hAnsi="Times New Roman" w:eastAsia="宋体" w:cs="Times New Roman"/>
                <w:color w:val="000000" w:themeColor="text1"/>
                <w:sz w:val="24"/>
                <w:szCs w:val="24"/>
                <w14:textFill>
                  <w14:solidFill>
                    <w14:schemeClr w14:val="tx1"/>
                  </w14:solidFill>
                </w14:textFill>
              </w:rPr>
              <w:t>验收监测报告表。</w:t>
            </w: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具体建设内容见下表</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5"/>
              <w:widowControl w:val="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表2-1 </w:t>
            </w:r>
            <w:r>
              <w:rPr>
                <w:rFonts w:ascii="Times New Roman" w:hAnsi="Times New Roman" w:eastAsia="宋体" w:cs="Times New Roman"/>
                <w:b/>
                <w:bCs/>
                <w:color w:val="000000" w:themeColor="text1"/>
                <w:sz w:val="21"/>
                <w:szCs w:val="21"/>
                <w14:textFill>
                  <w14:solidFill>
                    <w14:schemeClr w14:val="tx1"/>
                  </w14:solidFill>
                </w14:textFill>
              </w:rPr>
              <w:t>项目建设内容</w:t>
            </w:r>
            <w:r>
              <w:rPr>
                <w:rFonts w:hint="eastAsia" w:ascii="Times New Roman" w:hAnsi="Times New Roman" w:eastAsia="宋体" w:cs="Times New Roman"/>
                <w:b/>
                <w:bCs/>
                <w:color w:val="000000" w:themeColor="text1"/>
                <w:sz w:val="21"/>
                <w:szCs w:val="21"/>
                <w14:textFill>
                  <w14:solidFill>
                    <w14:schemeClr w14:val="tx1"/>
                  </w14:solidFill>
                </w14:textFill>
              </w:rPr>
              <w:t>一览表</w:t>
            </w:r>
          </w:p>
          <w:tbl>
            <w:tblPr>
              <w:tblStyle w:val="26"/>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30"/>
              <w:gridCol w:w="5040"/>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36"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工程类别</w:t>
                  </w:r>
                </w:p>
              </w:tc>
              <w:tc>
                <w:tcPr>
                  <w:tcW w:w="930"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组成</w:t>
                  </w:r>
                </w:p>
              </w:tc>
              <w:tc>
                <w:tcPr>
                  <w:tcW w:w="5040" w:type="dxa"/>
                  <w:noWrap w:val="0"/>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建设内容</w:t>
                  </w:r>
                </w:p>
              </w:tc>
              <w:tc>
                <w:tcPr>
                  <w:tcW w:w="1331" w:type="dxa"/>
                  <w:noWrap w:val="0"/>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236" w:type="dxa"/>
                  <w:vMerge w:val="restar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主体工程</w:t>
                  </w:r>
                </w:p>
              </w:tc>
              <w:tc>
                <w:tcPr>
                  <w:tcW w:w="930" w:type="dxa"/>
                  <w:noWrap w:val="0"/>
                  <w:vAlign w:val="center"/>
                </w:tcPr>
                <w:p>
                  <w:pPr>
                    <w:pStyle w:val="54"/>
                    <w:rPr>
                      <w:rFonts w:hint="default" w:ascii="Times New Roman" w:hAnsi="Times New Roman" w:eastAsia="宋体" w:cs="Times New Roman"/>
                      <w:bCs w:val="0"/>
                      <w:sz w:val="21"/>
                      <w:szCs w:val="21"/>
                      <w:highlight w:val="none"/>
                    </w:rPr>
                  </w:pPr>
                  <w:r>
                    <w:rPr>
                      <w:rFonts w:hint="default" w:ascii="Times New Roman" w:hAnsi="Times New Roman" w:eastAsia="宋体" w:cs="Times New Roman"/>
                      <w:bCs w:val="0"/>
                      <w:sz w:val="21"/>
                      <w:szCs w:val="21"/>
                      <w:highlight w:val="none"/>
                    </w:rPr>
                    <w:t>生产车间1</w:t>
                  </w:r>
                </w:p>
              </w:tc>
              <w:tc>
                <w:tcPr>
                  <w:tcW w:w="5040" w:type="dxa"/>
                  <w:noWrap w:val="0"/>
                  <w:vAlign w:val="center"/>
                </w:tcPr>
                <w:p>
                  <w:pPr>
                    <w:pStyle w:val="54"/>
                    <w:rPr>
                      <w:rFonts w:hint="default" w:ascii="Times New Roman" w:hAnsi="Times New Roman" w:eastAsia="宋体" w:cs="Times New Roman"/>
                      <w:bCs w:val="0"/>
                      <w:sz w:val="21"/>
                      <w:szCs w:val="21"/>
                      <w:highlight w:val="none"/>
                    </w:rPr>
                  </w:pPr>
                  <w:r>
                    <w:rPr>
                      <w:rFonts w:hint="default" w:ascii="Times New Roman" w:hAnsi="Times New Roman" w:eastAsia="宋体" w:cs="Times New Roman"/>
                      <w:sz w:val="21"/>
                      <w:szCs w:val="21"/>
                      <w:highlight w:val="none"/>
                    </w:rPr>
                    <w:t>一栋单层钢结构厂房，建筑面积约</w:t>
                  </w:r>
                  <w:r>
                    <w:rPr>
                      <w:rFonts w:hint="default" w:ascii="Times New Roman" w:hAnsi="Times New Roman" w:eastAsia="宋体" w:cs="Times New Roman"/>
                      <w:bCs w:val="0"/>
                      <w:sz w:val="21"/>
                      <w:szCs w:val="21"/>
                      <w:highlight w:val="none"/>
                    </w:rPr>
                    <w:t>3000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bCs w:val="0"/>
                      <w:sz w:val="21"/>
                      <w:szCs w:val="21"/>
                      <w:highlight w:val="none"/>
                    </w:rPr>
                    <w:t>，为封闭式厂房，待建。</w:t>
                  </w:r>
                </w:p>
                <w:p>
                  <w:pPr>
                    <w:pStyle w:val="54"/>
                    <w:rPr>
                      <w:rFonts w:hint="default" w:ascii="Times New Roman" w:hAnsi="Times New Roman" w:eastAsia="宋体" w:cs="Times New Roman"/>
                      <w:bCs w:val="0"/>
                      <w:sz w:val="21"/>
                      <w:szCs w:val="21"/>
                      <w:highlight w:val="none"/>
                      <w:vertAlign w:val="superscript"/>
                    </w:rPr>
                  </w:pPr>
                  <w:r>
                    <w:rPr>
                      <w:rFonts w:hint="default" w:ascii="Times New Roman" w:hAnsi="Times New Roman" w:eastAsia="宋体" w:cs="Times New Roman"/>
                      <w:bCs w:val="0"/>
                      <w:sz w:val="21"/>
                      <w:szCs w:val="21"/>
                      <w:highlight w:val="none"/>
                    </w:rPr>
                    <w:t>主要设置一条机制砂生产线，生产工艺均设置在车间内，包括破碎、筛分等工序</w:t>
                  </w:r>
                </w:p>
              </w:tc>
              <w:tc>
                <w:tcPr>
                  <w:tcW w:w="1331" w:type="dxa"/>
                  <w:noWrap w:val="0"/>
                  <w:vAlign w:val="center"/>
                </w:tcPr>
                <w:p>
                  <w:pPr>
                    <w:pStyle w:val="54"/>
                    <w:rPr>
                      <w:rFonts w:hint="eastAsia" w:ascii="Times New Roman" w:hAnsi="Times New Roman" w:eastAsia="宋体" w:cs="Times New Roman"/>
                      <w:bCs w:val="0"/>
                      <w:sz w:val="21"/>
                      <w:szCs w:val="21"/>
                      <w:highlight w:val="none"/>
                      <w:lang w:val="en-US" w:eastAsia="zh-CN"/>
                    </w:rPr>
                  </w:pPr>
                  <w:r>
                    <w:rPr>
                      <w:rFonts w:hint="eastAsia" w:ascii="Times New Roman" w:hAnsi="Times New Roman" w:eastAsia="宋体" w:cs="Times New Roman"/>
                      <w:bCs w:val="0"/>
                      <w:sz w:val="21"/>
                      <w:szCs w:val="21"/>
                      <w:highlight w:val="none"/>
                      <w:lang w:val="en-US" w:eastAsia="zh-CN"/>
                    </w:rPr>
                    <w:t>尚未建成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pStyle w:val="54"/>
                    <w:rPr>
                      <w:rFonts w:hint="default" w:ascii="Times New Roman" w:hAnsi="Times New Roman" w:eastAsia="宋体" w:cs="Times New Roman"/>
                      <w:bCs w:val="0"/>
                      <w:sz w:val="21"/>
                      <w:szCs w:val="21"/>
                      <w:highlight w:val="none"/>
                    </w:rPr>
                  </w:pPr>
                  <w:r>
                    <w:rPr>
                      <w:rFonts w:hint="default" w:ascii="Times New Roman" w:hAnsi="Times New Roman" w:eastAsia="宋体" w:cs="Times New Roman"/>
                      <w:bCs w:val="0"/>
                      <w:sz w:val="21"/>
                      <w:szCs w:val="21"/>
                      <w:highlight w:val="none"/>
                    </w:rPr>
                    <w:t>生产车间2</w:t>
                  </w:r>
                </w:p>
              </w:tc>
              <w:tc>
                <w:tcPr>
                  <w:tcW w:w="5040" w:type="dxa"/>
                  <w:noWrap w:val="0"/>
                  <w:vAlign w:val="center"/>
                </w:tcPr>
                <w:p>
                  <w:pPr>
                    <w:pStyle w:val="54"/>
                    <w:rPr>
                      <w:rFonts w:hint="default" w:ascii="Times New Roman" w:hAnsi="Times New Roman" w:eastAsia="宋体" w:cs="Times New Roman"/>
                      <w:bCs w:val="0"/>
                      <w:sz w:val="21"/>
                      <w:szCs w:val="21"/>
                      <w:highlight w:val="none"/>
                    </w:rPr>
                  </w:pPr>
                  <w:r>
                    <w:rPr>
                      <w:rFonts w:hint="default" w:ascii="Times New Roman" w:hAnsi="Times New Roman" w:eastAsia="宋体" w:cs="Times New Roman"/>
                      <w:sz w:val="21"/>
                      <w:szCs w:val="21"/>
                      <w:highlight w:val="none"/>
                    </w:rPr>
                    <w:t>一栋单层钢结构厂房，建筑面积约</w:t>
                  </w:r>
                  <w:r>
                    <w:rPr>
                      <w:rFonts w:hint="default" w:ascii="Times New Roman" w:hAnsi="Times New Roman" w:eastAsia="宋体" w:cs="Times New Roman"/>
                      <w:bCs w:val="0"/>
                      <w:sz w:val="21"/>
                      <w:szCs w:val="21"/>
                      <w:highlight w:val="none"/>
                      <w:lang w:val="en-US" w:eastAsia="zh-CN"/>
                    </w:rPr>
                    <w:t>2</w:t>
                  </w:r>
                  <w:r>
                    <w:rPr>
                      <w:rFonts w:hint="default" w:ascii="Times New Roman" w:hAnsi="Times New Roman" w:eastAsia="宋体" w:cs="Times New Roman"/>
                      <w:bCs w:val="0"/>
                      <w:sz w:val="21"/>
                      <w:szCs w:val="21"/>
                      <w:highlight w:val="none"/>
                    </w:rPr>
                    <w:t>000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bCs w:val="0"/>
                      <w:sz w:val="21"/>
                      <w:szCs w:val="21"/>
                      <w:highlight w:val="none"/>
                    </w:rPr>
                    <w:t>，为封闭式厂房，待建。</w:t>
                  </w:r>
                </w:p>
                <w:p>
                  <w:pPr>
                    <w:pStyle w:val="54"/>
                    <w:rPr>
                      <w:rFonts w:hint="default" w:ascii="Times New Roman" w:hAnsi="Times New Roman" w:eastAsia="宋体" w:cs="Times New Roman"/>
                      <w:bCs w:val="0"/>
                      <w:sz w:val="21"/>
                      <w:szCs w:val="21"/>
                      <w:highlight w:val="none"/>
                    </w:rPr>
                  </w:pPr>
                  <w:r>
                    <w:rPr>
                      <w:rFonts w:hint="default" w:ascii="Times New Roman" w:hAnsi="Times New Roman" w:eastAsia="宋体" w:cs="Times New Roman"/>
                      <w:bCs w:val="0"/>
                      <w:sz w:val="21"/>
                      <w:szCs w:val="21"/>
                      <w:highlight w:val="none"/>
                    </w:rPr>
                    <w:t>主要设置一条碎石生产线，生产工艺均设置在车间内，包括</w:t>
                  </w:r>
                  <w:r>
                    <w:rPr>
                      <w:rFonts w:hint="default" w:ascii="Times New Roman" w:hAnsi="Times New Roman" w:eastAsia="宋体" w:cs="Times New Roman"/>
                      <w:bCs w:val="0"/>
                      <w:sz w:val="21"/>
                      <w:szCs w:val="21"/>
                      <w:highlight w:val="none"/>
                      <w:lang w:eastAsia="zh-CN"/>
                    </w:rPr>
                    <w:t>鄂破、</w:t>
                  </w:r>
                  <w:r>
                    <w:rPr>
                      <w:rFonts w:hint="default" w:ascii="Times New Roman" w:hAnsi="Times New Roman" w:eastAsia="宋体" w:cs="Times New Roman"/>
                      <w:bCs w:val="0"/>
                      <w:sz w:val="21"/>
                      <w:szCs w:val="21"/>
                      <w:highlight w:val="none"/>
                    </w:rPr>
                    <w:t>破碎、筛分等工序</w:t>
                  </w:r>
                </w:p>
              </w:tc>
              <w:tc>
                <w:tcPr>
                  <w:tcW w:w="1331" w:type="dxa"/>
                  <w:noWrap w:val="0"/>
                  <w:vAlign w:val="center"/>
                </w:tcPr>
                <w:p>
                  <w:pPr>
                    <w:pStyle w:val="54"/>
                    <w:rPr>
                      <w:rFonts w:hint="eastAsia" w:ascii="Times New Roman" w:hAnsi="Times New Roman" w:eastAsia="宋体" w:cs="Times New Roman"/>
                      <w:bCs w:val="0"/>
                      <w:sz w:val="21"/>
                      <w:szCs w:val="21"/>
                      <w:highlight w:val="none"/>
                      <w:lang w:val="en-US" w:eastAsia="zh-CN"/>
                    </w:rPr>
                  </w:pPr>
                  <w:r>
                    <w:rPr>
                      <w:rFonts w:hint="eastAsia" w:ascii="Times New Roman" w:hAnsi="Times New Roman" w:eastAsia="宋体" w:cs="Times New Roman"/>
                      <w:bCs w:val="0"/>
                      <w:sz w:val="21"/>
                      <w:szCs w:val="21"/>
                      <w:highlight w:val="none"/>
                      <w:lang w:val="en-US" w:eastAsia="zh-CN"/>
                    </w:rPr>
                    <w:t>已建成，</w:t>
                  </w:r>
                  <w:r>
                    <w:rPr>
                      <w:rFonts w:hint="default" w:ascii="Times New Roman" w:hAnsi="Times New Roman" w:eastAsia="宋体" w:cs="Times New Roman"/>
                      <w:bCs w:val="0"/>
                      <w:sz w:val="21"/>
                      <w:szCs w:val="21"/>
                      <w:highlight w:val="none"/>
                    </w:rPr>
                    <w:t>主要设置一条碎石生产线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36" w:type="dxa"/>
                  <w:vMerge w:val="restar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公用工程</w:t>
                  </w: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给水系统</w:t>
                  </w:r>
                </w:p>
              </w:tc>
              <w:tc>
                <w:tcPr>
                  <w:tcW w:w="5040" w:type="dxa"/>
                  <w:noWrap w:val="0"/>
                  <w:vAlign w:val="center"/>
                </w:tcPr>
                <w:p>
                  <w:pPr>
                    <w:pStyle w:val="54"/>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由区域自来水管接入</w:t>
                  </w:r>
                </w:p>
              </w:tc>
              <w:tc>
                <w:tcPr>
                  <w:tcW w:w="1331" w:type="dxa"/>
                  <w:noWrap w:val="0"/>
                  <w:vAlign w:val="center"/>
                </w:tcPr>
                <w:p>
                  <w:pPr>
                    <w:pStyle w:val="54"/>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排水系统</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雨污分流，雨水排入市政雨水管网、</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生活污水处理达标后排入市政污水管网</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电力</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区域电网供应</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运输</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公路运输为主，全部委托当地专业运输单位承运</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restar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环保工程</w:t>
                  </w: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生活污水--三级化粪池</w:t>
                  </w:r>
                </w:p>
                <w:p>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生产废水--絮凝沉淀+压滤+回用</w:t>
                  </w:r>
                </w:p>
              </w:tc>
              <w:tc>
                <w:tcPr>
                  <w:tcW w:w="133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113"/>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粉尘废气——车间四周</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各产尘点</w:t>
                  </w:r>
                  <w:r>
                    <w:rPr>
                      <w:rFonts w:hint="default" w:ascii="Times New Roman" w:hAnsi="Times New Roman" w:eastAsia="宋体" w:cs="Times New Roman"/>
                      <w:sz w:val="21"/>
                      <w:szCs w:val="21"/>
                      <w:highlight w:val="none"/>
                      <w:lang w:eastAsia="zh-CN"/>
                    </w:rPr>
                    <w:t>及输送带两侧</w:t>
                  </w:r>
                  <w:r>
                    <w:rPr>
                      <w:rFonts w:hint="default" w:ascii="Times New Roman" w:hAnsi="Times New Roman" w:eastAsia="宋体" w:cs="Times New Roman"/>
                      <w:sz w:val="21"/>
                      <w:szCs w:val="21"/>
                      <w:highlight w:val="none"/>
                    </w:rPr>
                    <w:t>均设置雾化降尘装置</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合理布局、墙体隔声、距离衰减、消声减震</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vMerge w:val="restar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固体废物</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生活垃圾转运</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一般固废临时堆放区，设置于生产车间内</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restart"/>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储运工程</w:t>
                  </w: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原料区</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用于原料的堆放，</w:t>
                  </w:r>
                  <w:r>
                    <w:rPr>
                      <w:rFonts w:hint="default" w:ascii="Times New Roman" w:hAnsi="Times New Roman" w:eastAsia="宋体" w:cs="Times New Roman"/>
                      <w:sz w:val="21"/>
                      <w:szCs w:val="21"/>
                      <w:highlight w:val="none"/>
                      <w:lang w:eastAsia="zh-CN"/>
                    </w:rPr>
                    <w:t>依托正兴车轮施工场地的建筑废渣堆场</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水洗泥间</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用于成品水洗泥的堆放，设置于生产车间内部，</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并配套“防扬散、防流失、防渗漏”的三防措施</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236" w:type="dxa"/>
                  <w:vMerge w:val="continue"/>
                  <w:noWrap w:val="0"/>
                  <w:vAlign w:val="center"/>
                </w:tcPr>
                <w:p>
                  <w:pPr>
                    <w:adjustRightInd w:val="0"/>
                    <w:snapToGrid w:val="0"/>
                    <w:jc w:val="center"/>
                    <w:rPr>
                      <w:rFonts w:hint="default" w:ascii="Times New Roman" w:hAnsi="Times New Roman" w:eastAsia="宋体" w:cs="Times New Roman"/>
                      <w:sz w:val="21"/>
                      <w:szCs w:val="21"/>
                      <w:highlight w:val="none"/>
                    </w:rPr>
                  </w:pP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成品堆放区</w:t>
                  </w:r>
                </w:p>
              </w:tc>
              <w:tc>
                <w:tcPr>
                  <w:tcW w:w="504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用于成品机制砂</w:t>
                  </w:r>
                  <w:r>
                    <w:rPr>
                      <w:rFonts w:hint="default" w:ascii="Times New Roman" w:hAnsi="Times New Roman" w:eastAsia="宋体" w:cs="Times New Roman"/>
                      <w:sz w:val="21"/>
                      <w:szCs w:val="21"/>
                      <w:highlight w:val="none"/>
                      <w:lang w:eastAsia="zh-CN"/>
                    </w:rPr>
                    <w:t>和碎石</w:t>
                  </w:r>
                  <w:r>
                    <w:rPr>
                      <w:rFonts w:hint="default" w:ascii="Times New Roman" w:hAnsi="Times New Roman" w:eastAsia="宋体" w:cs="Times New Roman"/>
                      <w:sz w:val="21"/>
                      <w:szCs w:val="21"/>
                      <w:highlight w:val="none"/>
                    </w:rPr>
                    <w:t>的堆放，为</w:t>
                  </w:r>
                  <w:r>
                    <w:rPr>
                      <w:rFonts w:hint="default" w:ascii="Times New Roman" w:hAnsi="Times New Roman" w:eastAsia="宋体" w:cs="Times New Roman"/>
                      <w:sz w:val="21"/>
                      <w:szCs w:val="21"/>
                      <w:highlight w:val="none"/>
                      <w:lang w:eastAsia="zh-CN"/>
                    </w:rPr>
                    <w:t>室内</w:t>
                  </w:r>
                  <w:r>
                    <w:rPr>
                      <w:rFonts w:hint="default" w:ascii="Times New Roman" w:hAnsi="Times New Roman" w:eastAsia="宋体" w:cs="Times New Roman"/>
                      <w:sz w:val="21"/>
                      <w:szCs w:val="21"/>
                      <w:highlight w:val="none"/>
                    </w:rPr>
                    <w:t>堆场，</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并配套“防扬散、防流失、防渗漏”的三防措施</w:t>
                  </w:r>
                </w:p>
              </w:tc>
              <w:tc>
                <w:tcPr>
                  <w:tcW w:w="1331"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236"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生活设施</w:t>
                  </w:r>
                </w:p>
              </w:tc>
              <w:tc>
                <w:tcPr>
                  <w:tcW w:w="930" w:type="dxa"/>
                  <w:noWrap w:val="0"/>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办公区</w:t>
                  </w:r>
                </w:p>
              </w:tc>
              <w:tc>
                <w:tcPr>
                  <w:tcW w:w="5040" w:type="dxa"/>
                  <w:noWrap w:val="0"/>
                  <w:vAlign w:val="center"/>
                </w:tcPr>
                <w:p>
                  <w:pPr>
                    <w:pStyle w:val="54"/>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约</w:t>
                  </w:r>
                  <w:r>
                    <w:rPr>
                      <w:rFonts w:hint="default" w:ascii="Times New Roman" w:hAnsi="Times New Roman" w:eastAsia="宋体" w:cs="Times New Roman"/>
                      <w:bCs w:val="0"/>
                      <w:sz w:val="21"/>
                      <w:szCs w:val="21"/>
                      <w:highlight w:val="none"/>
                    </w:rPr>
                    <w:t>200</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bCs w:val="0"/>
                      <w:sz w:val="21"/>
                      <w:szCs w:val="21"/>
                      <w:highlight w:val="none"/>
                    </w:rPr>
                    <w:t>，依托</w:t>
                  </w:r>
                  <w:r>
                    <w:rPr>
                      <w:rFonts w:hint="default" w:ascii="Times New Roman" w:hAnsi="Times New Roman" w:eastAsia="宋体" w:cs="Times New Roman"/>
                      <w:bCs w:val="0"/>
                      <w:sz w:val="21"/>
                      <w:szCs w:val="21"/>
                      <w:highlight w:val="none"/>
                      <w:lang w:eastAsia="zh-CN"/>
                    </w:rPr>
                    <w:t>生产车间</w:t>
                  </w:r>
                  <w:r>
                    <w:rPr>
                      <w:rFonts w:hint="default" w:ascii="Times New Roman" w:hAnsi="Times New Roman" w:eastAsia="宋体" w:cs="Times New Roman"/>
                      <w:bCs w:val="0"/>
                      <w:sz w:val="21"/>
                      <w:szCs w:val="21"/>
                      <w:highlight w:val="none"/>
                      <w:lang w:val="en-US" w:eastAsia="zh-CN"/>
                    </w:rPr>
                    <w:t>1</w:t>
                  </w:r>
                  <w:r>
                    <w:rPr>
                      <w:rFonts w:hint="default" w:ascii="Times New Roman" w:hAnsi="Times New Roman" w:eastAsia="宋体" w:cs="Times New Roman"/>
                      <w:bCs w:val="0"/>
                      <w:sz w:val="21"/>
                      <w:szCs w:val="21"/>
                      <w:highlight w:val="none"/>
                    </w:rPr>
                    <w:t>西南侧正兴车轮的办公室</w:t>
                  </w:r>
                </w:p>
              </w:tc>
              <w:tc>
                <w:tcPr>
                  <w:tcW w:w="1331" w:type="dxa"/>
                  <w:noWrap w:val="0"/>
                  <w:vAlign w:val="center"/>
                </w:tcPr>
                <w:p>
                  <w:pP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与环评一致</w:t>
                  </w:r>
                </w:p>
              </w:tc>
            </w:tr>
          </w:tbl>
          <w:p>
            <w:pPr>
              <w:pStyle w:val="37"/>
              <w:jc w:val="center"/>
              <w:rPr>
                <w:rFonts w:hint="eastAsia" w:ascii="Times New Roman" w:hAnsi="Times New Roman" w:cs="Times New Roman"/>
                <w:b/>
                <w:bCs/>
                <w:color w:val="0000FF"/>
                <w:sz w:val="21"/>
                <w:szCs w:val="21"/>
              </w:rPr>
            </w:pPr>
          </w:p>
          <w:p>
            <w:pPr>
              <w:pStyle w:val="37"/>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表2-2 </w:t>
            </w:r>
            <w:r>
              <w:rPr>
                <w:rFonts w:ascii="Times New Roman" w:hAnsi="Times New Roman" w:cs="Times New Roman"/>
                <w:b/>
                <w:bCs/>
                <w:color w:val="000000" w:themeColor="text1"/>
                <w:sz w:val="21"/>
                <w:szCs w:val="21"/>
                <w14:textFill>
                  <w14:solidFill>
                    <w14:schemeClr w14:val="tx1"/>
                  </w14:solidFill>
                </w14:textFill>
              </w:rPr>
              <w:t>项目</w:t>
            </w:r>
            <w:r>
              <w:rPr>
                <w:rFonts w:hint="eastAsia" w:ascii="Times New Roman" w:hAnsi="Times New Roman" w:cs="Times New Roman"/>
                <w:b/>
                <w:bCs/>
                <w:color w:val="000000" w:themeColor="text1"/>
                <w:sz w:val="21"/>
                <w:szCs w:val="21"/>
                <w14:textFill>
                  <w14:solidFill>
                    <w14:schemeClr w14:val="tx1"/>
                  </w14:solidFill>
                </w14:textFill>
              </w:rPr>
              <w:t>产品方案</w:t>
            </w:r>
          </w:p>
          <w:tbl>
            <w:tblPr>
              <w:tblStyle w:val="26"/>
              <w:tblW w:w="8725" w:type="dxa"/>
              <w:jc w:val="center"/>
              <w:tblLayout w:type="fixed"/>
              <w:tblCellMar>
                <w:top w:w="0" w:type="dxa"/>
                <w:left w:w="108" w:type="dxa"/>
                <w:bottom w:w="0" w:type="dxa"/>
                <w:right w:w="108" w:type="dxa"/>
              </w:tblCellMar>
            </w:tblPr>
            <w:tblGrid>
              <w:gridCol w:w="1735"/>
              <w:gridCol w:w="2310"/>
              <w:gridCol w:w="2295"/>
              <w:gridCol w:w="2385"/>
            </w:tblGrid>
            <w:tr>
              <w:tblPrEx>
                <w:tblCellMar>
                  <w:top w:w="0" w:type="dxa"/>
                  <w:left w:w="108" w:type="dxa"/>
                  <w:bottom w:w="0" w:type="dxa"/>
                  <w:right w:w="108" w:type="dxa"/>
                </w:tblCellMar>
              </w:tblPrEx>
              <w:trPr>
                <w:trHeight w:val="312" w:hRule="atLeast"/>
                <w:jc w:val="center"/>
              </w:trPr>
              <w:tc>
                <w:tcPr>
                  <w:tcW w:w="17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产品名称</w:t>
                  </w:r>
                </w:p>
              </w:tc>
              <w:tc>
                <w:tcPr>
                  <w:tcW w:w="231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原辅材料名称</w:t>
                  </w:r>
                </w:p>
              </w:tc>
              <w:tc>
                <w:tcPr>
                  <w:tcW w:w="229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环评设计用量</w:t>
                  </w:r>
                </w:p>
              </w:tc>
              <w:tc>
                <w:tcPr>
                  <w:tcW w:w="23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实际用量</w:t>
                  </w:r>
                </w:p>
              </w:tc>
            </w:tr>
            <w:tr>
              <w:tblPrEx>
                <w:tblCellMar>
                  <w:top w:w="0" w:type="dxa"/>
                  <w:left w:w="108" w:type="dxa"/>
                  <w:bottom w:w="0" w:type="dxa"/>
                  <w:right w:w="108" w:type="dxa"/>
                </w:tblCellMar>
              </w:tblPrEx>
              <w:trPr>
                <w:trHeight w:val="312" w:hRule="atLeast"/>
                <w:jc w:val="center"/>
              </w:trPr>
              <w:tc>
                <w:tcPr>
                  <w:tcW w:w="173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1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29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74" w:hRule="atLeast"/>
                <w:jc w:val="center"/>
              </w:trPr>
              <w:tc>
                <w:tcPr>
                  <w:tcW w:w="17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碎石</w:t>
                  </w:r>
                </w:p>
              </w:tc>
              <w:tc>
                <w:tcPr>
                  <w:tcW w:w="23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建筑废渣及废土方</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23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tblPrEx>
                <w:tblCellMar>
                  <w:top w:w="0" w:type="dxa"/>
                  <w:left w:w="108" w:type="dxa"/>
                  <w:bottom w:w="0" w:type="dxa"/>
                  <w:right w:w="108" w:type="dxa"/>
                </w:tblCellMar>
              </w:tblPrEx>
              <w:trPr>
                <w:trHeight w:val="90" w:hRule="atLeast"/>
                <w:jc w:val="center"/>
              </w:trPr>
              <w:tc>
                <w:tcPr>
                  <w:tcW w:w="173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建筑废渣及废石料</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23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bl>
          <w:p>
            <w:pPr>
              <w:pStyle w:val="37"/>
              <w:spacing w:line="240" w:lineRule="auto"/>
              <w:jc w:val="center"/>
              <w:rPr>
                <w:rFonts w:hint="eastAsia" w:ascii="Times New Roman" w:hAnsi="Times New Roman" w:cs="Times New Roman"/>
                <w:b/>
                <w:bCs/>
                <w:color w:val="0000FF"/>
                <w:sz w:val="21"/>
                <w:szCs w:val="21"/>
              </w:rPr>
            </w:pPr>
          </w:p>
          <w:p>
            <w:pPr>
              <w:pStyle w:val="37"/>
              <w:spacing w:line="240" w:lineRule="auto"/>
              <w:jc w:val="center"/>
              <w:rPr>
                <w:rFonts w:hint="eastAsia"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eastAsia" w:ascii="Times New Roman" w:hAnsi="Times New Roman" w:cs="Times New Roman"/>
                <w:b/>
                <w:bCs/>
                <w:color w:val="000000" w:themeColor="text1"/>
                <w:sz w:val="21"/>
                <w:szCs w:val="21"/>
                <w14:textFill>
                  <w14:solidFill>
                    <w14:schemeClr w14:val="tx1"/>
                  </w14:solidFill>
                </w14:textFill>
              </w:rPr>
              <w:t xml:space="preserve"> 主要生产设备一览表</w:t>
            </w:r>
          </w:p>
          <w:tbl>
            <w:tblPr>
              <w:tblStyle w:val="26"/>
              <w:tblW w:w="497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29"/>
              <w:gridCol w:w="1885"/>
              <w:gridCol w:w="1885"/>
              <w:gridCol w:w="1185"/>
              <w:gridCol w:w="1410"/>
              <w:gridCol w:w="141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08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08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型号</w:t>
                  </w:r>
                </w:p>
              </w:tc>
              <w:tc>
                <w:tcPr>
                  <w:tcW w:w="68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环评数量</w:t>
                  </w:r>
                </w:p>
              </w:tc>
              <w:tc>
                <w:tcPr>
                  <w:tcW w:w="80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实际数量</w:t>
                  </w:r>
                </w:p>
              </w:tc>
              <w:tc>
                <w:tcPr>
                  <w:tcW w:w="81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变动情况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输送带</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8条</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8条</w:t>
                  </w:r>
                </w:p>
              </w:tc>
              <w:tc>
                <w:tcPr>
                  <w:tcW w:w="81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喂料机</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1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鄂破机</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1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振动筛</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1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破碎机</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14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板框压滤机</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14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废水收集池</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 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4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清水池</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 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4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3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沉淀罐</w:t>
                  </w:r>
                </w:p>
              </w:tc>
              <w:tc>
                <w:tcPr>
                  <w:tcW w:w="18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 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85"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4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1个</w:t>
                  </w:r>
                </w:p>
              </w:tc>
              <w:tc>
                <w:tcPr>
                  <w:tcW w:w="14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不变</w:t>
                  </w:r>
                </w:p>
              </w:tc>
            </w:tr>
          </w:tbl>
          <w:p>
            <w:pPr>
              <w:pStyle w:val="37"/>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7"/>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华安溪源宏建材有限公司建筑废渣及废土方回收利用项目</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漳州市华安经济开发区九龙工业园</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只建成生产车间2-碎石生产线，并已投入试生产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华安溪源宏建材有限公司建筑废渣及废土方回收利用项目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阶段性</w:t>
            </w:r>
            <w:r>
              <w:rPr>
                <w:rFonts w:hint="eastAsia" w:ascii="Times New Roman" w:eastAsia="宋体"/>
                <w:color w:val="000000" w:themeColor="text1"/>
                <w:sz w:val="24"/>
                <w:szCs w:val="24"/>
                <w:lang w:val="en-US" w:eastAsia="zh-CN"/>
                <w14:textFill>
                  <w14:solidFill>
                    <w14:schemeClr w14:val="tx1"/>
                  </w14:solidFill>
                </w14:textFill>
              </w:rPr>
              <w:t>验收</w:t>
            </w:r>
            <w:r>
              <w:rPr>
                <w:rFonts w:hint="default" w:ascii="Times New Roman" w:eastAsia="宋体"/>
                <w:color w:val="000000" w:themeColor="text1"/>
                <w:sz w:val="24"/>
                <w:szCs w:val="24"/>
                <w:lang w:val="en-US" w:eastAsia="zh-CN"/>
                <w14:textFill>
                  <w14:solidFill>
                    <w14:schemeClr w14:val="tx1"/>
                  </w14:solidFill>
                </w14:textFill>
              </w:rPr>
              <w:t>。</w:t>
            </w:r>
          </w:p>
          <w:p>
            <w:pPr>
              <w:pStyle w:val="37"/>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widowControl w:val="0"/>
              <w:shd w:val="clear"/>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w:t>
            </w:r>
          </w:p>
          <w:p>
            <w:pPr>
              <w:pStyle w:val="52"/>
              <w:widowControl w:val="0"/>
              <w:spacing w:beforeLines="0" w:afterLines="0" w:line="360" w:lineRule="auto"/>
              <w:ind w:firstLine="480" w:firstLineChars="200"/>
              <w:jc w:val="both"/>
              <w:rPr>
                <w:rFonts w:hint="default" w:ascii="Times New Roman" w:hAnsi="Times New Roman" w:eastAsia="宋体" w:cs="Times New Roman"/>
                <w:b w:val="0"/>
                <w:color w:val="000000" w:themeColor="text1"/>
                <w:sz w:val="24"/>
                <w:szCs w:val="24"/>
                <w:lang w:val="en-US" w:eastAsia="zh-CN" w:bidi="ar-SA"/>
                <w14:textFill>
                  <w14:solidFill>
                    <w14:schemeClr w14:val="tx1"/>
                  </w14:solidFill>
                </w14:textFill>
              </w:rPr>
            </w:pP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根据项目实际建设情况，经过与《污染影响类建设项目重大变动清单（试行）》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十三条内容逐一对照</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，最终得出结论：本项目不存在《污染影响类建设项目重大变动清单（试行）》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十三条内容的重大变动</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情形。本项目实际建设情况与《污染影响类建设项目重大变动清单（试行）》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（环办环评函[2020]688号）十三条内容</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详细对比情况见下表</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2-4。</w:t>
            </w:r>
          </w:p>
          <w:p>
            <w:pPr>
              <w:pStyle w:val="52"/>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 xml:space="preserve"> 项目与《污染影响类建设项目重大变动清单（试行）》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十三条内容</w:t>
            </w:r>
            <w:r>
              <w:rPr>
                <w:rFonts w:ascii="Times New Roman" w:hAnsi="Times New Roman" w:eastAsia="宋体" w:cs="Times New Roman"/>
                <w:color w:val="000000" w:themeColor="text1"/>
                <w:sz w:val="21"/>
                <w:szCs w:val="21"/>
                <w14:textFill>
                  <w14:solidFill>
                    <w14:schemeClr w14:val="tx1"/>
                  </w14:solidFill>
                </w14:textFill>
              </w:rPr>
              <w:t>对照情况一览表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4277"/>
              <w:gridCol w:w="2793"/>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2442"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1595"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建设项目开发、使用功能发生变化的。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项目开发、使用功能均与环评时期一致，未发生变化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生产、处置或储存能力增大30%及以上的。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生产、处置或储存能力增大，导致废水第一类污染物排放量增加的。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厂区无第一类污染物排放</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重新选址；在原厂址附近调整（包括总平面布置变化）导致环境防护距离范围变化且新增敏感点的。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项目建设地点与环评时期一致，未发生变化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新增产品品种或生产工艺（含主要生产装置、设备及配套设施）、主要原辅材料、燃料变化，导致以下情形之一：</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（1）新增排放污染物种类的（毒性、挥发性降低的除外）；</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（2）位于环境质量不达标区的建设项目相应污染物排放量增加的；</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（3）废水第一类污染物排放量增加的；</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（4）其他污染物排放量增加10%及以上的。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项目无新增产品品种或生产工艺，均与环评时期一致，未发生变化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物料运输、装卸、贮存方式变化，导致大气污染物无组织排放量增加10%及以上的。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物料运输、装卸、贮存方式均与环评时期一致，未发生变化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废气、废水污染防治措施变化均与环评时期一致，未发生变化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新增废水直接排放口；废水由间接排放改为直接排放；废水直接排放口位置变化，导致不利环境影响加重的。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废水排放口位置与环评时期一致，未发生变化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新增废气主要排放口（废气无组织排放改为有组织排放的除外）；主要排放口排气筒高度降低10%及以上的。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项目废气均为无组织排放，与环评设计一致</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噪声、土壤或地下水污染防治措施变化，导致不利环境影响加重的。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噪声、土壤或地下水污染防治措施与环评时期一致，未发生变化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44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事故废水暂存能力或拦截设施变化，导致环境风险防范能力弱化或降低的。</w:t>
                  </w:r>
                </w:p>
              </w:tc>
              <w:tc>
                <w:tcPr>
                  <w:tcW w:w="1595"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事故废水暂存能力或拦截设施与环评时期一致，未发生变化</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37"/>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目前本项目生产过程中产生的废水主要为员工生活污水和生产废水。</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经核实</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snapToGrid w:val="0"/>
              <w:spacing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本项目生活用水量为412.5180t/a，生活污水排放量为144t/a。生活污水经三级化粪池处理后经市政污水管网直接排放至华安县第二污水处理厂处理</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beforeLines="0" w:afterLines="0"/>
              <w:ind w:firstLine="480" w:firstLineChars="200"/>
              <w:jc w:val="both"/>
              <w:textAlignment w:val="auto"/>
              <w:rPr>
                <w:rFonts w:hint="eastAsia" w:ascii="Times New Roman" w:hAnsi="Times New Roman" w:eastAsia="宋体" w:cs="Times New Roman"/>
                <w:b w:val="0"/>
                <w:bCs w:val="0"/>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2"/>
                <w:lang w:val="en-US" w:eastAsia="zh-CN" w:bidi="ar-SA"/>
                <w14:textFill>
                  <w14:solidFill>
                    <w14:schemeClr w14:val="tx1"/>
                  </w14:solidFill>
                </w14:textFill>
              </w:rPr>
              <w:t>本项目碎石生产线废水经收集后，采用聚合氯化铝絮凝沉淀后循环使用不外排，循环水量为24000t/a，需补充蒸发的损耗，损耗水量约为2400t/a。</w:t>
            </w:r>
          </w:p>
          <w:p>
            <w:pPr>
              <w:widowControl w:val="0"/>
              <w:snapToGrid w:val="0"/>
              <w:spacing w:line="360" w:lineRule="auto"/>
              <w:jc w:val="center"/>
              <w:rPr>
                <w:rFonts w:hint="default" w:ascii="Times New Roman" w:hAnsi="Times New Roman" w:eastAsia="宋体" w:cs="Times New Roman"/>
                <w:color w:val="0000FF"/>
                <w:sz w:val="24"/>
                <w:szCs w:val="24"/>
                <w:lang w:val="zh-CN" w:eastAsia="zh-CN" w:bidi="ar-SA"/>
              </w:rPr>
            </w:pPr>
            <w:r>
              <w:rPr>
                <w:sz w:val="24"/>
              </w:rPr>
              <mc:AlternateContent>
                <mc:Choice Requires="wps">
                  <w:drawing>
                    <wp:anchor distT="0" distB="0" distL="114300" distR="114300" simplePos="0" relativeHeight="251665408" behindDoc="0" locked="0" layoutInCell="1" allowOverlap="1">
                      <wp:simplePos x="0" y="0"/>
                      <wp:positionH relativeFrom="column">
                        <wp:posOffset>2715260</wp:posOffset>
                      </wp:positionH>
                      <wp:positionV relativeFrom="paragraph">
                        <wp:posOffset>875665</wp:posOffset>
                      </wp:positionV>
                      <wp:extent cx="561975" cy="228600"/>
                      <wp:effectExtent l="0" t="0" r="9525" b="0"/>
                      <wp:wrapNone/>
                      <wp:docPr id="25" name="矩形 25"/>
                      <wp:cNvGraphicFramePr/>
                      <a:graphic xmlns:a="http://schemas.openxmlformats.org/drawingml/2006/main">
                        <a:graphicData uri="http://schemas.microsoft.com/office/word/2010/wordprocessingShape">
                          <wps:wsp>
                            <wps:cNvSpPr/>
                            <wps:spPr>
                              <a:xfrm>
                                <a:off x="0" y="0"/>
                                <a:ext cx="561975"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24396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8pt;margin-top:68.95pt;height:18pt;width:44.25pt;z-index:251665408;v-text-anchor:middle;mso-width-relative:page;mso-height-relative:page;" fillcolor="#CCE8CF" filled="t" stroked="f" coordsize="21600,21600" o:gfxdata="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&#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mUi12wAAAAsBAAAPAAAAAAAAAAEAIAAAACIAAABk&#10;cnMvZG93bnJldi54bWxQSwECFAAUAAAACACHTuJA+VlFsXUCAADXBAAADgAAAAAAAAABACAAAAAq&#10;AQAAZHJzL2Uyb0RvYy54bWxQSwUGAAAAAAYABgBZAQAAEQY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24396</w:t>
                            </w:r>
                          </w:p>
                        </w:txbxContent>
                      </v:textbox>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2715260</wp:posOffset>
                      </wp:positionH>
                      <wp:positionV relativeFrom="paragraph">
                        <wp:posOffset>1342390</wp:posOffset>
                      </wp:positionV>
                      <wp:extent cx="523875" cy="228600"/>
                      <wp:effectExtent l="0" t="0" r="9525" b="0"/>
                      <wp:wrapNone/>
                      <wp:docPr id="23" name="矩形 23"/>
                      <wp:cNvGraphicFramePr/>
                      <a:graphic xmlns:a="http://schemas.openxmlformats.org/drawingml/2006/main">
                        <a:graphicData uri="http://schemas.microsoft.com/office/word/2010/wordprocessingShape">
                          <wps:wsp>
                            <wps:cNvSpPr/>
                            <wps:spPr>
                              <a:xfrm>
                                <a:off x="0" y="0"/>
                                <a:ext cx="523875"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24000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8pt;margin-top:105.7pt;height:18pt;width:41.25pt;z-index:251663360;v-text-anchor:middle;mso-width-relative:page;mso-height-relative:page;" fillcolor="#CCE8CF" filled="t" stroked="f" coordsize="21600,21600" o:gfxdata="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yVvIB2gAAAAsBAAAPAAAAAAAAAAEAIAAAACIAAABk&#10;cnMvZG93bnJldi54bWxQSwECFAAUAAAACACHTuJAQ6z6OXYCAADXBAAADgAAAAAAAAABACAAAAAp&#10;AQAAZHJzL2Uyb0RvYy54bWxQSwUGAAAAAAYABgBZAQAAEQY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24000</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1343660</wp:posOffset>
                      </wp:positionH>
                      <wp:positionV relativeFrom="paragraph">
                        <wp:posOffset>1047115</wp:posOffset>
                      </wp:positionV>
                      <wp:extent cx="466725" cy="228600"/>
                      <wp:effectExtent l="0" t="0" r="9525" b="0"/>
                      <wp:wrapNone/>
                      <wp:docPr id="24" name="矩形 24"/>
                      <wp:cNvGraphicFramePr/>
                      <a:graphic xmlns:a="http://schemas.openxmlformats.org/drawingml/2006/main">
                        <a:graphicData uri="http://schemas.microsoft.com/office/word/2010/wordprocessingShape">
                          <wps:wsp>
                            <wps:cNvSpPr/>
                            <wps:spPr>
                              <a:xfrm>
                                <a:off x="0" y="0"/>
                                <a:ext cx="466725"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2004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8pt;margin-top:82.45pt;height:18pt;width:36.75pt;z-index:251664384;v-text-anchor:middle;mso-width-relative:page;mso-height-relative:page;" fillcolor="#CCE8CF" filled="t" stroked="f" coordsize="21600,21600" o:gfxdata="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cNmRe2gAAAAsBAAAPAAAAAAAAAAEAIAAAACIAAABk&#10;cnMvZG93bnJldi54bWxQSwECFAAUAAAACACHTuJAaLOlbnYCAADXBAAADgAAAAAAAAABACAAAAAp&#10;AQAAZHJzL2Uyb0RvYy54bWxQSwUGAAAAAAYABgBZAQAAEQY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2004</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2258060</wp:posOffset>
                      </wp:positionH>
                      <wp:positionV relativeFrom="paragraph">
                        <wp:posOffset>675640</wp:posOffset>
                      </wp:positionV>
                      <wp:extent cx="495300" cy="228600"/>
                      <wp:effectExtent l="0" t="0" r="0" b="0"/>
                      <wp:wrapNone/>
                      <wp:docPr id="21" name="矩形 21"/>
                      <wp:cNvGraphicFramePr/>
                      <a:graphic xmlns:a="http://schemas.openxmlformats.org/drawingml/2006/main">
                        <a:graphicData uri="http://schemas.microsoft.com/office/word/2010/wordprocessingShape">
                          <wps:wsp>
                            <wps:cNvSpPr/>
                            <wps:spPr>
                              <a:xfrm>
                                <a:off x="0" y="0"/>
                                <a:ext cx="495300"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2400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8pt;margin-top:53.2pt;height:18pt;width:39pt;z-index:251662336;v-text-anchor:middle;mso-width-relative:page;mso-height-relative:page;" fillcolor="#CCE8CF" filled="t" stroked="f" coordsize="21600,21600" o:gfxdata="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uKx87ZAAAACwEAAA8AAAAAAAAAAQAgAAAAIgAAAGRycy9k&#10;b3ducmV2LnhtbFBLAQIUABQAAAAIAIdO4kAvdWgGcwIAANcEAAAOAAAAAAAAAAEAIAAAACgBAABk&#10;cnMvZTJvRG9jLnhtbFBLBQYAAAAABgAGAFkBAAANBg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2400</w:t>
                            </w: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2467610</wp:posOffset>
                      </wp:positionH>
                      <wp:positionV relativeFrom="paragraph">
                        <wp:posOffset>8890</wp:posOffset>
                      </wp:positionV>
                      <wp:extent cx="323850" cy="228600"/>
                      <wp:effectExtent l="0" t="0" r="0" b="0"/>
                      <wp:wrapNone/>
                      <wp:docPr id="20" name="矩形 20"/>
                      <wp:cNvGraphicFramePr/>
                      <a:graphic xmlns:a="http://schemas.openxmlformats.org/drawingml/2006/main">
                        <a:graphicData uri="http://schemas.microsoft.com/office/word/2010/wordprocessingShape">
                          <wps:wsp>
                            <wps:cNvSpPr/>
                            <wps:spPr>
                              <a:xfrm>
                                <a:off x="0" y="0"/>
                                <a:ext cx="323850"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51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3pt;margin-top:0.7pt;height:18pt;width:25.5pt;z-index:251661312;v-text-anchor:middle;mso-width-relative:page;mso-height-relative:page;" fillcolor="#CCE8CF" filled="t" stroked="f" coordsize="21600,21600" o:gfxdata="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jX9HdcAAAAIAQAADwAAAAAAAAABACAAAAAiAAAAZHJzL2Rv&#10;d25yZXYueG1sUEsBAhQAFAAAAAgAh07iQOapxCB0AgAA1wQAAA4AAAAAAAAAAQAgAAAAJgEAAGRy&#10;cy9lMm9Eb2MueG1sUEsFBgAAAAAGAAYAWQEAAAwGA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51</w:t>
                            </w:r>
                          </w:p>
                        </w:txbxContent>
                      </v:textbox>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2762885</wp:posOffset>
                      </wp:positionH>
                      <wp:positionV relativeFrom="paragraph">
                        <wp:posOffset>294640</wp:posOffset>
                      </wp:positionV>
                      <wp:extent cx="419100" cy="228600"/>
                      <wp:effectExtent l="0" t="0" r="0" b="0"/>
                      <wp:wrapNone/>
                      <wp:docPr id="19" name="矩形 19"/>
                      <wp:cNvGraphicFramePr/>
                      <a:graphic xmlns:a="http://schemas.openxmlformats.org/drawingml/2006/main">
                        <a:graphicData uri="http://schemas.microsoft.com/office/word/2010/wordprocessingShape">
                          <wps:wsp>
                            <wps:cNvSpPr/>
                            <wps:spPr>
                              <a:xfrm>
                                <a:off x="0" y="0"/>
                                <a:ext cx="419100"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459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5pt;margin-top:23.2pt;height:18pt;width:33pt;z-index:251660288;v-text-anchor:middle;mso-width-relative:page;mso-height-relative:page;" fillcolor="#CCE8CF" filled="t" stroked="f" coordsize="21600,21600" o:gfxdata="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osyq9kAAAAJAQAADwAAAAAAAAABACAAAAAiAAAAZHJzL2Rv&#10;d25yZXYueG1sUEsBAhQAFAAAAAgAh07iQOxlfphyAgAA1wQAAA4AAAAAAAAAAQAgAAAAKAEAAGRy&#10;cy9lMm9Eb2MueG1sUEsFBgAAAAAGAAYAWQEAAAwGA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459</w:t>
                            </w:r>
                          </w:p>
                        </w:txbxContent>
                      </v:textbox>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1315085</wp:posOffset>
                      </wp:positionH>
                      <wp:positionV relativeFrom="paragraph">
                        <wp:posOffset>304165</wp:posOffset>
                      </wp:positionV>
                      <wp:extent cx="419100" cy="228600"/>
                      <wp:effectExtent l="0" t="0" r="0" b="0"/>
                      <wp:wrapNone/>
                      <wp:docPr id="18" name="矩形 18"/>
                      <wp:cNvGraphicFramePr/>
                      <a:graphic xmlns:a="http://schemas.openxmlformats.org/drawingml/2006/main">
                        <a:graphicData uri="http://schemas.microsoft.com/office/word/2010/wordprocessingShape">
                          <wps:wsp>
                            <wps:cNvSpPr/>
                            <wps:spPr>
                              <a:xfrm>
                                <a:off x="2395220" y="1750060"/>
                                <a:ext cx="419100" cy="228600"/>
                              </a:xfrm>
                              <a:prstGeom prst="rect">
                                <a:avLst/>
                              </a:prstGeom>
                              <a:solidFill>
                                <a:srgbClr val="CCE8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510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55pt;margin-top:23.95pt;height:18pt;width:33pt;z-index:251659264;v-text-anchor:middle;mso-width-relative:page;mso-height-relative:page;" fillcolor="#CCE8CF" filled="t" stroked="f" coordsize="21600,21600" o:gfxdata="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JdBUNkAAAAJAQAADwAAAAAAAAABACAA&#10;AAAiAAAAZHJzL2Rvd25yZXYueG1sUEsBAhQAFAAAAAgAh07iQO1VJS5+AgAA4wQAAA4AAAAAAAAA&#10;AQAgAAAAKAEAAGRycy9lMm9Eb2MueG1sUEsFBgAAAAAGAAYAWQEAABgGAAAAAA==&#10;">
                      <v:fill on="t"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lang w:val="en-US" w:eastAsia="zh-CN"/>
                                <w14:textFill>
                                  <w14:solidFill>
                                    <w14:schemeClr w14:val="tx1"/>
                                  </w14:solidFill>
                                </w14:textFill>
                              </w:rPr>
                              <w:t>510</w:t>
                            </w:r>
                          </w:p>
                        </w:txbxContent>
                      </v:textbox>
                    </v:rect>
                  </w:pict>
                </mc:Fallback>
              </mc:AlternateContent>
            </w:r>
            <w:r>
              <w:rPr>
                <w:rFonts w:hint="eastAsia" w:ascii="宋体" w:hAnsi="宋体" w:eastAsia="宋体" w:cs="宋体"/>
                <w:bCs/>
                <w:sz w:val="24"/>
                <w:szCs w:val="24"/>
                <w:highlight w:val="none"/>
                <w:lang w:eastAsia="zh-CN"/>
              </w:rPr>
              <w:object>
                <v:shape id="_x0000_i1025" o:spt="75" type="#_x0000_t75" style="height:176.25pt;width:414.75pt;" o:ole="t" filled="f" o:preferrelative="t" stroked="f" coordsize="21600,21600">
                  <v:path/>
                  <v:fill on="f" focussize="0,0"/>
                  <v:stroke on="f"/>
                  <v:imagedata r:id="rId11" o:title=""/>
                  <o:lock v:ext="edit" aspectratio="t"/>
                  <w10:wrap type="none"/>
                  <w10:anchorlock/>
                </v:shape>
                <o:OLEObject Type="Link" ProgID="Excel.Sheet.8" ShapeID="_x0000_i1025" UpdateMode="Always" DrawAspect="Content" ObjectID="_1468075725" r:id="rId12">
                  <o:LinkType>EnhancedMetaFile</o:LinkType>
                  <o:LockedField>false</o:LockedField>
                </o:OLEObject>
              </w:object>
            </w:r>
          </w:p>
          <w:p>
            <w:pPr>
              <w:pStyle w:val="3"/>
              <w:widowControl w:val="0"/>
              <w:jc w:val="center"/>
              <w:rPr>
                <w:rFonts w:hint="eastAsia"/>
                <w:color w:val="0000FF"/>
                <w:lang w:val="en-US" w:eastAsia="zh-CN"/>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1</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水平衡图（t/a）</w:t>
            </w:r>
          </w:p>
          <w:p>
            <w:pPr>
              <w:pStyle w:val="24"/>
              <w:widowControl w:val="0"/>
              <w:ind w:firstLine="450" w:firstLineChars="200"/>
              <w:jc w:val="both"/>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24"/>
              <w:widowControl w:val="0"/>
              <w:ind w:firstLine="0" w:firstLineChars="0"/>
              <w:jc w:val="left"/>
              <w:rPr>
                <w:rFonts w:ascii="Times New Roman" w:hAnsi="Times New Roman" w:eastAsia="宋体" w:cs="Times New Roman"/>
                <w:b/>
                <w:bCs/>
                <w:color w:val="000000" w:themeColor="text1"/>
                <w:sz w:val="21"/>
                <w:szCs w:val="21"/>
                <w14:textFill>
                  <w14:solidFill>
                    <w14:schemeClr w14:val="tx1"/>
                  </w14:solidFill>
                </w14:textFill>
              </w:rPr>
            </w:pPr>
          </w:p>
          <w:p>
            <w:pPr>
              <w:keepNext/>
              <w:keepLines/>
              <w:pageBreakBefore w:val="0"/>
              <w:widowControl/>
              <w:kinsoku/>
              <w:wordWrap/>
              <w:overflowPunct/>
              <w:topLinePunct w:val="0"/>
              <w:autoSpaceDE/>
              <w:autoSpaceDN/>
              <w:bidi w:val="0"/>
              <w:adjustRightInd/>
              <w:snapToGrid/>
              <w:spacing w:before="0" w:beforeLines="0" w:after="0" w:afterLines="0" w:line="24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1" w:name="_Toc29387767"/>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碎石</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lang w:eastAsia="zh-CN"/>
                <w14:textFill>
                  <w14:solidFill>
                    <w14:schemeClr w14:val="tx1"/>
                  </w14:solidFill>
                </w14:textFill>
              </w:rPr>
              <w:t>工艺流程及产污环节</w:t>
            </w:r>
          </w:p>
          <w:p>
            <w:pPr>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60060" cy="2560320"/>
                  <wp:effectExtent l="0" t="0" r="254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560060" cy="2560320"/>
                          </a:xfrm>
                          <a:prstGeom prst="rect">
                            <a:avLst/>
                          </a:prstGeom>
                          <a:noFill/>
                          <a:ln>
                            <a:noFill/>
                          </a:ln>
                        </pic:spPr>
                      </pic:pic>
                    </a:graphicData>
                  </a:graphic>
                </wp:inline>
              </w:drawing>
            </w:r>
          </w:p>
          <w:p>
            <w:pPr>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2</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碎石生产</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工艺流程及产污环节</w:t>
            </w:r>
          </w:p>
          <w:p>
            <w:pPr>
              <w:pStyle w:val="13"/>
              <w:widowControl w:val="0"/>
              <w:spacing w:line="360" w:lineRule="auto"/>
              <w:ind w:firstLine="482" w:firstLineChars="200"/>
              <w:jc w:val="both"/>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t>工艺简介:</w:t>
            </w:r>
          </w:p>
          <w:p>
            <w:pPr>
              <w:pStyle w:val="8"/>
              <w:widowControl w:val="0"/>
              <w:spacing w:line="360" w:lineRule="auto"/>
              <w:ind w:firstLine="448" w:firstLineChars="200"/>
              <w:jc w:val="both"/>
              <w:rPr>
                <w:rFonts w:hint="default" w:ascii="Times New Roman" w:hAnsi="Times New Roman" w:eastAsia="宋体" w:cs="Times New Roman"/>
                <w:color w:val="000000" w:themeColor="text1"/>
                <w:spacing w:val="-8"/>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t>正兴车轮施工场地开挖的建筑废渣及废土方（含水率约为20%）堆放在正兴车轮的施工场地，先通过卡车将原料（主要以体积较大的块状废石料为主）运输到本项目生产车间2的喂料机进行下料，通过输送带将原料输送到鄂破机进行鄂破，再由振动筛筛选出的细砂即为机制砂成品（含水率为20%，粒径约为2.0-2.8mm）；筛选出的石料经过破碎机破碎后再次进行筛选，筛选出的细石即为碎石成品（粒径约为1-3cm），筛选出的细砂即为机制砂（含水率为20%，粒径约为2.0-2.8mm），筛选出的粒径较大的粗石返回破碎机再次破碎。项目在鄂破、筛选和破碎过程均采用喷洒式洒水，使水充分冲洗掉物料表面的杂质后直接流出设备流在车间的地面，经生产区的导流渠汇集到废水收集池，经沉砂罐絮凝沉淀后，上清液直接回流到清水池回用，下面的泥浆和泥渣经板框压滤机压出泥渣（即为水洗泥，其含水率为30%）后，泥浆回流至沉淀罐。</w:t>
            </w:r>
          </w:p>
          <w:p>
            <w:pPr>
              <w:widowControl/>
              <w:spacing w:line="360" w:lineRule="auto"/>
              <w:ind w:firstLine="482" w:firstLineChars="200"/>
              <w:jc w:val="both"/>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t>产污环节：</w:t>
            </w:r>
          </w:p>
          <w:p>
            <w:pPr>
              <w:widowControl w:val="0"/>
              <w:snapToGrid w:val="0"/>
              <w:spacing w:line="360" w:lineRule="auto"/>
              <w:ind w:firstLine="448" w:firstLineChars="200"/>
              <w:jc w:val="both"/>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t>废水：生产过程产生的废水及地面冲洗水经聚合氯化铝絮凝沉淀后循环使用，不外排；项目废水主要为职工生活污水，经三级化粪池处理后由污水管网纳入华安县第二污水处理厂进一步处理。</w:t>
            </w:r>
          </w:p>
          <w:p>
            <w:pPr>
              <w:widowControl w:val="0"/>
              <w:snapToGrid w:val="0"/>
              <w:spacing w:line="360" w:lineRule="auto"/>
              <w:ind w:firstLine="448" w:firstLineChars="200"/>
              <w:jc w:val="both"/>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t>废气：项目生产工艺均为湿式作业，故生产过程几乎无粉尘废气产生。项目废气主要为原料输送粉尘。</w:t>
            </w:r>
          </w:p>
          <w:p>
            <w:pPr>
              <w:pStyle w:val="15"/>
              <w:widowControl w:val="0"/>
              <w:snapToGrid w:val="0"/>
              <w:spacing w:line="360" w:lineRule="auto"/>
              <w:ind w:left="0" w:right="0" w:firstLine="448" w:firstLineChars="200"/>
              <w:jc w:val="both"/>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t>噪声：主要来自各生产设备运行时产生，项目通过选用低噪声设备，同时合理布局厂区，并对设备采用隔声减噪、对高噪声设备设置减震垫等措施，可有效减小噪声对周围环境的影响。</w:t>
            </w:r>
          </w:p>
          <w:p>
            <w:pPr>
              <w:widowControl/>
              <w:spacing w:line="360" w:lineRule="auto"/>
              <w:ind w:firstLine="448" w:firstLineChars="200"/>
              <w:jc w:val="both"/>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sz w:val="24"/>
                <w:szCs w:val="24"/>
                <w:lang w:val="en-US" w:eastAsia="zh-CN" w:bidi="ar-SA"/>
                <w14:textFill>
                  <w14:solidFill>
                    <w14:schemeClr w14:val="tx1"/>
                  </w14:solidFill>
                </w14:textFill>
              </w:rPr>
              <w:t>固废：项目职工生活垃圾交予环卫部门统一清运；废水收集池、沉淀罐和泥浆池的泥浆和底渣（包含石粉、碎石渣等）、清水池的底渣，经压滤后产生的泥渣即为水洗泥，外卖给陶瓷厂家作为陶瓷生产原料，故项目无生产固废产生</w:t>
            </w:r>
            <w:r>
              <w:rPr>
                <w:rFonts w:hint="eastAsia" w:ascii="Times New Roman" w:hAnsi="Times New Roman" w:eastAsia="宋体" w:cs="Times New Roman"/>
                <w:color w:val="000000" w:themeColor="text1"/>
                <w:spacing w:val="-8"/>
                <w:sz w:val="24"/>
                <w:szCs w:val="24"/>
                <w:lang w:val="en-GB" w:eastAsia="zh-CN" w:bidi="ar-SA"/>
                <w14:textFill>
                  <w14:solidFill>
                    <w14:schemeClr w14:val="tx1"/>
                  </w14:solidFill>
                </w14:textFill>
              </w:rPr>
              <w:t>。</w:t>
            </w:r>
          </w:p>
          <w:p>
            <w:pPr>
              <w:pStyle w:val="4"/>
              <w:widowControl w:val="0"/>
              <w:numPr>
                <w:ilvl w:val="0"/>
                <w:numId w:val="3"/>
              </w:numPr>
              <w:spacing w:line="415" w:lineRule="auto"/>
              <w:ind w:firstLine="450" w:firstLineChars="200"/>
              <w:jc w:val="both"/>
              <w:outlineLvl w:val="1"/>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不符合验收情形统计</w:t>
            </w:r>
            <w:bookmarkEnd w:id="1"/>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000000" w:themeColor="text1"/>
                <w:sz w:val="24"/>
                <w14:textFill>
                  <w14:solidFill>
                    <w14:schemeClr w14:val="tx1"/>
                  </w14:solidFill>
                </w14:textFill>
              </w:rPr>
              <w:t>2-5</w:t>
            </w:r>
            <w:r>
              <w:rPr>
                <w:rFonts w:ascii="Times New Roman" w:hAnsi="Times New Roman" w:eastAsia="宋体" w:cs="Times New Roman"/>
                <w:color w:val="000000" w:themeColor="text1"/>
                <w:sz w:val="24"/>
                <w14:textFill>
                  <w14:solidFill>
                    <w14:schemeClr w14:val="tx1"/>
                  </w14:solidFill>
                </w14:textFill>
              </w:rPr>
              <w:t>。</w:t>
            </w:r>
          </w:p>
          <w:p>
            <w:pPr>
              <w:pStyle w:val="52"/>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 xml:space="preserve"> 项目与《建设项目竣工环境保护验收暂行办法》第八条规定对照情况一览表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195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项目按照建设项目环评及环评批复同时设计和建设了生活污水、废气、噪声、固废等污染防治设施，并同时投入试生产；</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根据监测</w:t>
                  </w:r>
                  <w:r>
                    <w:rPr>
                      <w:rFonts w:hint="eastAsia" w:ascii="Times New Roman" w:hAnsi="Times New Roman" w:eastAsia="宋体" w:cs="Times New Roman"/>
                      <w:color w:val="000000" w:themeColor="text1"/>
                      <w:sz w:val="21"/>
                      <w:szCs w:val="21"/>
                      <w14:textFill>
                        <w14:solidFill>
                          <w14:schemeClr w14:val="tx1"/>
                        </w14:solidFill>
                      </w14:textFill>
                    </w:rPr>
                    <w:t>结果</w:t>
                  </w:r>
                  <w:r>
                    <w:rPr>
                      <w:rFonts w:ascii="Times New Roman" w:hAnsi="Times New Roman" w:eastAsia="宋体"/>
                      <w:color w:val="000000" w:themeColor="text1"/>
                      <w:sz w:val="21"/>
                      <w:szCs w:val="21"/>
                      <w14:textFill>
                        <w14:solidFill>
                          <w14:schemeClr w14:val="tx1"/>
                        </w14:solidFill>
                      </w14:textFill>
                    </w:rPr>
                    <w:t>，项目生活污水、废气、噪声监测结果均符合相关标准要求</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本项目性质、规模、地点、采用的生产工艺和防治污染、防止生态破坏的措施均未发生重大变动。</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建设过程中造成重大环境污染未治理完成，或者造成重大生态破坏未恢复的；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纳入排污许可管理的建设项目，无证排污或者不按证排污的；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本项目已办理排污许可证</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建设单位因该建设项目违反国家和地方环境保护法律法规受到处罚，被责令改正，尚未改正完成的；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本项目不存处罚情形</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1951" w:type="pct"/>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验收报告的基础资料来自企业提供以及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福建恒信环保安全技术有限公司</w:t>
                  </w:r>
                  <w:r>
                    <w:rPr>
                      <w:rFonts w:ascii="Times New Roman" w:hAnsi="Times New Roman" w:eastAsia="宋体" w:cs="Times New Roman"/>
                      <w:color w:val="000000" w:themeColor="text1"/>
                      <w:sz w:val="21"/>
                      <w:szCs w:val="21"/>
                      <w14:textFill>
                        <w14:solidFill>
                          <w14:schemeClr w14:val="tx1"/>
                        </w14:solidFill>
                      </w14:textFill>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其他环境保护法律法规规章等规定不得通过环境保护验收的。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25"/>
              <w:widowControl w:val="0"/>
              <w:jc w:val="left"/>
              <w:rPr>
                <w:color w:val="0000FF"/>
              </w:rPr>
            </w:pP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4"/>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产生的废水主要为员工生活污水、生产废水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生产过程产生的废水及地面冲洗水经聚合氯化铝絮凝沉淀后循环使用，不外排；生活污水经三级化粪池处理后由污水管网纳入华安县第二污水处理厂进一步处理</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项目废气主要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为投料废气、输送废气。</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投料废气、输送废气呈无组织排放，项目生产工艺采用湿式作业，大大降低粉尘废气，生产过程几乎无粉尘废气产生。</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6"/>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本项目主要固体废物分一般固废及生活垃圾。</w:t>
            </w:r>
          </w:p>
          <w:p>
            <w:pPr>
              <w:pStyle w:val="46"/>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项目压滤机压出的泥渣可作为产品外卖给陶瓷厂作为原料，故项目没有生产固废产生</w:t>
            </w:r>
            <w:r>
              <w:rPr>
                <w:rFonts w:hint="eastAsia" w:ascii="Times New Roman" w:hAnsi="Times New Roman" w:eastAsia="宋体" w:cs="Times New Roman"/>
                <w:color w:val="000000" w:themeColor="text1"/>
                <w:kern w:val="0"/>
                <w:sz w:val="24"/>
                <w:szCs w:val="22"/>
                <w:lang w:val="zh-CN"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一般固废</w:t>
            </w:r>
            <w:r>
              <w:rPr>
                <w:rFonts w:hint="eastAsia" w:ascii="Times New Roman" w:hAnsi="Times New Roman" w:eastAsia="宋体" w:cs="Times New Roman"/>
                <w:color w:val="000000" w:themeColor="text1"/>
                <w:kern w:val="0"/>
                <w:sz w:val="24"/>
                <w:szCs w:val="22"/>
                <w:lang w:val="zh-CN" w:eastAsia="zh-CN" w:bidi="ar-SA"/>
                <w14:textFill>
                  <w14:solidFill>
                    <w14:schemeClr w14:val="tx1"/>
                  </w14:solidFill>
                </w14:textFill>
              </w:rPr>
              <w:t>可做到循环综合利用</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6"/>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项目生活垃圾集中收集后由环卫部门统一清运。</w:t>
            </w:r>
          </w:p>
          <w:p>
            <w:pPr>
              <w:pStyle w:val="46"/>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经以上处置措施之后，项目固废均可得到妥善的处理。</w:t>
            </w:r>
          </w:p>
          <w:p>
            <w:pPr>
              <w:pStyle w:val="25"/>
              <w:widowControl w:val="0"/>
              <w:spacing w:line="360" w:lineRule="auto"/>
              <w:jc w:val="left"/>
              <w:rPr>
                <w:color w:val="0000FF"/>
              </w:rPr>
            </w:pPr>
          </w:p>
        </w:tc>
      </w:tr>
    </w:tbl>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表四</w:t>
      </w:r>
    </w:p>
    <w:tbl>
      <w:tblPr>
        <w:tblStyle w:val="27"/>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45" w:hRule="atLeast"/>
        </w:trPr>
        <w:tc>
          <w:tcPr>
            <w:tcW w:w="883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bookmarkStart w:id="2" w:name="12.1项目概况和主要环保问题"/>
            <w:bookmarkEnd w:id="2"/>
            <w:r>
              <w:rPr>
                <w:rFonts w:hint="eastAsia" w:ascii="Times New Roman" w:hAnsi="Times New Roman" w:eastAsia="宋体" w:cs="Times New Roman"/>
                <w:color w:val="000000" w:themeColor="text1"/>
                <w:sz w:val="24"/>
                <w:szCs w:val="32"/>
                <w:lang w:eastAsia="zh-CN"/>
                <w14:textFill>
                  <w14:solidFill>
                    <w14:schemeClr w14:val="tx1"/>
                  </w14:solidFill>
                </w14:textFill>
              </w:rPr>
              <w:t>1.1项目概况和主要环境问题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选址于漳州市华安经济开发区九龙工业园，为租用华安正兴车轮有限公司的部分空地和部分基建中的生产车间进行建设和生产，总投资1200万元，拟建建筑废渣及废土方回收利用项目，年产机制砂9.5万立方、水洗泥5万吨、碎石4.5万立方，招收员工12人，年工作300天，日工作8小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主要环境问题为生活污水、废气、设备噪声和固废等。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1.2环境质量现状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项目所在区域地表水、大气、声环境质量现状良好，能够符合环境规划要求。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1.3工程环境影响评估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施工期：施工期废水主要有施工生产废水和施工人员生活污水。施工废水经沉淀、隔油等预处理后再回用于车辆与设备清洗，或用于临时施工场地、临时堆场、道路等的洒水抑尘，废水不外排，对周边水环境影响不大；项目施工场地内不另设临时营地，施工人员均租住在附近的租赁房，其产生的生活污水量较小，依托原有排水系统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运营期：项目生产废水包括工艺废水和车间冲洗水，经收集后采用絮凝沉淀</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+压滤</w:t>
            </w:r>
            <w:r>
              <w:rPr>
                <w:rFonts w:hint="eastAsia" w:ascii="Times New Roman" w:hAnsi="Times New Roman" w:eastAsia="宋体" w:cs="Times New Roman"/>
                <w:color w:val="000000" w:themeColor="text1"/>
                <w:sz w:val="24"/>
                <w:szCs w:val="32"/>
                <w:lang w:eastAsia="zh-CN"/>
                <w14:textFill>
                  <w14:solidFill>
                    <w14:schemeClr w14:val="tx1"/>
                  </w14:solidFill>
                </w14:textFill>
              </w:rPr>
              <w:t>后循环使用不外排，只需补充损耗量；项目外排废水主要为生活污水，排放量为144t/a，依托正兴车轮办公室的化粪池处理后，由污水管网纳入华安县第二污水处理厂进一步处理，废水排放执行GB8978-1996《污水综合排放标准》三级标准和华安县第二污水处理厂进水水质要求，对区域地表水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（2）大气环境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施工期：大气环境污染物主要来自施工扬尘、运输车辆和施工机械尾气以及装修废气等。项目通过施工车辆限速行驶、保持施工路面清洁、洒水抑尘及适当安排施工周期，可减少施工扬尘的产生，经采取适当的防治措施后，施工废气对周边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运营期：项目依托正兴车轮施工场地的建筑废渣堆放区，不再设置原料堆放区；项目破碎、筛分等工序均设计在封闭的生产车间内，同时对成品堆放应配套“三防”措施。项目废气主要为原料投料和输送粉尘，通过在厂区四周、投料区和原料输送带两侧设置雾化降尘装置，可有效降低扬尘的产生，粉尘排放量为0.0</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eastAsia="zh-CN"/>
                <w14:textFill>
                  <w14:solidFill>
                    <w14:schemeClr w14:val="tx1"/>
                  </w14:solidFill>
                </w14:textFill>
              </w:rPr>
              <w:t xml:space="preserve"> t/a，最大排放速率为0.01 kg/h，为无组织排放。经预测结果可知，项目在厂界无超标点，无须设置大气防护距离，可见粉尘无组织排放可符合GB16297-1996《大气污染物综合排放标准》表2相关标准，处理措施可行。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（3）声环境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施工期：施工噪声来自各施工设备，通过在施工区四周维修围墙，尽可能集中噪声强度较大的机械进行突击作业，缩短施工噪声的污染时间，尽量采用低噪声施工设备，加强设备的维修与管理，合理安排施工计划并采用严格的施工管理，避开休息时间施工等措施，减少施工噪声对周围环境的影响。施工期的噪声是暂时的，间歇性的，随着施工活动的结束，施工噪声也随之消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运营期：项目建成后的噪声主要来源于机械设备运作时的噪声，其噪声声级可达到90dB(A)。根据预测分析可知，经采用治理措施、厂界墙体及距离衰减后，项目厂界噪声排放可符合GB12348-2008《工业企业厂界环境噪声排放标准》3类标准，临圣王大道一侧可符合4类标准，夜间不生产。厂界噪声达标排放对周边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施工期：施工期固体废物主要包括施工过程中产生的建筑垃圾以及施工人员的生活垃圾。施工建筑垃圾需经环境卫生主管部门同意后，运到指定地点进行填埋处理；生活垃圾由环卫部门统一处置。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运营期：项目生活垃圾由环卫部门统一处置；项目泥浆池、废水收集池、清水池底渣及沉淀罐沉淀的泥浆和泥渣（包含石粉、碎石渣等），均可通过板框压滤机压滤后作为水洗泥成品，外卖给给陶瓷厂作为原料，故项目无生产固废产生。固废妥善处理后，不会对周围环境造成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br w:type="page"/>
            </w:r>
            <w:r>
              <w:rPr>
                <w:rFonts w:hint="eastAsia" w:ascii="Times New Roman" w:hAnsi="Times New Roman" w:eastAsia="宋体" w:cs="Times New Roman"/>
                <w:color w:val="000000" w:themeColor="text1"/>
                <w:sz w:val="24"/>
                <w:szCs w:val="32"/>
                <w:lang w:eastAsia="zh-CN"/>
                <w14:textFill>
                  <w14:solidFill>
                    <w14:schemeClr w14:val="tx1"/>
                  </w14:solidFill>
                </w14:textFill>
              </w:rPr>
              <w:t>1.4环境影响可行性结论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1.4.1产业政策符合性结论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项目属于建筑废渣及废土方回收利用项目，对照《产业结构调整指导目录（2019年本）》，项目不属于限制或淘汰类，符合产业政策。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1.4.2选址可行性结论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选址于漳州市华安经济开发区九龙工业园，为租用正兴车轮施工场地内的部分空地和部分生产车间进行建设和生产，该地块属于工业用地，不属于自然保护区、风景名胜区、饮用水水源保护区等环境敏感区，所在地块周边无居民区、医院、学校等环境噪声敏感目标，选址符合用地规划，符合开发区总体规划，与周边环境相容；符合环境功能区划要求；项目建设各污染物经治理达标后排放，不会对周边环境产生不良影响，与周边环境相容，项目选址合理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1.4.3总量控制符合性结论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项目不涉及大气污染物控制因子；项目无生产废水排放，生活污水经化粪池处理后由市政污水管网排入华安县第二污水处理厂进一步处理，故无须申请废水总量指标。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1.4.4污染物达标排放可行性结论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项目投入环保投资量为</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32"/>
                <w:lang w:eastAsia="zh-CN"/>
                <w14:textFill>
                  <w14:solidFill>
                    <w14:schemeClr w14:val="tx1"/>
                  </w14:solidFill>
                </w14:textFill>
              </w:rPr>
              <w:t>万元，占总投资</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1.67%</w:t>
            </w:r>
            <w:r>
              <w:rPr>
                <w:rFonts w:hint="eastAsia" w:ascii="Times New Roman" w:hAnsi="Times New Roman" w:eastAsia="宋体" w:cs="Times New Roman"/>
                <w:color w:val="000000" w:themeColor="text1"/>
                <w:sz w:val="24"/>
                <w:szCs w:val="32"/>
                <w:lang w:eastAsia="zh-CN"/>
                <w14:textFill>
                  <w14:solidFill>
                    <w14:schemeClr w14:val="tx1"/>
                  </w14:solidFill>
                </w14:textFill>
              </w:rPr>
              <w:t>。项目运营过程废水、废气、噪声及固体废物经采取有效的污染防治措施，各污染物均可实现达标排放。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1.5总结论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eastAsia="zh-CN"/>
                <w14:textFill>
                  <w14:solidFill>
                    <w14:schemeClr w14:val="tx1"/>
                  </w14:solidFill>
                </w14:textFill>
              </w:rPr>
            </w:pPr>
            <w:r>
              <w:rPr>
                <w:rFonts w:hint="eastAsia" w:ascii="Times New Roman" w:hAnsi="Times New Roman" w:eastAsia="宋体" w:cs="Times New Roman"/>
                <w:color w:val="000000" w:themeColor="text1"/>
                <w:sz w:val="24"/>
                <w:szCs w:val="32"/>
                <w:lang w:eastAsia="zh-CN"/>
                <w14:textFill>
                  <w14:solidFill>
                    <w14:schemeClr w14:val="tx1"/>
                  </w14:solidFill>
                </w14:textFill>
              </w:rPr>
              <w:t>项目选址于漳州市华安经济开发区九龙工业园，总投资1200万元，年产机制砂9.5万立方、水洗泥5万吨、碎石4.5万立方，项目符合国家产业政策；选址合理，符合用地要求，符合大气防护距离要求；经采取环保措施后，污染物能够达标排放，并符合总量控制的要求；项目所在区域的环境功能区基本达标，同时项目区域环境容量满足项目建设的需要。因此,该项目的建设从环境保护的角度分析是可行的</w:t>
            </w:r>
            <w:r>
              <w:rPr>
                <w:rFonts w:hint="default" w:ascii="Times New Roman" w:hAnsi="Times New Roman" w:eastAsia="宋体" w:cs="Times New Roman"/>
                <w:color w:val="000000" w:themeColor="text1"/>
                <w:sz w:val="24"/>
                <w:szCs w:val="32"/>
                <w:lang w:eastAsia="zh-CN"/>
                <w14:textFill>
                  <w14:solidFill>
                    <w14:schemeClr w14:val="tx1"/>
                  </w14:solidFill>
                </w14:textFill>
              </w:rPr>
              <w:t>。</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华安溪源宏建材有限公司：</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你公司报送的《华安溪源宏建材有限公司建筑废渣及废土方回收利用项目环境影响报告表》及相关材料收悉，根据《建设项目环境保护管理条例》第九条第二款，经研究，现批复如下：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项目建设内容：项目位于华安经济开发区九龙工业园，租用华安正兴车轮有限公司的部分空地和2栋生产车间，占地面积5000平方米，建筑面积5000平方米。设计规模为年产机制砂9.5万立方、水洗泥5万吨、碎石4.5万立方。具体建设内容详见项目环境影响报告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根据报告表评价结论，在项目全面落实报告表提出的各项生态保护、污染防治措施，环境不利影响能够得到缓解和控制。综合各方面因素，我局原则同意环境影响报告表结论和报告表中所列建设项目的性质、规模、工艺、地点和环境保护对策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的性质、规模、地点、采用的生产工艺或者防治污染、防止生态破坏的措施发生重大变动的，建设单位应当重新报批建设项目的环境影响评价文件。自项目环境影响报告表批准之日起超过五年，方决定开工建设的，环境影响报告表应当报我局重新审核。项目竣工后，应严格按照《建设项目环境保护管理条例》要求，依法申领排污许可证、及时开展竣工环境保护验收等各项环保手续；未经验收或者验收不合格的，不得投入生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三、主要污染物排放标准与控制要求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应严格执行配套建设的环境保护设施与主体工程同时设计、同时施工、同时投产使用的环境保护“三同时”制度，落实报告表提出的污染物排放标准及各项环保措施，确保施工期和运营期各项污染物稳定达标排放和环境安全。应重点做好以下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1、进一步提高清洁生产工艺水平，采用国内外先进的生产工艺、设备和技术的同时，选用处理工艺成熟、运转可靠的环保设施，确保各类污染物稳定达标排放。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运营期地表水环境保护工作。厂区应做好雨污分流、清污分流。施工废水应通过施工营地内设置的临时排污沟收集后汇入沉淀池和隔油池，经预处理后应再回用于施工生产，或用于场地洒水抑尘。运营期，鄂破、筛选和破碎工序、脱水和洗砂工序产生的废水及地面冲洗水应通过收集池收集后再经聚合氯化铝絮凝沉淀并循环使用，不外排；项目生活污水经厂内三级化粪池预处理后，由开发区污水管网纳入华安县第二污水处理厂进一步处理。厂区四周应设置导流渠，收集的废水导入厂区内的废水收集池，回用于生产不外排。生活污水排放执行GB8978-1996《污水综合排放标准》表4三级标准，并应同时满足华安县第二污水处理厂进水水质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厂区应合理布局，应选用低噪声设备，对各生产设备应采取安装减震垫、隔声罩等综合降噪措施，确保厂界噪声达标。项目厂界噪声执行GB12348-2008《工业企业厂界环境噪声排放标准》3类区标准，东侧临圣王大道执行4类区标准；施工期噪声执行GB12523-2011《建筑施工场界环境噪声排放标准》相关排放限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加强环境管理，做好施工期及运营期扬尘等大气污染物的防治工作。运营期，项目生产工艺拟采用湿式作业，应在生产车间四周设置雾化降尘装置，同时在喂料机的喂料口和输送带两侧增设雾化降尘装置。项目施工期及运营期粉尘废气排放执行GB16297-1996《大气污染物综合排放标准》表2二级排放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5、一般工业固废贮存和处置执行《一般工业固体废物贮存、处置场污染控制标准》(GB18599-2001)及其修改单要求</w:t>
            </w:r>
            <w:r>
              <w:rPr>
                <w:rFonts w:hint="eastAsia" w:ascii="Times New Roman" w:hAnsi="Times New Roman" w:eastAsia="宋体" w:cs="Times New Roman"/>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六、请你公司在收到批复后一个月内，将经批复的环境影响报告表送漳州市华安县生态环境保护综合执法大队，在工程开工前1个月内将项目建设计划进度表、施工期污染防治措施实施计划、污染监测计划等有关材料报上述部门备案，并接受其监督检查。</w:t>
            </w:r>
          </w:p>
          <w:p>
            <w:pPr>
              <w:pStyle w:val="37"/>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三</w:t>
            </w:r>
            <w:r>
              <w:rPr>
                <w:rFonts w:ascii="Times New Roman" w:hAnsi="Times New Roman" w:cs="Times New Roman"/>
                <w:b/>
                <w:bCs/>
                <w:color w:val="000000" w:themeColor="text1"/>
                <w14:textFill>
                  <w14:solidFill>
                    <w14:schemeClr w14:val="tx1"/>
                  </w14:solidFill>
                </w14:textFill>
              </w:rPr>
              <w:t>、环境影响报告表及批复意见落实情况调查</w:t>
            </w:r>
          </w:p>
          <w:p>
            <w:pPr>
              <w:pStyle w:val="37"/>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ascii="Times New Roman" w:hAnsi="Times New Roman" w:cs="Times New Roman"/>
                <w:b/>
                <w:bCs/>
                <w:color w:val="000000" w:themeColor="text1"/>
                <w:sz w:val="21"/>
                <w:szCs w:val="21"/>
                <w14:textFill>
                  <w14:solidFill>
                    <w14:schemeClr w14:val="tx1"/>
                  </w14:solidFill>
                </w14:textFill>
              </w:rPr>
              <w:t xml:space="preserve"> 环境影响报告表批复意见落实一览表</w:t>
            </w:r>
          </w:p>
          <w:tbl>
            <w:tblPr>
              <w:tblStyle w:val="27"/>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0"/>
              <w:gridCol w:w="5145"/>
              <w:gridCol w:w="3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9" w:hRule="atLeast"/>
                <w:jc w:val="center"/>
              </w:trPr>
              <w:tc>
                <w:tcPr>
                  <w:tcW w:w="184"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2970"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批复情况</w:t>
                  </w:r>
                </w:p>
              </w:tc>
              <w:tc>
                <w:tcPr>
                  <w:tcW w:w="1844"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84" w:type="pct"/>
                  <w:tcBorders>
                    <w:tl2br w:val="nil"/>
                    <w:tr2bl w:val="nil"/>
                  </w:tcBorders>
                  <w:vAlign w:val="center"/>
                </w:tcPr>
                <w:p>
                  <w:pPr>
                    <w:pStyle w:val="37"/>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2970" w:type="pct"/>
                  <w:tcBorders>
                    <w:tl2br w:val="nil"/>
                    <w:tr2bl w:val="nil"/>
                  </w:tcBorders>
                  <w:vAlign w:val="center"/>
                </w:tcPr>
                <w:p>
                  <w:pPr>
                    <w:pStyle w:val="37"/>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进一步提高清洁生产工艺水平，采用国内外先进的生产工艺、设备和技术的同时，选用处理工艺成熟、运转可靠的环保设施，确保各类污染物稳定达标排放。</w:t>
                  </w:r>
                </w:p>
              </w:tc>
              <w:tc>
                <w:tcPr>
                  <w:tcW w:w="1844" w:type="pct"/>
                  <w:tcBorders>
                    <w:tl2br w:val="nil"/>
                    <w:tr2bl w:val="nil"/>
                  </w:tcBorders>
                  <w:vAlign w:val="center"/>
                </w:tcPr>
                <w:p>
                  <w:pPr>
                    <w:pStyle w:val="59"/>
                    <w:widowControl w:val="0"/>
                    <w:spacing w:line="240" w:lineRule="auto"/>
                    <w:ind w:left="0" w:leftChars="0" w:firstLine="0" w:firstLine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根据验收检测报告，本项目各类污染物稳定达标排放。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2</w:t>
                  </w:r>
                </w:p>
              </w:tc>
              <w:tc>
                <w:tcPr>
                  <w:tcW w:w="2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加强运营期地表水环境保护工作。厂区应做好雨污分流、清污分流。施工废水应通过施工营地内设置的临时排污沟收集后汇入沉淀池和隔油池，经预处理后应再回用于施工生产，或用于场地洒水抑尘。运营期，鄂破、筛选和破碎工序、脱水和洗砂工序产生的废水及地面冲洗水应通过收集池收集后再经聚合氯化铝絮凝沉淀并循环使用，不外排；项目生活污水经厂内三级化粪池预处理后，由开发区污水管网纳入华安县第二污水处理厂进一步处理。厂区四周应设置导流渠，收集的废水导入厂区内的废水收集池，回用于生产不外排。生活污水排放执行GB8978-1996《污水综合排放标准》表4三级标准，并应同时满足华安县第二污水处理厂进水水质要求。</w:t>
                  </w:r>
                </w:p>
              </w:tc>
              <w:tc>
                <w:tcPr>
                  <w:tcW w:w="18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生产过程产生的废水及地面冲洗水经聚合氯化铝絮凝沉淀后循环使用，不外排；生活污水经三级化粪池处理后由污水管网纳入华安县第二污水处理厂进一步处理</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3</w:t>
                  </w:r>
                </w:p>
              </w:tc>
              <w:tc>
                <w:tcPr>
                  <w:tcW w:w="2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厂区应合理布局，应选用低噪声设备，对各生产设备应采取安装减震垫、隔声罩等综合降噪措施，确保厂界噪声达标。项目厂界噪声执行GB12348-2008《工业企业厂界环境噪声排放标准》3类区标准，东侧临圣王大道执行4类区标准；施工期噪声执行GB12523-2011《建筑施工场界环境噪声排放标准》相关排放限值。</w:t>
                  </w:r>
                </w:p>
              </w:tc>
              <w:tc>
                <w:tcPr>
                  <w:tcW w:w="18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4</w:t>
                  </w:r>
                </w:p>
              </w:tc>
              <w:tc>
                <w:tcPr>
                  <w:tcW w:w="2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加强环境管理，做好施工期及运营期扬尘等大气污染物的防治工作。运营期，项目生产工艺拟采用湿式作业，应在生产车间四周设置雾化降尘装置，同时在喂料机的喂料口和输送带两侧增设雾化降尘装置。项目施工期及运营期粉尘废气排放执行GB16297-1996《大气污染物综合排放标准》表2二级排放标准。</w:t>
                  </w:r>
                </w:p>
              </w:tc>
              <w:tc>
                <w:tcPr>
                  <w:tcW w:w="18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投料废气、输送废气呈无组织排放，项目生产工艺采用湿式作业，大大降低粉尘废气，生产过程几乎无粉尘废气产生。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5</w:t>
                  </w:r>
                </w:p>
              </w:tc>
              <w:tc>
                <w:tcPr>
                  <w:tcW w:w="2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一般工业固废贮存和处置执行《一般工业固体废物贮存、处置场污染控制标准》(GB18599-2001)及其修改单要求</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844" w:type="pct"/>
                  <w:tcBorders>
                    <w:tl2br w:val="nil"/>
                    <w:tr2bl w:val="nil"/>
                  </w:tcBorders>
                  <w:vAlign w:val="center"/>
                </w:tcPr>
                <w:p>
                  <w:pPr>
                    <w:pStyle w:val="46"/>
                    <w:pageBreakBefore w:val="0"/>
                    <w:kinsoku/>
                    <w:wordWrap/>
                    <w:overflowPunct/>
                    <w:topLinePunct w:val="0"/>
                    <w:bidi w:val="0"/>
                    <w:spacing w:line="240" w:lineRule="auto"/>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项目压滤机压出的泥渣可作为产品外卖给陶瓷厂作为原料，故项目没有生产固废产生</w:t>
                  </w:r>
                  <w: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一般固废</w:t>
                  </w:r>
                  <w:r>
                    <w:rPr>
                      <w:rFonts w:hint="eastAsia" w:ascii="Times New Roman" w:hAnsi="Times New Roman" w:eastAsia="宋体" w:cs="Times New Roman"/>
                      <w:color w:val="000000" w:themeColor="text1"/>
                      <w:kern w:val="0"/>
                      <w:sz w:val="21"/>
                      <w:szCs w:val="21"/>
                      <w:lang w:val="zh-CN" w:eastAsia="zh-CN" w:bidi="ar-SA"/>
                      <w14:textFill>
                        <w14:solidFill>
                          <w14:schemeClr w14:val="tx1"/>
                        </w14:solidFill>
                      </w14:textFill>
                    </w:rPr>
                    <w:t>可做到循环综合利用</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。项目生活垃圾集中收集后由环卫部门统一清运。</w:t>
                  </w:r>
                </w:p>
              </w:tc>
            </w:tr>
          </w:tbl>
          <w:p>
            <w:pPr>
              <w:pStyle w:val="37"/>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6"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表五</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widowControl/>
              <w:spacing w:line="36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1、监测分析方法</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此次验收监测的分析方法按环境要素说明各项监测因子监测分析方法名称、方法标准号或方法来源、分析方法的最低检出限，详见下表。</w:t>
            </w:r>
          </w:p>
          <w:p>
            <w:pPr>
              <w:widowControl w:val="0"/>
              <w:adjustRightInd/>
              <w:spacing w:line="240" w:lineRule="auto"/>
              <w:ind w:firstLine="422" w:firstLineChars="200"/>
              <w:jc w:val="center"/>
              <w:rPr>
                <w:rFonts w:ascii="Times New Roman" w:hAnsi="Times New Roman" w:eastAsia="宋体" w:cs="Times New Roman"/>
                <w:b/>
                <w:bCs/>
                <w:color w:val="000000" w:themeColor="text1"/>
                <w:sz w:val="21"/>
                <w:szCs w:val="21"/>
                <w14:textFill>
                  <w14:solidFill>
                    <w14:schemeClr w14:val="tx1"/>
                  </w14:solidFill>
                </w14:textFill>
              </w:rPr>
            </w:pPr>
            <w:bookmarkStart w:id="3" w:name="_Toc1961"/>
            <w:r>
              <w:rPr>
                <w:rFonts w:ascii="Times New Roman" w:hAnsi="Times New Roman" w:eastAsia="宋体" w:cs="Times New Roman"/>
                <w:b/>
                <w:bCs/>
                <w:color w:val="000000" w:themeColor="text1"/>
                <w:sz w:val="21"/>
                <w:szCs w:val="21"/>
                <w14:textFill>
                  <w14:solidFill>
                    <w14:schemeClr w14:val="tx1"/>
                  </w14:solidFill>
                </w14:textFill>
              </w:rPr>
              <w:t>表5-1 监测分析方法</w:t>
            </w:r>
            <w:bookmarkEnd w:id="3"/>
            <w:r>
              <w:rPr>
                <w:rFonts w:ascii="Times New Roman" w:hAnsi="Times New Roman" w:eastAsia="宋体" w:cs="Times New Roman"/>
                <w:b/>
                <w:bCs/>
                <w:color w:val="000000" w:themeColor="text1"/>
                <w:sz w:val="21"/>
                <w:szCs w:val="21"/>
                <w14:textFill>
                  <w14:solidFill>
                    <w14:schemeClr w14:val="tx1"/>
                  </w14:solidFill>
                </w14:textFill>
              </w:rPr>
              <w:t>表</w:t>
            </w:r>
          </w:p>
          <w:tbl>
            <w:tblPr>
              <w:tblStyle w:val="26"/>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65"/>
              <w:gridCol w:w="4201"/>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检测项目</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分析方法</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废水</w:t>
                  </w: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pH</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pH </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值的测定 电极法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HJ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1147-2020</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SS</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悬浮物的测定 重量法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GB 11901-1989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CODcr</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化学需氧量的测定 重铬酸盐法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828-2017</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5</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水质 五日生化需氧量（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BOD5</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）的测定稀释与接种法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505-2009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氨氮</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水质 氨氮的测定 纳氏试剂分光光度法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 535-200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1"/>
                      <w:szCs w:val="21"/>
                      <w14:textFill>
                        <w14:solidFill>
                          <w14:schemeClr w14:val="tx1"/>
                        </w14:solidFill>
                      </w14:textFill>
                    </w:rPr>
                    <w:t>mg/</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无组织废气</w:t>
                  </w:r>
                </w:p>
              </w:tc>
              <w:tc>
                <w:tcPr>
                  <w:tcW w:w="146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颗粒物</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环境空气 总悬浮颗粒物的测定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GB/T 15432-1995 </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及修改单</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厂界噪声</w:t>
                  </w:r>
                </w:p>
              </w:tc>
              <w:tc>
                <w:tcPr>
                  <w:tcW w:w="420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环境噪声监测技术规范 噪声测量值 </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修正 </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HJ706-2014</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bl>
          <w:p>
            <w:pPr>
              <w:widowControl w:val="0"/>
              <w:adjustRightInd/>
              <w:spacing w:line="360" w:lineRule="auto"/>
              <w:ind w:firstLine="422" w:firstLineChars="200"/>
              <w:jc w:val="center"/>
              <w:rPr>
                <w:rFonts w:ascii="Times New Roman" w:hAnsi="Times New Roman" w:eastAsia="宋体" w:cs="Times New Roman"/>
                <w:b/>
                <w:bCs/>
                <w:color w:val="0000FF"/>
                <w:sz w:val="21"/>
                <w:szCs w:val="21"/>
              </w:rPr>
            </w:pP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2、质控措施</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（1）人员：承担监测任务的环境监测站通过资质认定，监测人员持证上岗。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spacing w:line="360" w:lineRule="auto"/>
              <w:ind w:firstLine="480" w:firstLineChars="200"/>
              <w:jc w:val="both"/>
              <w:rPr>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（7）采样记录、分析结果、监测方案及报告均严格执行三级审核制度。</w:t>
            </w:r>
            <w:r>
              <w:rPr>
                <w:rFonts w:hint="eastAsia" w:ascii="Times New Roman" w:hAnsi="Times New Roman" w:eastAsia="宋体" w:cs="Times New Roman"/>
                <w:color w:val="000000" w:themeColor="text1"/>
                <w:sz w:val="24"/>
                <w:szCs w:val="24"/>
                <w14:textFill>
                  <w14:solidFill>
                    <w14:schemeClr w14:val="tx1"/>
                  </w14:solidFill>
                </w14:textFill>
              </w:rPr>
              <w:t>即所在检测科室的室主任、质控负责人和技术负责人逐级审核，发现问题及时解决，不得进入下一环节。</w:t>
            </w:r>
          </w:p>
          <w:p>
            <w:pPr>
              <w:pStyle w:val="25"/>
              <w:widowControl w:val="0"/>
              <w:rPr>
                <w:color w:val="000000" w:themeColor="text1"/>
                <w14:textFill>
                  <w14:solidFill>
                    <w14:schemeClr w14:val="tx1"/>
                  </w14:solidFill>
                </w14:textFill>
              </w:rPr>
            </w:pPr>
          </w:p>
          <w:p>
            <w:pPr>
              <w:pStyle w:val="25"/>
              <w:widowControl w:val="0"/>
              <w:rPr>
                <w:rFonts w:hint="default"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pPr>
    </w:p>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表六</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000000" w:themeColor="text1"/>
                <w:sz w:val="24"/>
                <w:szCs w:val="24"/>
                <w14:textFill>
                  <w14:solidFill>
                    <w14:schemeClr w14:val="tx1"/>
                  </w14:solidFill>
                </w14:textFill>
              </w:rPr>
            </w:pPr>
            <w:bookmarkStart w:id="4" w:name="_Toc24246"/>
            <w:bookmarkStart w:id="5" w:name="_Toc4084"/>
            <w:r>
              <w:rPr>
                <w:rFonts w:ascii="Times New Roman" w:hAnsi="Times New Roman" w:eastAsia="宋体" w:cs="Times New Roman"/>
                <w:bCs/>
                <w:color w:val="000000" w:themeColor="text1"/>
                <w:sz w:val="24"/>
                <w:szCs w:val="24"/>
                <w14:textFill>
                  <w14:solidFill>
                    <w14:schemeClr w14:val="tx1"/>
                  </w14:solidFill>
                </w14:textFill>
              </w:rPr>
              <w:t>1、环境保护设施调试效果</w:t>
            </w:r>
            <w:bookmarkEnd w:id="4"/>
            <w:bookmarkEnd w:id="5"/>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通过对各类污染物达标排放排放及各类污染治理设施去除效率的监测，来说明环境保护设施调试效果，具体监测内容如下：</w:t>
            </w:r>
          </w:p>
          <w:p>
            <w:pPr>
              <w:widowControl w:val="0"/>
              <w:numPr>
                <w:ilvl w:val="0"/>
                <w:numId w:val="5"/>
              </w:numPr>
              <w:adjustRightInd/>
              <w:snapToGrid/>
              <w:spacing w:line="360" w:lineRule="auto"/>
              <w:ind w:firstLine="480" w:firstLineChars="200"/>
              <w:jc w:val="both"/>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废</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水</w:t>
            </w:r>
          </w:p>
          <w:p>
            <w:pPr>
              <w:widowControl/>
              <w:numPr>
                <w:ilvl w:val="0"/>
                <w:numId w:val="0"/>
              </w:numPr>
              <w:spacing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 废水</w:t>
            </w:r>
            <w:r>
              <w:rPr>
                <w:rFonts w:ascii="Times New Roman" w:hAnsi="Times New Roman" w:eastAsia="宋体" w:cs="Times New Roman"/>
                <w:b/>
                <w:color w:val="000000" w:themeColor="text1"/>
                <w:sz w:val="21"/>
                <w:szCs w:val="21"/>
                <w14:textFill>
                  <w14:solidFill>
                    <w14:schemeClr w14:val="tx1"/>
                  </w14:solidFill>
                </w14:textFill>
              </w:rPr>
              <w:t>监测明内容细</w:t>
            </w:r>
          </w:p>
          <w:tbl>
            <w:tblPr>
              <w:tblStyle w:val="27"/>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生活废水</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生活废水处理设施出口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三级化粪池</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3次/天，2天</w:t>
                  </w:r>
                </w:p>
              </w:tc>
            </w:tr>
          </w:tbl>
          <w:p>
            <w:pPr>
              <w:pStyle w:val="3"/>
              <w:widowControl w:val="0"/>
              <w:numPr>
                <w:ilvl w:val="0"/>
                <w:numId w:val="0"/>
              </w:numPr>
              <w:spacing w:line="360" w:lineRule="auto"/>
              <w:ind w:firstLine="480" w:firstLineChars="200"/>
              <w:jc w:val="both"/>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（2）废气</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本次验收废气监测内容明细表见下表。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2 </w:t>
            </w:r>
            <w:r>
              <w:rPr>
                <w:rFonts w:ascii="Times New Roman" w:hAnsi="Times New Roman" w:eastAsia="宋体" w:cs="Times New Roman"/>
                <w:b/>
                <w:color w:val="000000" w:themeColor="text1"/>
                <w:sz w:val="21"/>
                <w:szCs w:val="21"/>
                <w14:textFill>
                  <w14:solidFill>
                    <w14:schemeClr w14:val="tx1"/>
                  </w14:solidFill>
                </w14:textFill>
              </w:rPr>
              <w:t>废气监测明内容细</w:t>
            </w:r>
          </w:p>
          <w:tbl>
            <w:tblPr>
              <w:tblStyle w:val="27"/>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2478"/>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478"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450"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无组织废气</w:t>
                  </w:r>
                </w:p>
              </w:tc>
              <w:tc>
                <w:tcPr>
                  <w:tcW w:w="2478"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上方向1个点</w:t>
                  </w:r>
                </w:p>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下方向3个点</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）厂界噪声监测</w:t>
            </w:r>
          </w:p>
          <w:p>
            <w:pPr>
              <w:widowControl w:val="0"/>
              <w:adjustRightIn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本次验收厂界噪声监测明细表见下表。</w:t>
            </w:r>
          </w:p>
          <w:p>
            <w:pPr>
              <w:widowControl w:val="0"/>
              <w:adjustRightInd/>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厂界噪声监测内容明细</w:t>
            </w:r>
          </w:p>
          <w:tbl>
            <w:tblPr>
              <w:tblStyle w:val="27"/>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隔声</w:t>
                  </w:r>
                  <w:r>
                    <w:rPr>
                      <w:rFonts w:hint="eastAsia" w:ascii="Times New Roman" w:hAnsi="Times New Roman" w:eastAsia="宋体" w:cs="Times New Roman"/>
                      <w:bCs/>
                      <w:color w:val="000000" w:themeColor="text1"/>
                      <w:sz w:val="21"/>
                      <w:szCs w:val="21"/>
                      <w14:textFill>
                        <w14:solidFill>
                          <w14:schemeClr w14:val="tx1"/>
                        </w14:solidFill>
                      </w14:textFill>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昼</w:t>
                  </w:r>
                  <w:r>
                    <w:rPr>
                      <w:rFonts w:hint="eastAsia" w:ascii="Times New Roman" w:hAnsi="Times New Roman" w:eastAsia="宋体" w:cs="Times New Roman"/>
                      <w:bCs/>
                      <w:color w:val="000000" w:themeColor="text1"/>
                      <w:sz w:val="21"/>
                      <w:szCs w:val="21"/>
                      <w14:textFill>
                        <w14:solidFill>
                          <w14:schemeClr w14:val="tx1"/>
                        </w14:solidFill>
                      </w14:textFill>
                    </w:rPr>
                    <w:t>间</w:t>
                  </w:r>
                  <w:r>
                    <w:rPr>
                      <w:rFonts w:ascii="Times New Roman" w:hAnsi="Times New Roman" w:eastAsia="宋体" w:cs="Times New Roman"/>
                      <w:bCs/>
                      <w:color w:val="000000" w:themeColor="text1"/>
                      <w:sz w:val="21"/>
                      <w:szCs w:val="21"/>
                      <w14:textFill>
                        <w14:solidFill>
                          <w14:schemeClr w14:val="tx1"/>
                        </w14:solidFill>
                      </w14:textFill>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bl>
          <w:p>
            <w:pPr>
              <w:widowControl w:val="0"/>
              <w:spacing w:line="240" w:lineRule="auto"/>
              <w:jc w:val="center"/>
              <w:rPr>
                <w:rFonts w:hint="eastAsia" w:ascii="Times New Roman" w:hAnsi="Times New Roman" w:eastAsia="宋体" w:cs="Times New Roman"/>
                <w:color w:val="0000FF"/>
                <w:sz w:val="24"/>
                <w:szCs w:val="24"/>
              </w:rPr>
            </w:pPr>
          </w:p>
          <w:p>
            <w:pPr>
              <w:pStyle w:val="25"/>
              <w:widowControl w:val="0"/>
              <w:rPr>
                <w:color w:val="0000FF"/>
              </w:rPr>
            </w:pP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表七</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bookmarkStart w:id="6" w:name="_Toc23720"/>
            <w:bookmarkStart w:id="7" w:name="_Toc8105"/>
            <w:r>
              <w:rPr>
                <w:rFonts w:ascii="Times New Roman" w:hAnsi="Times New Roman" w:eastAsia="宋体" w:cs="Times New Roman"/>
                <w:color w:val="000000" w:themeColor="text1"/>
                <w:sz w:val="24"/>
                <w:szCs w:val="24"/>
                <w14:textFill>
                  <w14:solidFill>
                    <w14:schemeClr w14:val="tx1"/>
                  </w14:solidFill>
                </w14:textFill>
              </w:rPr>
              <w:t>1、生产工况</w:t>
            </w:r>
            <w:bookmarkEnd w:id="6"/>
            <w:bookmarkEnd w:id="7"/>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福建恒信环保安全技术有限公司</w:t>
            </w:r>
            <w:r>
              <w:rPr>
                <w:rFonts w:hint="eastAsia"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2021年5月21日至2021年5月22日</w:t>
            </w:r>
            <w:r>
              <w:rPr>
                <w:rFonts w:hint="eastAsia" w:ascii="Times New Roman" w:hAnsi="Times New Roman" w:eastAsia="宋体" w:cs="Times New Roman"/>
                <w:color w:val="000000" w:themeColor="text1"/>
                <w:sz w:val="24"/>
                <w:szCs w:val="24"/>
                <w14:textFill>
                  <w14:solidFill>
                    <w14:schemeClr w14:val="tx1"/>
                  </w14:solidFill>
                </w14:textFill>
              </w:rPr>
              <w:t>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华安溪源宏建材贸易有限公司</w:t>
            </w:r>
            <w:r>
              <w:rPr>
                <w:rFonts w:hint="eastAsia" w:ascii="Times New Roman" w:hAnsi="Times New Roman" w:eastAsia="宋体" w:cs="Times New Roman"/>
                <w:color w:val="000000" w:themeColor="text1"/>
                <w:sz w:val="24"/>
                <w:szCs w:val="24"/>
                <w14:textFill>
                  <w14:solidFill>
                    <w14:schemeClr w14:val="tx1"/>
                  </w14:solidFill>
                </w14:textFill>
              </w:rPr>
              <w:t>进行现场监测，项目环评设计</w:t>
            </w:r>
            <w:r>
              <w:rPr>
                <w:rFonts w:hint="eastAsia" w:ascii="Times New Roman" w:hAnsi="Times New Roman" w:eastAsia="宋体" w:cs="Times New Roman"/>
                <w:color w:val="000000" w:themeColor="text1"/>
                <w:sz w:val="24"/>
                <w:szCs w:val="24"/>
                <w:lang w:eastAsia="zh-CN"/>
                <w14:textFill>
                  <w14:solidFill>
                    <w14:schemeClr w14:val="tx1"/>
                  </w14:solidFill>
                </w14:textFill>
              </w:rPr>
              <w:t>年产机制砂9.5万立方、水洗泥5万吨、碎石4.5万立方</w:t>
            </w:r>
            <w:r>
              <w:rPr>
                <w:rFonts w:hint="eastAsia" w:ascii="Times New Roman" w:hAnsi="Times New Roman" w:eastAsia="宋体" w:cs="Times New Roman"/>
                <w:color w:val="000000" w:themeColor="text1"/>
                <w:sz w:val="24"/>
                <w:szCs w:val="24"/>
                <w14:textFill>
                  <w14:solidFill>
                    <w14:schemeClr w14:val="tx1"/>
                  </w14:solidFill>
                </w14:textFill>
              </w:rPr>
              <w:t>，目前项目实际生产能力为</w:t>
            </w:r>
            <w:r>
              <w:rPr>
                <w:rFonts w:hint="eastAsia" w:ascii="Times New Roman" w:hAnsi="Times New Roman" w:eastAsia="宋体" w:cs="Times New Roman"/>
                <w:color w:val="000000" w:themeColor="text1"/>
                <w:sz w:val="24"/>
                <w:szCs w:val="24"/>
                <w:lang w:eastAsia="zh-CN"/>
                <w14:textFill>
                  <w14:solidFill>
                    <w14:schemeClr w14:val="tx1"/>
                  </w14:solidFill>
                </w14:textFill>
              </w:rPr>
              <w:t>年产碎石4.5万立方</w:t>
            </w:r>
            <w:r>
              <w:rPr>
                <w:rFonts w:hint="eastAsia" w:ascii="Times New Roman" w:hAnsi="Times New Roman" w:eastAsia="宋体" w:cs="Times New Roman"/>
                <w:color w:val="000000" w:themeColor="text1"/>
                <w:sz w:val="24"/>
                <w:szCs w:val="24"/>
                <w14:textFill>
                  <w14:solidFill>
                    <w14:schemeClr w14:val="tx1"/>
                  </w14:solidFill>
                </w14:textFill>
              </w:rPr>
              <w:t>。在验收期间，</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21</w:t>
            </w:r>
            <w:r>
              <w:rPr>
                <w:rFonts w:hint="eastAsia"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val="en-US" w:eastAsia="zh-CN"/>
              </w:rPr>
              <w:t>生产</w:t>
            </w:r>
            <w:r>
              <w:rPr>
                <w:rFonts w:hint="eastAsia" w:ascii="Times New Roman" w:hAnsi="Times New Roman" w:eastAsia="宋体" w:cs="Times New Roman"/>
                <w:color w:val="auto"/>
                <w:sz w:val="24"/>
                <w:szCs w:val="24"/>
                <w:lang w:eastAsia="zh-CN"/>
              </w:rPr>
              <w:t>碎石</w:t>
            </w:r>
            <w:r>
              <w:rPr>
                <w:rFonts w:hint="eastAsia" w:ascii="Times New Roman" w:hAnsi="Times New Roman" w:eastAsia="宋体" w:cs="Times New Roman"/>
                <w:color w:val="auto"/>
                <w:sz w:val="24"/>
                <w:szCs w:val="24"/>
                <w:lang w:val="en-US" w:eastAsia="zh-CN"/>
              </w:rPr>
              <w:t>127.5</w:t>
            </w:r>
            <w:r>
              <w:rPr>
                <w:rFonts w:hint="eastAsia" w:ascii="Times New Roman" w:hAnsi="Times New Roman" w:eastAsia="宋体" w:cs="Times New Roman"/>
                <w:color w:val="auto"/>
                <w:sz w:val="24"/>
                <w:szCs w:val="24"/>
                <w:lang w:eastAsia="zh-CN"/>
              </w:rPr>
              <w:t>万立方</w:t>
            </w:r>
            <w:r>
              <w:rPr>
                <w:rFonts w:hint="eastAsia" w:ascii="Times New Roman" w:hAnsi="Times New Roman" w:eastAsia="宋体" w:cs="Times New Roman"/>
                <w:color w:val="auto"/>
                <w:sz w:val="24"/>
                <w:szCs w:val="24"/>
              </w:rPr>
              <w:t>，生产负荷率为</w:t>
            </w:r>
            <w:r>
              <w:rPr>
                <w:rFonts w:hint="eastAsia" w:ascii="Times New Roman" w:hAnsi="Times New Roman" w:eastAsia="宋体" w:cs="Times New Roman"/>
                <w:color w:val="auto"/>
                <w:sz w:val="24"/>
                <w:szCs w:val="24"/>
                <w:lang w:val="en-US" w:eastAsia="zh-CN"/>
              </w:rPr>
              <w:t>85</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val="en-US" w:eastAsia="zh-CN"/>
              </w:rPr>
              <w:t>生产</w:t>
            </w:r>
            <w:r>
              <w:rPr>
                <w:rFonts w:hint="eastAsia" w:ascii="Times New Roman" w:hAnsi="Times New Roman" w:eastAsia="宋体" w:cs="Times New Roman"/>
                <w:color w:val="auto"/>
                <w:sz w:val="24"/>
                <w:szCs w:val="24"/>
                <w:lang w:eastAsia="zh-CN"/>
              </w:rPr>
              <w:t>碎石</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lang w:eastAsia="zh-CN"/>
              </w:rPr>
              <w:t>5万立方，生</w:t>
            </w:r>
            <w:r>
              <w:rPr>
                <w:rFonts w:hint="eastAsia" w:ascii="Times New Roman" w:hAnsi="Times New Roman" w:eastAsia="宋体" w:cs="Times New Roman"/>
                <w:color w:val="auto"/>
                <w:sz w:val="24"/>
                <w:szCs w:val="24"/>
              </w:rPr>
              <w:t>产负荷率为9</w:t>
            </w:r>
            <w:r>
              <w:rPr>
                <w:rFonts w:hint="eastAsia"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rPr>
              <w:t>%。采样期间的现场工况见下表。</w:t>
            </w:r>
          </w:p>
          <w:p>
            <w:pPr>
              <w:widowControl w:val="0"/>
              <w:adjustRightInd/>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表7-1 生产负荷表</w:t>
            </w:r>
          </w:p>
          <w:tbl>
            <w:tblPr>
              <w:tblStyle w:val="27"/>
              <w:tblW w:w="472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815"/>
              <w:gridCol w:w="1126"/>
              <w:gridCol w:w="2660"/>
              <w:gridCol w:w="9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日期</w:t>
                  </w:r>
                </w:p>
              </w:tc>
              <w:tc>
                <w:tcPr>
                  <w:tcW w:w="1158"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环评设计产能</w:t>
                  </w:r>
                </w:p>
              </w:tc>
              <w:tc>
                <w:tcPr>
                  <w:tcW w:w="718"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实际产能</w:t>
                  </w:r>
                </w:p>
              </w:tc>
              <w:tc>
                <w:tcPr>
                  <w:tcW w:w="1697"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90"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5月21日</w:t>
                  </w:r>
                </w:p>
              </w:tc>
              <w:tc>
                <w:tcPr>
                  <w:tcW w:w="1158"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年产机制砂9.5万立方、水洗泥5万吨、碎石4.5万立方</w:t>
                  </w:r>
                </w:p>
              </w:tc>
              <w:tc>
                <w:tcPr>
                  <w:tcW w:w="718"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年产碎石4.5万立方</w:t>
                  </w:r>
                </w:p>
              </w:tc>
              <w:tc>
                <w:tcPr>
                  <w:tcW w:w="1697"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ascii="Times New Roman" w:hAnsi="Times New Roman" w:eastAsia="宋体" w:cs="Times New Roman"/>
                      <w:color w:val="000000" w:themeColor="text1"/>
                      <w:sz w:val="21"/>
                      <w:szCs w:val="21"/>
                      <w:lang w:eastAsia="zh-CN"/>
                      <w14:textFill>
                        <w14:solidFill>
                          <w14:schemeClr w14:val="tx1"/>
                        </w14:solidFill>
                      </w14:textFill>
                    </w:rPr>
                    <w:t>碎石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127.5</w:t>
                  </w:r>
                  <w:r>
                    <w:rPr>
                      <w:rFonts w:hint="eastAsia" w:ascii="Times New Roman" w:hAnsi="Times New Roman" w:eastAsia="宋体" w:cs="Times New Roman"/>
                      <w:color w:val="000000" w:themeColor="text1"/>
                      <w:sz w:val="21"/>
                      <w:szCs w:val="21"/>
                      <w:lang w:eastAsia="zh-CN"/>
                      <w14:textFill>
                        <w14:solidFill>
                          <w14:schemeClr w14:val="tx1"/>
                        </w14:solidFill>
                      </w14:textFill>
                    </w:rPr>
                    <w:t>万立方</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5月22日</w:t>
                  </w:r>
                </w:p>
              </w:tc>
              <w:tc>
                <w:tcPr>
                  <w:tcW w:w="1158"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18"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697"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ascii="Times New Roman" w:hAnsi="Times New Roman" w:eastAsia="宋体" w:cs="Times New Roman"/>
                      <w:color w:val="000000" w:themeColor="text1"/>
                      <w:sz w:val="21"/>
                      <w:szCs w:val="21"/>
                      <w:lang w:eastAsia="zh-CN"/>
                      <w14:textFill>
                        <w14:solidFill>
                          <w14:schemeClr w14:val="tx1"/>
                        </w14:solidFill>
                      </w14:textFill>
                    </w:rPr>
                    <w:t>碎石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135</w:t>
                  </w:r>
                  <w:r>
                    <w:rPr>
                      <w:rFonts w:hint="eastAsia" w:ascii="Times New Roman" w:hAnsi="Times New Roman" w:eastAsia="宋体" w:cs="Times New Roman"/>
                      <w:color w:val="000000" w:themeColor="text1"/>
                      <w:sz w:val="21"/>
                      <w:szCs w:val="21"/>
                      <w:lang w:eastAsia="zh-CN"/>
                      <w14:textFill>
                        <w14:solidFill>
                          <w14:schemeClr w14:val="tx1"/>
                        </w14:solidFill>
                      </w14:textFill>
                    </w:rPr>
                    <w:t>万立方</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0000FF"/>
                      <w:sz w:val="21"/>
                      <w:szCs w:val="21"/>
                    </w:rPr>
                  </w:pPr>
                </w:p>
              </w:tc>
            </w:tr>
          </w:tbl>
          <w:p>
            <w:pPr>
              <w:widowControl/>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验收监测结果：</w:t>
            </w:r>
          </w:p>
          <w:p>
            <w:pPr>
              <w:widowControl/>
              <w:numPr>
                <w:ilvl w:val="0"/>
                <w:numId w:val="0"/>
              </w:num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w:t>
            </w:r>
          </w:p>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废水监测结果见下表。</w:t>
            </w:r>
          </w:p>
          <w:p>
            <w:pPr>
              <w:pStyle w:val="13"/>
              <w:widowControl w:val="0"/>
              <w:jc w:val="center"/>
              <w:rPr>
                <w:rFonts w:ascii="Times New Roman" w:hAnsi="Times New Roman" w:eastAsia="宋体" w:cs="Times New Roman"/>
                <w:b/>
                <w:bCs/>
                <w:color w:val="000000" w:themeColor="text1"/>
                <w:spacing w:val="0"/>
                <w:sz w:val="21"/>
                <w:szCs w:val="21"/>
                <w:lang w:val="en-US" w:eastAsia="zh-CN" w:bidi="ar-SA"/>
                <w14:textFill>
                  <w14:solidFill>
                    <w14:schemeClr w14:val="tx1"/>
                  </w14:solidFill>
                </w14:textFill>
              </w:rPr>
            </w:pPr>
            <w:r>
              <w:rPr>
                <w:rFonts w:ascii="Times New Roman" w:hAnsi="Times New Roman" w:eastAsia="宋体" w:cs="Times New Roman"/>
                <w:b/>
                <w:bCs/>
                <w:color w:val="000000" w:themeColor="text1"/>
                <w:spacing w:val="0"/>
                <w:sz w:val="21"/>
                <w:szCs w:val="21"/>
                <w:lang w:val="en-US" w:eastAsia="zh-CN" w:bidi="ar-SA"/>
                <w14:textFill>
                  <w14:solidFill>
                    <w14:schemeClr w14:val="tx1"/>
                  </w14:solidFill>
                </w14:textFill>
              </w:rPr>
              <w:t>表7-</w:t>
            </w:r>
            <w:r>
              <w:rPr>
                <w:rFonts w:hint="eastAsia" w:ascii="Times New Roman" w:hAnsi="Times New Roman" w:eastAsia="宋体" w:cs="Times New Roman"/>
                <w:b/>
                <w:bCs/>
                <w:color w:val="000000" w:themeColor="text1"/>
                <w:spacing w:val="0"/>
                <w:sz w:val="21"/>
                <w:szCs w:val="21"/>
                <w:lang w:val="en-US" w:eastAsia="zh-CN" w:bidi="ar-SA"/>
                <w14:textFill>
                  <w14:solidFill>
                    <w14:schemeClr w14:val="tx1"/>
                  </w14:solidFill>
                </w14:textFill>
              </w:rPr>
              <w:t>2</w:t>
            </w:r>
            <w:r>
              <w:rPr>
                <w:rFonts w:ascii="Times New Roman" w:hAnsi="Times New Roman" w:eastAsia="宋体" w:cs="Times New Roman"/>
                <w:b/>
                <w:bCs/>
                <w:color w:val="000000" w:themeColor="text1"/>
                <w:spacing w:val="0"/>
                <w:sz w:val="21"/>
                <w:szCs w:val="21"/>
                <w:lang w:val="en-US" w:eastAsia="zh-CN" w:bidi="ar-SA"/>
                <w14:textFill>
                  <w14:solidFill>
                    <w14:schemeClr w14:val="tx1"/>
                  </w14:solidFill>
                </w14:textFill>
              </w:rPr>
              <w:t>废</w:t>
            </w:r>
            <w:r>
              <w:rPr>
                <w:rFonts w:hint="eastAsia" w:ascii="Times New Roman" w:hAnsi="Times New Roman" w:eastAsia="宋体" w:cs="Times New Roman"/>
                <w:b/>
                <w:bCs/>
                <w:color w:val="000000" w:themeColor="text1"/>
                <w:spacing w:val="0"/>
                <w:sz w:val="21"/>
                <w:szCs w:val="21"/>
                <w:lang w:val="en-US" w:eastAsia="zh-CN" w:bidi="ar-SA"/>
                <w14:textFill>
                  <w14:solidFill>
                    <w14:schemeClr w14:val="tx1"/>
                  </w14:solidFill>
                </w14:textFill>
              </w:rPr>
              <w:t>水</w:t>
            </w:r>
            <w:r>
              <w:rPr>
                <w:rFonts w:ascii="Times New Roman" w:hAnsi="Times New Roman" w:eastAsia="宋体" w:cs="Times New Roman"/>
                <w:b/>
                <w:bCs/>
                <w:color w:val="000000" w:themeColor="text1"/>
                <w:spacing w:val="0"/>
                <w:sz w:val="21"/>
                <w:szCs w:val="21"/>
                <w:lang w:val="en-US" w:eastAsia="zh-CN" w:bidi="ar-SA"/>
                <w14:textFill>
                  <w14:solidFill>
                    <w14:schemeClr w14:val="tx1"/>
                  </w14:solidFill>
                </w14:textFill>
              </w:rPr>
              <w:t>监测结果</w:t>
            </w:r>
          </w:p>
          <w:tbl>
            <w:tblPr>
              <w:tblStyle w:val="27"/>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54"/>
              <w:gridCol w:w="735"/>
              <w:gridCol w:w="975"/>
              <w:gridCol w:w="1248"/>
              <w:gridCol w:w="990"/>
              <w:gridCol w:w="1050"/>
              <w:gridCol w:w="976"/>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采样日期</w:t>
                  </w:r>
                </w:p>
              </w:tc>
              <w:tc>
                <w:tcPr>
                  <w:tcW w:w="754"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监测点位</w:t>
                  </w:r>
                </w:p>
              </w:tc>
              <w:tc>
                <w:tcPr>
                  <w:tcW w:w="735"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处理设施</w:t>
                  </w:r>
                </w:p>
              </w:tc>
              <w:tc>
                <w:tcPr>
                  <w:tcW w:w="975"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监测项目</w:t>
                  </w:r>
                </w:p>
              </w:tc>
              <w:tc>
                <w:tcPr>
                  <w:tcW w:w="1248"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标准限值</w:t>
                  </w:r>
                </w:p>
              </w:tc>
              <w:tc>
                <w:tcPr>
                  <w:tcW w:w="3939" w:type="dxa"/>
                  <w:gridSpan w:val="4"/>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检测结果</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（单位：pH值为无量纲，其他均为mg/L）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55" w:type="dxa"/>
                  <w:vMerge w:val="continue"/>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Merge w:val="continue"/>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248" w:type="dxa"/>
                  <w:vMerge w:val="continue"/>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90" w:type="dxa"/>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第一次</w:t>
                  </w:r>
                </w:p>
              </w:tc>
              <w:tc>
                <w:tcPr>
                  <w:tcW w:w="1050" w:type="dxa"/>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第二次</w:t>
                  </w:r>
                </w:p>
              </w:tc>
              <w:tc>
                <w:tcPr>
                  <w:tcW w:w="976" w:type="dxa"/>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第三次</w:t>
                  </w:r>
                </w:p>
              </w:tc>
              <w:tc>
                <w:tcPr>
                  <w:tcW w:w="923" w:type="dxa"/>
                </w:tcPr>
                <w:p>
                  <w:pPr>
                    <w:pStyle w:val="8"/>
                    <w:widowControl w:val="0"/>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2021.5.21</w:t>
                  </w:r>
                </w:p>
              </w:tc>
              <w:tc>
                <w:tcPr>
                  <w:tcW w:w="754"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生活污水处理设施出口</w:t>
                  </w:r>
                </w:p>
              </w:tc>
              <w:tc>
                <w:tcPr>
                  <w:tcW w:w="735"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三级化粪池</w:t>
                  </w: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pH</w:t>
                  </w:r>
                </w:p>
              </w:tc>
              <w:tc>
                <w:tcPr>
                  <w:tcW w:w="1248"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6~9</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7.70</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7.82</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7.68</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CODcr</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241</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224</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278</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BOD5</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102</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113</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SS</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122</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128</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110</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氨氮</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20.44</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18.65</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20.75</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2021.5.22</w:t>
                  </w:r>
                </w:p>
              </w:tc>
              <w:tc>
                <w:tcPr>
                  <w:tcW w:w="754" w:type="dxa"/>
                  <w:vMerge w:val="restart"/>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生活污水处理设施出口</w:t>
                  </w: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pH</w:t>
                  </w:r>
                </w:p>
              </w:tc>
              <w:tc>
                <w:tcPr>
                  <w:tcW w:w="1248"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6~9</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7.47</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7.62</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7.95</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CODcr</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278</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217</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245</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BOD5</w:t>
                  </w:r>
                </w:p>
              </w:tc>
              <w:tc>
                <w:tcPr>
                  <w:tcW w:w="1248" w:type="dxa"/>
                  <w:vAlign w:val="center"/>
                </w:tcPr>
                <w:p>
                  <w:pPr>
                    <w:widowControl w:val="0"/>
                    <w:jc w:val="cente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96.3</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SS</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114</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134</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140</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54"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5" w:type="dxa"/>
                  <w:vMerge w:val="continue"/>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975"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氨氮</w:t>
                  </w:r>
                </w:p>
              </w:tc>
              <w:tc>
                <w:tcPr>
                  <w:tcW w:w="1248" w:type="dxa"/>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w:t>
                  </w:r>
                </w:p>
              </w:tc>
              <w:tc>
                <w:tcPr>
                  <w:tcW w:w="99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21.42</w:t>
                  </w:r>
                </w:p>
              </w:tc>
              <w:tc>
                <w:tcPr>
                  <w:tcW w:w="1050"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16.03</w:t>
                  </w:r>
                </w:p>
              </w:tc>
              <w:tc>
                <w:tcPr>
                  <w:tcW w:w="976"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21.06</w:t>
                  </w:r>
                </w:p>
              </w:tc>
              <w:tc>
                <w:tcPr>
                  <w:tcW w:w="923" w:type="dxa"/>
                  <w:vAlign w:val="center"/>
                </w:tcPr>
                <w:p>
                  <w:pPr>
                    <w:pStyle w:val="8"/>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19.50</w:t>
                  </w:r>
                </w:p>
              </w:tc>
            </w:tr>
          </w:tbl>
          <w:p>
            <w:pPr>
              <w:widowControl/>
              <w:numPr>
                <w:ilvl w:val="0"/>
                <w:numId w:val="0"/>
              </w:num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生活废水排放满足</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《污水综合排放标准》（GB8978-96）表4三级标准。</w:t>
            </w:r>
          </w:p>
          <w:p>
            <w:pPr>
              <w:widowControl/>
              <w:numPr>
                <w:ilvl w:val="0"/>
                <w:numId w:val="0"/>
              </w:numPr>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废气</w:t>
            </w:r>
          </w:p>
          <w:p>
            <w:pPr>
              <w:pStyle w:val="37"/>
              <w:spacing w:line="24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废气监测结果见下表。</w:t>
            </w:r>
          </w:p>
          <w:p>
            <w:pPr>
              <w:pStyle w:val="37"/>
              <w:spacing w:line="360" w:lineRule="auto"/>
              <w:jc w:val="center"/>
              <w:rPr>
                <w:rFonts w:ascii="Times New Roman" w:hAnsi="Times New Roman" w:cs="Times New Roman"/>
                <w:b/>
                <w:bCs/>
                <w:color w:val="0000FF"/>
                <w:sz w:val="21"/>
                <w:szCs w:val="21"/>
              </w:rPr>
            </w:pPr>
          </w:p>
          <w:p>
            <w:pPr>
              <w:pStyle w:val="37"/>
              <w:spacing w:line="360" w:lineRule="auto"/>
              <w:jc w:val="center"/>
              <w:rPr>
                <w:rFonts w:ascii="Times New Roman" w:hAnsi="Times New Roman" w:cs="Times New Roman"/>
                <w:b/>
                <w:bCs/>
                <w:color w:val="0000FF"/>
                <w:sz w:val="21"/>
                <w:szCs w:val="21"/>
              </w:rPr>
            </w:pPr>
          </w:p>
          <w:p>
            <w:pPr>
              <w:pStyle w:val="37"/>
              <w:spacing w:line="360" w:lineRule="auto"/>
              <w:jc w:val="center"/>
              <w:rPr>
                <w:rFonts w:ascii="Times New Roman" w:hAnsi="Times New Roman" w:cs="Times New Roman"/>
                <w:b/>
                <w:bCs/>
                <w:color w:val="0000FF"/>
                <w:sz w:val="21"/>
                <w:szCs w:val="21"/>
              </w:rPr>
            </w:pPr>
          </w:p>
          <w:p>
            <w:pPr>
              <w:pStyle w:val="37"/>
              <w:spacing w:line="360" w:lineRule="auto"/>
              <w:jc w:val="center"/>
              <w:rPr>
                <w:rFonts w:ascii="Times New Roman" w:hAnsi="Times New Roman" w:cs="Times New Roman"/>
                <w:b/>
                <w:bCs/>
                <w:color w:val="0000FF"/>
                <w:sz w:val="21"/>
                <w:szCs w:val="21"/>
              </w:rPr>
            </w:pPr>
          </w:p>
          <w:p>
            <w:pPr>
              <w:pStyle w:val="37"/>
              <w:spacing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无组织</w:t>
            </w:r>
            <w:r>
              <w:rPr>
                <w:rFonts w:ascii="Times New Roman" w:hAnsi="Times New Roman" w:cs="Times New Roman"/>
                <w:b/>
                <w:bCs/>
                <w:color w:val="000000" w:themeColor="text1"/>
                <w:sz w:val="21"/>
                <w:szCs w:val="21"/>
                <w14:textFill>
                  <w14:solidFill>
                    <w14:schemeClr w14:val="tx1"/>
                  </w14:solidFill>
                </w14:textFill>
              </w:rPr>
              <w:t>废气监测结果</w:t>
            </w:r>
          </w:p>
          <w:tbl>
            <w:tblPr>
              <w:tblStyle w:val="27"/>
              <w:tblW w:w="8078"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353"/>
              <w:gridCol w:w="1062"/>
              <w:gridCol w:w="1066"/>
              <w:gridCol w:w="1079"/>
              <w:gridCol w:w="1035"/>
              <w:gridCol w:w="1038"/>
              <w:gridCol w:w="77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15" w:type="pct"/>
                  <w:vMerge w:val="restar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w:t>
                  </w:r>
                </w:p>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时间</w:t>
                  </w:r>
                </w:p>
              </w:tc>
              <w:tc>
                <w:tcPr>
                  <w:tcW w:w="837" w:type="pct"/>
                  <w:vMerge w:val="restar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监测点位</w:t>
                  </w:r>
                </w:p>
              </w:tc>
              <w:tc>
                <w:tcPr>
                  <w:tcW w:w="657" w:type="pct"/>
                  <w:vMerge w:val="restar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分析</w:t>
                  </w:r>
                </w:p>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w:t>
                  </w:r>
                </w:p>
              </w:tc>
              <w:tc>
                <w:tcPr>
                  <w:tcW w:w="2610" w:type="pct"/>
                  <w:gridSpan w:val="4"/>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监测结果</w:t>
                  </w:r>
                </w:p>
              </w:tc>
              <w:tc>
                <w:tcPr>
                  <w:tcW w:w="478" w:type="pct"/>
                  <w:vMerge w:val="restart"/>
                  <w:tcBorders>
                    <w:tl2br w:val="nil"/>
                    <w:tr2bl w:val="nil"/>
                  </w:tcBorders>
                  <w:vAlign w:val="center"/>
                </w:tcPr>
                <w:p>
                  <w:pPr>
                    <w:pStyle w:val="37"/>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排放限值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657"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659"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667"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640"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642"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最大值</w:t>
                  </w:r>
                </w:p>
              </w:tc>
              <w:tc>
                <w:tcPr>
                  <w:tcW w:w="478" w:type="pct"/>
                  <w:vMerge w:val="continue"/>
                  <w:tcBorders>
                    <w:tl2br w:val="nil"/>
                    <w:tr2bl w:val="nil"/>
                  </w:tcBorders>
                  <w:vAlign w:val="center"/>
                </w:tcPr>
                <w:p>
                  <w:pPr>
                    <w:pStyle w:val="37"/>
                    <w:jc w:val="center"/>
                    <w:rPr>
                      <w:rFonts w:ascii="Times New Roman" w:hAnsi="Times New Roman" w:cs="Times New Roman"/>
                      <w:b/>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restart"/>
                  <w:tcBorders>
                    <w:tl2br w:val="nil"/>
                    <w:tr2bl w:val="nil"/>
                  </w:tcBorders>
                  <w:vAlign w:val="center"/>
                </w:tcPr>
                <w:p>
                  <w:pPr>
                    <w:pStyle w:val="8"/>
                    <w:widowControl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2021.5.21</w:t>
                  </w:r>
                </w:p>
              </w:tc>
              <w:tc>
                <w:tcPr>
                  <w:tcW w:w="837" w:type="pct"/>
                  <w:tcBorders>
                    <w:tl2br w:val="nil"/>
                    <w:tr2bl w:val="nil"/>
                  </w:tcBorders>
                  <w:vAlign w:val="center"/>
                </w:tcPr>
                <w:p>
                  <w:pPr>
                    <w:pStyle w:val="37"/>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A</w:t>
                  </w:r>
                </w:p>
              </w:tc>
              <w:tc>
                <w:tcPr>
                  <w:tcW w:w="657" w:type="pct"/>
                  <w:vMerge w:val="restar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颗粒物</w:t>
                  </w:r>
                </w:p>
              </w:tc>
              <w:tc>
                <w:tcPr>
                  <w:tcW w:w="659"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0.147</w:t>
                  </w:r>
                </w:p>
              </w:tc>
              <w:tc>
                <w:tcPr>
                  <w:tcW w:w="667"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0.111</w:t>
                  </w:r>
                </w:p>
              </w:tc>
              <w:tc>
                <w:tcPr>
                  <w:tcW w:w="640"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0.092</w:t>
                  </w:r>
                </w:p>
              </w:tc>
              <w:tc>
                <w:tcPr>
                  <w:tcW w:w="642" w:type="pct"/>
                  <w:vMerge w:val="restar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0.387</w:t>
                  </w:r>
                </w:p>
              </w:tc>
              <w:tc>
                <w:tcPr>
                  <w:tcW w:w="478" w:type="pct"/>
                  <w:vMerge w:val="restar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颗粒物≤1.0mg/m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tcBorders>
                    <w:tl2br w:val="nil"/>
                    <w:tr2bl w:val="nil"/>
                  </w:tcBorders>
                  <w:vAlign w:val="center"/>
                </w:tcPr>
                <w:p>
                  <w:pPr>
                    <w:pStyle w:val="37"/>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B</w:t>
                  </w:r>
                </w:p>
              </w:tc>
              <w:tc>
                <w:tcPr>
                  <w:tcW w:w="657" w:type="pct"/>
                  <w:vMerge w:val="continue"/>
                  <w:tcBorders>
                    <w:tl2br w:val="nil"/>
                    <w:tr2bl w:val="nil"/>
                  </w:tcBorders>
                  <w:vAlign w:val="center"/>
                </w:tcPr>
                <w:p>
                  <w:pPr>
                    <w:widowControl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0.256</w:t>
                  </w:r>
                </w:p>
              </w:tc>
              <w:tc>
                <w:tcPr>
                  <w:tcW w:w="667"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0.276</w:t>
                  </w:r>
                </w:p>
              </w:tc>
              <w:tc>
                <w:tcPr>
                  <w:tcW w:w="640"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0.240</w:t>
                  </w:r>
                </w:p>
              </w:tc>
              <w:tc>
                <w:tcPr>
                  <w:tcW w:w="642"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tcBorders>
                    <w:tl2br w:val="nil"/>
                    <w:tr2bl w:val="nil"/>
                  </w:tcBorders>
                  <w:vAlign w:val="center"/>
                </w:tcPr>
                <w:p>
                  <w:pPr>
                    <w:pStyle w:val="37"/>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657" w:type="pct"/>
                  <w:vMerge w:val="continue"/>
                  <w:tcBorders>
                    <w:tl2br w:val="nil"/>
                    <w:tr2bl w:val="nil"/>
                  </w:tcBorders>
                  <w:vAlign w:val="center"/>
                </w:tcPr>
                <w:p>
                  <w:pPr>
                    <w:widowControl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0.313</w:t>
                  </w:r>
                </w:p>
              </w:tc>
              <w:tc>
                <w:tcPr>
                  <w:tcW w:w="667"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0.369</w:t>
                  </w:r>
                </w:p>
              </w:tc>
              <w:tc>
                <w:tcPr>
                  <w:tcW w:w="640"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0.387</w:t>
                  </w:r>
                </w:p>
              </w:tc>
              <w:tc>
                <w:tcPr>
                  <w:tcW w:w="642"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tcBorders>
                    <w:tl2br w:val="nil"/>
                    <w:tr2bl w:val="nil"/>
                  </w:tcBorders>
                  <w:vAlign w:val="center"/>
                </w:tcPr>
                <w:p>
                  <w:pPr>
                    <w:pStyle w:val="37"/>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D</w:t>
                  </w:r>
                </w:p>
              </w:tc>
              <w:tc>
                <w:tcPr>
                  <w:tcW w:w="657" w:type="pct"/>
                  <w:vMerge w:val="continue"/>
                  <w:tcBorders>
                    <w:tl2br w:val="nil"/>
                    <w:tr2bl w:val="nil"/>
                  </w:tcBorders>
                  <w:vAlign w:val="center"/>
                </w:tcPr>
                <w:p>
                  <w:pPr>
                    <w:widowControl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0.332</w:t>
                  </w:r>
                </w:p>
              </w:tc>
              <w:tc>
                <w:tcPr>
                  <w:tcW w:w="667"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0.295</w:t>
                  </w:r>
                </w:p>
              </w:tc>
              <w:tc>
                <w:tcPr>
                  <w:tcW w:w="640" w:type="pc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0.350</w:t>
                  </w:r>
                </w:p>
              </w:tc>
              <w:tc>
                <w:tcPr>
                  <w:tcW w:w="642"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478" w:type="pct"/>
                  <w:vMerge w:val="continue"/>
                  <w:tcBorders>
                    <w:tl2br w:val="nil"/>
                    <w:tr2bl w:val="nil"/>
                  </w:tcBorders>
                  <w:vAlign w:val="center"/>
                </w:tcPr>
                <w:p>
                  <w:pPr>
                    <w:widowControl w:val="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restart"/>
                  <w:tcBorders>
                    <w:tl2br w:val="nil"/>
                    <w:tr2bl w:val="nil"/>
                  </w:tcBorders>
                  <w:vAlign w:val="center"/>
                </w:tcPr>
                <w:p>
                  <w:pPr>
                    <w:pStyle w:val="8"/>
                    <w:widowControl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2021.5.22</w:t>
                  </w:r>
                </w:p>
              </w:tc>
              <w:tc>
                <w:tcPr>
                  <w:tcW w:w="837" w:type="pct"/>
                  <w:tcBorders>
                    <w:tl2br w:val="nil"/>
                    <w:tr2bl w:val="nil"/>
                  </w:tcBorders>
                  <w:vAlign w:val="center"/>
                </w:tcPr>
                <w:p>
                  <w:pPr>
                    <w:pStyle w:val="37"/>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A</w:t>
                  </w:r>
                </w:p>
              </w:tc>
              <w:tc>
                <w:tcPr>
                  <w:tcW w:w="657" w:type="pct"/>
                  <w:vMerge w:val="continue"/>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0.092</w:t>
                  </w:r>
                </w:p>
              </w:tc>
              <w:tc>
                <w:tcPr>
                  <w:tcW w:w="667"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0.129</w:t>
                  </w:r>
                </w:p>
              </w:tc>
              <w:tc>
                <w:tcPr>
                  <w:tcW w:w="640"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0.111</w:t>
                  </w:r>
                </w:p>
              </w:tc>
              <w:tc>
                <w:tcPr>
                  <w:tcW w:w="64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0.405</w:t>
                  </w: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tcBorders>
                    <w:tl2br w:val="nil"/>
                    <w:tr2bl w:val="nil"/>
                  </w:tcBorders>
                  <w:vAlign w:val="center"/>
                </w:tcPr>
                <w:p>
                  <w:pPr>
                    <w:pStyle w:val="37"/>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B</w:t>
                  </w:r>
                </w:p>
              </w:tc>
              <w:tc>
                <w:tcPr>
                  <w:tcW w:w="657" w:type="pct"/>
                  <w:vMerge w:val="continue"/>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0.166</w:t>
                  </w:r>
                </w:p>
              </w:tc>
              <w:tc>
                <w:tcPr>
                  <w:tcW w:w="667"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0.258</w:t>
                  </w:r>
                </w:p>
              </w:tc>
              <w:tc>
                <w:tcPr>
                  <w:tcW w:w="640"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0.276</w:t>
                  </w:r>
                </w:p>
              </w:tc>
              <w:tc>
                <w:tcPr>
                  <w:tcW w:w="642"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tcBorders>
                    <w:tl2br w:val="nil"/>
                    <w:tr2bl w:val="nil"/>
                  </w:tcBorders>
                  <w:vAlign w:val="center"/>
                </w:tcPr>
                <w:p>
                  <w:pPr>
                    <w:pStyle w:val="37"/>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C</w:t>
                  </w:r>
                </w:p>
              </w:tc>
              <w:tc>
                <w:tcPr>
                  <w:tcW w:w="657" w:type="pct"/>
                  <w:vMerge w:val="continue"/>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0.332</w:t>
                  </w:r>
                </w:p>
              </w:tc>
              <w:tc>
                <w:tcPr>
                  <w:tcW w:w="667"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0.405</w:t>
                  </w:r>
                </w:p>
              </w:tc>
              <w:tc>
                <w:tcPr>
                  <w:tcW w:w="640" w:type="pct"/>
                  <w:tcBorders>
                    <w:tl2br w:val="nil"/>
                    <w:tr2bl w:val="nil"/>
                  </w:tcBorders>
                  <w:vAlign w:val="center"/>
                </w:tcPr>
                <w:p>
                  <w:pPr>
                    <w:widowControl/>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0.350</w:t>
                  </w:r>
                </w:p>
              </w:tc>
              <w:tc>
                <w:tcPr>
                  <w:tcW w:w="642"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5" w:type="pct"/>
                  <w:vMerge w:val="continue"/>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p>
              </w:tc>
              <w:tc>
                <w:tcPr>
                  <w:tcW w:w="837" w:type="pct"/>
                  <w:tcBorders>
                    <w:tl2br w:val="nil"/>
                    <w:tr2bl w:val="nil"/>
                  </w:tcBorders>
                  <w:vAlign w:val="center"/>
                </w:tcPr>
                <w:p>
                  <w:pPr>
                    <w:pStyle w:val="37"/>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上风向〇</w:t>
                  </w:r>
                  <w:r>
                    <w:rPr>
                      <w:rFonts w:hint="eastAsia" w:ascii="Times New Roman" w:hAnsi="Times New Roman" w:cs="Times New Roman"/>
                      <w:color w:val="000000" w:themeColor="text1"/>
                      <w:sz w:val="21"/>
                      <w:szCs w:val="21"/>
                      <w:lang w:val="en-US" w:eastAsia="zh-CN"/>
                      <w14:textFill>
                        <w14:solidFill>
                          <w14:schemeClr w14:val="tx1"/>
                        </w14:solidFill>
                      </w14:textFill>
                    </w:rPr>
                    <w:t>D</w:t>
                  </w:r>
                </w:p>
              </w:tc>
              <w:tc>
                <w:tcPr>
                  <w:tcW w:w="657" w:type="pct"/>
                  <w:vMerge w:val="continue"/>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0.313</w:t>
                  </w:r>
                </w:p>
              </w:tc>
              <w:tc>
                <w:tcPr>
                  <w:tcW w:w="667" w:type="pct"/>
                  <w:tcBorders>
                    <w:tl2br w:val="nil"/>
                    <w:tr2bl w:val="nil"/>
                  </w:tcBorders>
                  <w:vAlign w:val="center"/>
                </w:tcPr>
                <w:p>
                  <w:pPr>
                    <w:widowControl/>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0.276</w:t>
                  </w:r>
                </w:p>
              </w:tc>
              <w:tc>
                <w:tcPr>
                  <w:tcW w:w="640" w:type="pct"/>
                  <w:tcBorders>
                    <w:tl2br w:val="nil"/>
                    <w:tr2bl w:val="nil"/>
                  </w:tcBorders>
                  <w:vAlign w:val="center"/>
                </w:tcPr>
                <w:p>
                  <w:pPr>
                    <w:widowControl/>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0.258</w:t>
                  </w:r>
                </w:p>
              </w:tc>
              <w:tc>
                <w:tcPr>
                  <w:tcW w:w="642"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pStyle w:val="25"/>
              <w:widowControl w:val="0"/>
              <w:numPr>
                <w:ilvl w:val="0"/>
                <w:numId w:val="0"/>
              </w:numPr>
              <w:shd w:val="clear"/>
              <w:spacing w:after="60" w:line="360" w:lineRule="auto"/>
              <w:ind w:firstLine="480" w:firstLineChars="200"/>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颗粒物排放满足</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GB16297-1996）表2标准；即：无组织颗粒物</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.0mg/m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37"/>
              <w:numPr>
                <w:ilvl w:val="0"/>
                <w:numId w:val="0"/>
              </w:numPr>
              <w:ind w:left="440" w:leftChars="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噪声</w:t>
            </w:r>
          </w:p>
          <w:p>
            <w:pPr>
              <w:pStyle w:val="37"/>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厂界噪声监测结果见下表。</w:t>
            </w:r>
          </w:p>
          <w:p>
            <w:pPr>
              <w:pStyle w:val="37"/>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ascii="Times New Roman" w:hAnsi="Times New Roman" w:cs="Times New Roman"/>
                <w:b/>
                <w:bCs/>
                <w:color w:val="000000" w:themeColor="text1"/>
                <w:sz w:val="21"/>
                <w:szCs w:val="21"/>
                <w14:textFill>
                  <w14:solidFill>
                    <w14:schemeClr w14:val="tx1"/>
                  </w14:solidFill>
                </w14:textFill>
              </w:rPr>
              <w:t>噪声监测结果</w:t>
            </w:r>
          </w:p>
          <w:tbl>
            <w:tblPr>
              <w:tblStyle w:val="27"/>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035"/>
              <w:gridCol w:w="930"/>
              <w:gridCol w:w="930"/>
              <w:gridCol w:w="900"/>
              <w:gridCol w:w="1125"/>
              <w:gridCol w:w="25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57" w:type="dxa"/>
                  <w:vMerge w:val="restart"/>
                  <w:tcBorders>
                    <w:tl2br w:val="nil"/>
                    <w:tr2bl w:val="nil"/>
                  </w:tcBorders>
                  <w:vAlign w:val="center"/>
                </w:tcPr>
                <w:p>
                  <w:pPr>
                    <w:pStyle w:val="41"/>
                    <w:widowControl/>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监测日期</w:t>
                  </w:r>
                </w:p>
              </w:tc>
              <w:tc>
                <w:tcPr>
                  <w:tcW w:w="1035"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w:t>
                  </w:r>
                </w:p>
              </w:tc>
              <w:tc>
                <w:tcPr>
                  <w:tcW w:w="2760" w:type="dxa"/>
                  <w:gridSpan w:val="3"/>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r>
                    <w:rPr>
                      <w:rFonts w:ascii="Times New Roman" w:hAnsi="Times New Roman" w:eastAsia="宋体" w:cs="Times New Roman"/>
                      <w:color w:val="000000" w:themeColor="text1"/>
                      <w:sz w:val="21"/>
                      <w:szCs w:val="21"/>
                      <w14:textFill>
                        <w14:solidFill>
                          <w14:schemeClr w14:val="tx1"/>
                        </w14:solidFill>
                      </w14:textFill>
                    </w:rPr>
                    <w:t>检测结果dB(A)</w:t>
                  </w:r>
                </w:p>
              </w:tc>
              <w:tc>
                <w:tcPr>
                  <w:tcW w:w="1125"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w:t>
                  </w:r>
                </w:p>
                <w:p>
                  <w:pPr>
                    <w:widowControl/>
                    <w:tabs>
                      <w:tab w:val="left" w:pos="0"/>
                    </w:tabs>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声源</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气象</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57" w:type="dxa"/>
                  <w:vMerge w:val="continue"/>
                  <w:tcBorders>
                    <w:tl2br w:val="nil"/>
                    <w:tr2bl w:val="nil"/>
                  </w:tcBorders>
                  <w:vAlign w:val="center"/>
                </w:tcPr>
                <w:p>
                  <w:pPr>
                    <w:pStyle w:val="41"/>
                    <w:widowControl/>
                    <w:jc w:val="center"/>
                    <w:rPr>
                      <w:rFonts w:ascii="Times New Roman" w:hAnsi="Times New Roman" w:eastAsia="宋体" w:cs="Times New Roman"/>
                      <w:color w:val="000000" w:themeColor="text1"/>
                      <w:sz w:val="21"/>
                      <w14:textFill>
                        <w14:solidFill>
                          <w14:schemeClr w14:val="tx1"/>
                        </w14:solidFill>
                      </w14:textFill>
                    </w:rPr>
                  </w:pPr>
                </w:p>
              </w:tc>
              <w:tc>
                <w:tcPr>
                  <w:tcW w:w="1035"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93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测量值</w:t>
                  </w:r>
                </w:p>
              </w:tc>
              <w:tc>
                <w:tcPr>
                  <w:tcW w:w="93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背景值</w:t>
                  </w:r>
                </w:p>
              </w:tc>
              <w:tc>
                <w:tcPr>
                  <w:tcW w:w="90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实际值</w:t>
                  </w:r>
                </w:p>
              </w:tc>
              <w:tc>
                <w:tcPr>
                  <w:tcW w:w="1125"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000000" w:themeColor="text1"/>
                      <w:sz w:val="21"/>
                      <w:szCs w:val="21"/>
                      <w14:textFill>
                        <w14:solidFill>
                          <w14:schemeClr w14:val="tx1"/>
                        </w14:solidFill>
                      </w14:textFill>
                    </w:rPr>
                  </w:pPr>
                </w:p>
              </w:tc>
              <w:tc>
                <w:tcPr>
                  <w:tcW w:w="250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2021.5.21</w:t>
                  </w: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62.6</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112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天气：晴；风速：1.2m/s；大气压：100.5KPa。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61.4</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1125"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64.2</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112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63.4</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1125"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监测日期</w:t>
                  </w:r>
                </w:p>
              </w:tc>
              <w:tc>
                <w:tcPr>
                  <w:tcW w:w="1035"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w:t>
                  </w:r>
                </w:p>
              </w:tc>
              <w:tc>
                <w:tcPr>
                  <w:tcW w:w="2760" w:type="dxa"/>
                  <w:gridSpan w:val="3"/>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r>
                    <w:rPr>
                      <w:rFonts w:ascii="Times New Roman" w:hAnsi="Times New Roman" w:eastAsia="宋体" w:cs="Times New Roman"/>
                      <w:color w:val="000000" w:themeColor="text1"/>
                      <w:sz w:val="21"/>
                      <w:szCs w:val="21"/>
                      <w14:textFill>
                        <w14:solidFill>
                          <w14:schemeClr w14:val="tx1"/>
                        </w14:solidFill>
                      </w14:textFill>
                    </w:rPr>
                    <w:t>检测结果dB(A)</w:t>
                  </w:r>
                </w:p>
              </w:tc>
              <w:tc>
                <w:tcPr>
                  <w:tcW w:w="1125"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w:t>
                  </w:r>
                </w:p>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声源</w:t>
                  </w:r>
                </w:p>
              </w:tc>
              <w:tc>
                <w:tcPr>
                  <w:tcW w:w="2500" w:type="dxa"/>
                  <w:vMerge w:val="restar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气象</w:t>
                  </w:r>
                </w:p>
                <w:p>
                  <w:pPr>
                    <w:pStyle w:val="37"/>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3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测量值</w:t>
                  </w:r>
                </w:p>
              </w:tc>
              <w:tc>
                <w:tcPr>
                  <w:tcW w:w="93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背景值</w:t>
                  </w:r>
                </w:p>
              </w:tc>
              <w:tc>
                <w:tcPr>
                  <w:tcW w:w="90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实际值</w:t>
                  </w:r>
                </w:p>
              </w:tc>
              <w:tc>
                <w:tcPr>
                  <w:tcW w:w="1125"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2021.5.22</w:t>
                  </w: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62.3</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112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天气：晴；风速：1.5m/s；大气压：100.7KPa。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61.2</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112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64.1</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112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63.6</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112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bl>
          <w:p>
            <w:pPr>
              <w:pStyle w:val="37"/>
              <w:spacing w:line="360" w:lineRule="auto"/>
              <w:ind w:firstLine="480" w:firstLineChars="200"/>
              <w:jc w:val="both"/>
              <w:rPr>
                <w:rFonts w:hint="default"/>
                <w:color w:val="0000FF"/>
                <w:lang w:val="en-US" w:eastAsia="zh-CN"/>
              </w:rPr>
            </w:pPr>
            <w:r>
              <w:rPr>
                <w:rFonts w:ascii="Times New Roman" w:hAnsi="Times New Roman" w:cs="Times New Roman"/>
                <w:color w:val="000000" w:themeColor="text1"/>
                <w14:textFill>
                  <w14:solidFill>
                    <w14:schemeClr w14:val="tx1"/>
                  </w14:solidFill>
                </w14:textFill>
              </w:rPr>
              <w:t>由7-</w:t>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噪声监测结果可知，本项目噪声排放符合</w:t>
            </w:r>
            <w:r>
              <w:rPr>
                <w:rFonts w:hint="eastAsia" w:ascii="Times New Roman" w:hAnsi="Times New Roman" w:cs="Times New Roman"/>
                <w:color w:val="000000" w:themeColor="text1"/>
                <w14:textFill>
                  <w14:solidFill>
                    <w14:schemeClr w14:val="tx1"/>
                  </w14:solidFill>
                </w14:textFill>
              </w:rPr>
              <w:t>《工业企业厂界环境噪声排放标准》（GB12348-2008</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中的</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类标准，即：昼间噪声</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6</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t>，夜间噪声</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p>
        </w:tc>
      </w:tr>
    </w:tbl>
    <w:p>
      <w:pPr>
        <w:pStyle w:val="3"/>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表八</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验收监测结论：</w:t>
            </w:r>
          </w:p>
          <w:p>
            <w:pPr>
              <w:pStyle w:val="37"/>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本次验收针</w:t>
            </w:r>
            <w:r>
              <w:rPr>
                <w:rFonts w:hint="eastAsia" w:ascii="Times New Roman" w:hAnsi="Times New Roman" w:cs="Times New Roman"/>
                <w:b/>
                <w:bCs/>
                <w:color w:val="000000" w:themeColor="text1"/>
                <w:lang w:val="en-US" w:eastAsia="zh-CN"/>
                <w14:textFill>
                  <w14:solidFill>
                    <w14:schemeClr w14:val="tx1"/>
                  </w14:solidFill>
                </w14:textFill>
              </w:rPr>
              <w:t>对华安溪源宏建材有限公司建筑废渣及废土方回收利用项目进行验收。验收期间本项目的性质、规模、地点、生产工艺等均未发生重大改变。故本次验收结论如下：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8" w:name="_Toc9522"/>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9"/>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生活废水经过三级化粪池处理后，排放满足</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污水综合排放标准》（GB8978-96）表4三级标准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（2）废气</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颗粒物排放满足</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GB16297-1996）表2标准</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14:textFill>
                  <w14:solidFill>
                    <w14:schemeClr w14:val="tx1"/>
                  </w14:solidFill>
                </w14:textFill>
              </w:rPr>
              <w:t>项目噪声符合</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《工业企业厂界环境噪声排放标准》（GB12348-2008）的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类标准</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，即昼间≤65</w:t>
            </w:r>
            <w:r>
              <w:rPr>
                <w:rFonts w:hint="eastAsia" w:ascii="Times New Roman" w:hAnsi="Times New Roman" w:eastAsia="宋体" w:cs="Times New Roman"/>
                <w:bCs/>
                <w:color w:val="000000" w:themeColor="text1"/>
                <w:sz w:val="24"/>
                <w:szCs w:val="24"/>
                <w14:textFill>
                  <w14:solidFill>
                    <w14:schemeClr w14:val="tx1"/>
                  </w14:solidFill>
                </w14:textFill>
              </w:rPr>
              <w:t>dB(A)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，夜间≤55</w:t>
            </w:r>
            <w:r>
              <w:rPr>
                <w:rFonts w:hint="eastAsia" w:ascii="Times New Roman" w:hAnsi="Times New Roman" w:eastAsia="宋体" w:cs="Times New Roman"/>
                <w:bCs/>
                <w:color w:val="000000" w:themeColor="text1"/>
                <w:sz w:val="24"/>
                <w:szCs w:val="24"/>
                <w14:textFill>
                  <w14:solidFill>
                    <w14:schemeClr w14:val="tx1"/>
                  </w14:solidFill>
                </w14:textFill>
              </w:rPr>
              <w:t>dB(A)</w:t>
            </w:r>
            <w:r>
              <w:rPr>
                <w:rFonts w:hint="default" w:ascii="Times New Roman" w:hAnsi="Times New Roman" w:eastAsia="宋体" w:cs="Times New Roman"/>
                <w:bCs/>
                <w:color w:val="000000" w:themeColor="text1"/>
                <w:sz w:val="24"/>
                <w:szCs w:val="24"/>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（4）固废</w:t>
            </w:r>
          </w:p>
          <w:p>
            <w:pPr>
              <w:pStyle w:val="46"/>
              <w:pageBreakBefore w:val="0"/>
              <w:kinsoku/>
              <w:wordWrap/>
              <w:overflowPunct/>
              <w:topLinePunct w:val="0"/>
              <w:bidi w:val="0"/>
              <w:ind w:firstLine="480"/>
              <w:jc w:val="left"/>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color w:val="auto"/>
                <w:kern w:val="0"/>
                <w:sz w:val="24"/>
                <w:szCs w:val="22"/>
                <w:lang w:val="en-US" w:eastAsia="zh-CN" w:bidi="ar-SA"/>
              </w:rPr>
              <w:t>本项目主要固体废物分为一般固废及生活垃圾。</w:t>
            </w:r>
          </w:p>
          <w:p>
            <w:pPr>
              <w:pStyle w:val="46"/>
              <w:pageBreakBefore w:val="0"/>
              <w:kinsoku/>
              <w:wordWrap/>
              <w:overflowPunct/>
              <w:topLinePunct w:val="0"/>
              <w:bidi w:val="0"/>
              <w:ind w:firstLine="480"/>
              <w:jc w:val="left"/>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项目压滤机压出的泥渣可作为产品外卖给陶瓷厂作为原料。</w:t>
            </w:r>
          </w:p>
          <w:p>
            <w:pPr>
              <w:pStyle w:val="46"/>
              <w:pageBreakBefore w:val="0"/>
              <w:kinsoku/>
              <w:wordWrap/>
              <w:overflowPunct/>
              <w:topLinePunct w:val="0"/>
              <w:bidi w:val="0"/>
              <w:ind w:firstLine="480"/>
              <w:jc w:val="left"/>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项目生活垃圾集中收集后由环卫部门统一清运。</w:t>
            </w:r>
          </w:p>
          <w:p>
            <w:pPr>
              <w:pStyle w:val="46"/>
              <w:pageBreakBefore w:val="0"/>
              <w:kinsoku/>
              <w:wordWrap/>
              <w:overflowPunct/>
              <w:topLinePunct w:val="0"/>
              <w:bidi w:val="0"/>
              <w:ind w:firstLine="480"/>
              <w:jc w:val="left"/>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经以上处置措施之后，项目固废均可得到妥善的处理。</w:t>
            </w:r>
          </w:p>
          <w:bookmarkEnd w:id="8"/>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pStyle w:val="2"/>
              <w:jc w:val="both"/>
              <w:rPr>
                <w:rFonts w:ascii="Times New Roman" w:hAnsi="Times New Roman" w:eastAsia="宋体" w:cs="Times New Roman"/>
                <w:color w:val="0000FF"/>
                <w:sz w:val="24"/>
                <w:szCs w:val="24"/>
              </w:rPr>
            </w:pPr>
          </w:p>
          <w:p>
            <w:pPr>
              <w:pStyle w:val="2"/>
              <w:jc w:val="both"/>
              <w:rPr>
                <w:rFonts w:ascii="Times New Roman" w:hAnsi="Times New Roman" w:eastAsia="宋体" w:cs="Times New Roman"/>
                <w:color w:val="0000FF"/>
                <w:sz w:val="24"/>
                <w:szCs w:val="24"/>
              </w:rPr>
            </w:pPr>
          </w:p>
          <w:p>
            <w:pPr>
              <w:pStyle w:val="2"/>
              <w:jc w:val="both"/>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FF"/>
                <w:sz w:val="24"/>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后续要求：</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验收结论：</w:t>
            </w:r>
          </w:p>
          <w:p>
            <w:pPr>
              <w:pStyle w:val="37"/>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华安溪源宏建材有限公司建筑废渣及废土方回收利用项目</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基本落实环保“三同时”制度以及环评批复中提出的各项污染防治措施，各类污染物达标排放，符合环评批复要求。项目不涉及《污染影响类建设项目重大变动清单（试行）》</w:t>
            </w:r>
            <w:r>
              <w:rPr>
                <w:rFonts w:hint="eastAsia" w:ascii="Times New Roman" w:hAnsi="Times New Roman" w:cs="Times New Roman"/>
                <w:b/>
                <w:bCs/>
                <w:color w:val="000000" w:themeColor="text1"/>
                <w14:textFill>
                  <w14:solidFill>
                    <w14:schemeClr w14:val="tx1"/>
                  </w14:solidFill>
                </w14:textFill>
              </w:rPr>
              <w:t>（环办环评函[2020]688号）</w:t>
            </w:r>
            <w:r>
              <w:rPr>
                <w:rFonts w:ascii="Times New Roman" w:hAnsi="Times New Roman" w:cs="Times New Roman"/>
                <w:b/>
                <w:bCs/>
                <w:color w:val="000000" w:themeColor="text1"/>
                <w14:textFill>
                  <w14:solidFill>
                    <w14:schemeClr w14:val="tx1"/>
                  </w14:solidFill>
                </w14:textFill>
              </w:rPr>
              <w:t>的</w:t>
            </w:r>
            <w:r>
              <w:rPr>
                <w:rFonts w:hint="eastAsia" w:ascii="Times New Roman" w:hAnsi="Times New Roman" w:cs="Times New Roman"/>
                <w:b/>
                <w:bCs/>
                <w:color w:val="000000" w:themeColor="text1"/>
                <w:lang w:val="en-US" w:eastAsia="zh-CN"/>
                <w14:textFill>
                  <w14:solidFill>
                    <w14:schemeClr w14:val="tx1"/>
                  </w14:solidFill>
                </w14:textFill>
              </w:rPr>
              <w:t>十三条内容的存在重大变动</w:t>
            </w:r>
            <w:r>
              <w:rPr>
                <w:rFonts w:ascii="Times New Roman" w:hAnsi="Times New Roman" w:cs="Times New Roman"/>
                <w:b/>
                <w:bCs/>
                <w:color w:val="000000" w:themeColor="text1"/>
                <w14:textFill>
                  <w14:solidFill>
                    <w14:schemeClr w14:val="tx1"/>
                  </w14:solidFill>
                </w14:textFill>
              </w:rPr>
              <w:t>格情形</w:t>
            </w:r>
            <w:r>
              <w:rPr>
                <w:rFonts w:hint="eastAsia" w:ascii="Times New Roman" w:hAnsi="Times New Roman" w:cs="Times New Roman"/>
                <w:b/>
                <w:bCs/>
                <w:color w:val="000000" w:themeColor="text1"/>
                <w:lang w:eastAsia="zh-CN"/>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以及</w:t>
            </w:r>
            <w:r>
              <w:rPr>
                <w:rFonts w:ascii="Times New Roman" w:hAnsi="Times New Roman" w:cs="Times New Roman"/>
                <w:b/>
                <w:bCs/>
                <w:color w:val="000000" w:themeColor="text1"/>
                <w14:textFill>
                  <w14:solidFill>
                    <w14:schemeClr w14:val="tx1"/>
                  </w14:solidFill>
                </w14:textFill>
              </w:rPr>
              <w:t>不存在《建设项目竣工环境保护验收暂行办法》（以下简称《办法》）第八条规定的验收不合格情形，符合竣工环保验收条件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7"/>
              <w:spacing w:line="360" w:lineRule="auto"/>
              <w:jc w:val="right"/>
              <w:rPr>
                <w:rFonts w:ascii="Times New Roman" w:hAnsi="Times New Roman" w:cs="Times New Roman"/>
                <w:color w:val="0000FF"/>
                <w:sz w:val="21"/>
                <w:szCs w:val="21"/>
              </w:rPr>
            </w:pPr>
          </w:p>
        </w:tc>
      </w:tr>
    </w:tbl>
    <w:p>
      <w:pPr>
        <w:pStyle w:val="37"/>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6"/>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217"/>
        <w:gridCol w:w="365"/>
        <w:gridCol w:w="430"/>
        <w:gridCol w:w="665"/>
        <w:gridCol w:w="370"/>
        <w:gridCol w:w="960"/>
        <w:gridCol w:w="1140"/>
        <w:gridCol w:w="2745"/>
        <w:gridCol w:w="762"/>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建设项目工程竣工环境保护“三同时”验收登记表</w:t>
            </w:r>
          </w:p>
          <w:p>
            <w:pPr>
              <w:autoSpaceDN w:val="0"/>
              <w:spacing w:line="260" w:lineRule="exact"/>
              <w:jc w:val="left"/>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填表单位（盖章）：</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华安溪源宏建材贸易有限公司</w:t>
            </w:r>
            <w:r>
              <w:rPr>
                <w:rFonts w:ascii="Times New Roman" w:hAnsi="Times New Roman" w:eastAsia="宋体" w:cs="Times New Roman"/>
                <w:color w:val="000000" w:themeColor="text1"/>
                <w:sz w:val="18"/>
                <w:szCs w:val="18"/>
                <w14:textFill>
                  <w14:solidFill>
                    <w14:schemeClr w14:val="tx1"/>
                  </w14:solidFill>
                </w14:textFill>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项目名称</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华安溪源宏建材有限公司建筑废渣及废土方回收利用项目</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项目代码</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漳州市华安经济开发区九龙工业园</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行业类别（分类管理名录）</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C3039其他建筑材料制造</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建设性质</w:t>
            </w:r>
          </w:p>
        </w:tc>
        <w:tc>
          <w:tcPr>
            <w:tcW w:w="671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建设规模</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年产机制砂9.5万立方、水洗泥5万吨、碎石4.5万立方</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实际产能</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年产碎石4.5万立方</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漳州华晟环保科技有限公司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环评文件审批机关</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漳州市华安生态环境局</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审批文号</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漳华环审【2019】57号</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开工日期</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2019年11月</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竣工日期</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2020年12月</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环保设施设计单位</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华安溪源宏建材贸易有限公司</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环保设施施工单位</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华安溪源宏建材贸易有限公司</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验收单位</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华安溪源宏建材贸易有限公司</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环保设施监测单位</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福建恒信环保安全技术有限公司</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投资总概算（万元）</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1200</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环保投资总概算（万元）</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1.7%</w:t>
            </w:r>
          </w:p>
        </w:tc>
      </w:tr>
      <w:tr>
        <w:tblPrEx>
          <w:tblCellMar>
            <w:top w:w="0" w:type="dxa"/>
            <w:left w:w="108" w:type="dxa"/>
            <w:bottom w:w="0" w:type="dxa"/>
            <w:right w:w="108" w:type="dxa"/>
          </w:tblCellMar>
        </w:tblPrEx>
        <w:trPr>
          <w:trHeight w:val="14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实际总投资（万元）</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1200</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实际环保投资（万元）</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1.7%</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噪声治理（万元）</w:t>
            </w:r>
          </w:p>
        </w:tc>
        <w:tc>
          <w:tcPr>
            <w:tcW w:w="37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固体废物治理（万元）</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新增废水处理设施能力</w:t>
            </w:r>
          </w:p>
        </w:tc>
        <w:tc>
          <w:tcPr>
            <w:tcW w:w="4484"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10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新增废气处理设施能力</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4800</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w:t>
            </w:r>
          </w:p>
        </w:tc>
        <w:tc>
          <w:tcPr>
            <w:tcW w:w="2654"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华安溪源宏建材贸易有限公司</w:t>
            </w:r>
          </w:p>
        </w:tc>
        <w:tc>
          <w:tcPr>
            <w:tcW w:w="3930"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运营单位社会统一信用代码（或组织机构代码）</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91350629MA33AY66X2</w:t>
            </w:r>
          </w:p>
        </w:tc>
        <w:tc>
          <w:tcPr>
            <w:tcW w:w="15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物排</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放达</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标与</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控制</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（工</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业建</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设项</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目详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原有排放量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本期工程允许排放浓度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本期工程产生量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（4）</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本期工程自身削减量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（6）</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（7）</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本期工程“以新带老”削减量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（8）</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全厂实际排放总量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区域平衡替代削减量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排放增</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4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74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6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bl>
    <w:p>
      <w:pPr>
        <w:pStyle w:val="37"/>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r>
        <w:rPr>
          <w:rFonts w:ascii="Times New Roman" w:hAnsi="Times New Roman" w:cs="Times New Roman"/>
          <w:color w:val="000000" w:themeColor="text1"/>
          <w:sz w:val="18"/>
          <w14:textFill>
            <w14:solidFill>
              <w14:schemeClr w14:val="tx1"/>
            </w14:solidFill>
          </w14:textFill>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5"/>
        <w:ind w:firstLine="0"/>
        <w:jc w:val="left"/>
        <w:outlineLvl w:val="1"/>
        <w:rPr>
          <w:rFonts w:ascii="Times New Roman" w:hAnsi="Times New Roman" w:eastAsia="宋体" w:cs="Times New Roman"/>
          <w:color w:val="0000FF"/>
          <w:sz w:val="28"/>
          <w:szCs w:val="24"/>
        </w:rPr>
      </w:pPr>
      <w:r>
        <w:rPr>
          <w:rFonts w:ascii="Times New Roman" w:hAnsi="Times New Roman" w:eastAsia="宋体" w:cs="Times New Roman"/>
          <w:color w:val="000000" w:themeColor="text1"/>
          <w:sz w:val="28"/>
          <w:szCs w:val="24"/>
          <w14:textFill>
            <w14:solidFill>
              <w14:schemeClr w14:val="tx1"/>
            </w14:solidFill>
          </w14:textFill>
        </w:rPr>
        <w:t>附图1：项目地理位置图</w:t>
      </w:r>
      <w:r>
        <w:drawing>
          <wp:inline distT="0" distB="0" distL="114300" distR="114300">
            <wp:extent cx="8576310" cy="5474335"/>
            <wp:effectExtent l="0" t="0" r="12065" b="152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rot="16200000">
                      <a:off x="0" y="0"/>
                      <a:ext cx="8576310" cy="5474335"/>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color w:val="000000" w:themeColor="text1"/>
          <w:sz w:val="28"/>
          <w:szCs w:val="24"/>
          <w14:textFill>
            <w14:solidFill>
              <w14:schemeClr w14:val="tx1"/>
            </w14:solidFill>
          </w14:textFill>
        </w:rPr>
      </w:pPr>
      <w:r>
        <w:rPr>
          <w:rFonts w:hint="eastAsia" w:ascii="Times New Roman" w:hAnsi="Times New Roman" w:eastAsia="宋体" w:cs="Times New Roman"/>
          <w:color w:val="000000" w:themeColor="text1"/>
          <w:sz w:val="28"/>
          <w:szCs w:val="24"/>
          <w14:textFill>
            <w14:solidFill>
              <w14:schemeClr w14:val="tx1"/>
            </w14:solidFill>
          </w14:textFill>
        </w:rPr>
        <w:t>附图2 项目周边环境示意图</w:t>
      </w:r>
    </w:p>
    <w:p>
      <w:pPr>
        <w:pStyle w:val="25"/>
        <w:ind w:firstLine="0"/>
        <w:jc w:val="both"/>
        <w:outlineLvl w:val="1"/>
        <w:rPr>
          <w:rFonts w:hint="eastAsia" w:ascii="Times New Roman" w:hAnsi="Times New Roman" w:eastAsia="宋体" w:cs="Times New Roman"/>
          <w:color w:val="0000FF"/>
          <w:sz w:val="28"/>
          <w:szCs w:val="24"/>
        </w:rPr>
      </w:pPr>
      <w:r>
        <w:drawing>
          <wp:inline distT="0" distB="0" distL="114300" distR="114300">
            <wp:extent cx="8404860" cy="4811395"/>
            <wp:effectExtent l="0" t="0" r="825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rot="16200000">
                      <a:off x="0" y="0"/>
                      <a:ext cx="8404860" cy="4811395"/>
                    </a:xfrm>
                    <a:prstGeom prst="rect">
                      <a:avLst/>
                    </a:prstGeom>
                    <a:noFill/>
                    <a:ln>
                      <a:noFill/>
                    </a:ln>
                  </pic:spPr>
                </pic:pic>
              </a:graphicData>
            </a:graphic>
          </wp:inline>
        </w:drawing>
      </w:r>
    </w:p>
    <w:p>
      <w:pPr>
        <w:pStyle w:val="25"/>
        <w:ind w:firstLine="0"/>
        <w:jc w:val="both"/>
        <w:outlineLvl w:val="1"/>
        <w:rPr>
          <w:color w:val="0000FF"/>
        </w:rPr>
      </w:pPr>
    </w:p>
    <w:p>
      <w:pPr>
        <w:pStyle w:val="25"/>
        <w:ind w:firstLine="0"/>
        <w:jc w:val="both"/>
        <w:outlineLvl w:val="1"/>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14:textFill>
            <w14:solidFill>
              <w14:schemeClr w14:val="tx1"/>
            </w14:solidFill>
          </w14:textFill>
        </w:rPr>
        <w:t>附图</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8"/>
          <w:szCs w:val="24"/>
          <w14:textFill>
            <w14:solidFill>
              <w14:schemeClr w14:val="tx1"/>
            </w14:solidFill>
          </w14:textFill>
        </w:rPr>
        <w:t>：</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生产车间2总平图</w:t>
      </w:r>
    </w:p>
    <w:p>
      <w:pPr>
        <w:pStyle w:val="25"/>
        <w:ind w:firstLine="0"/>
        <w:jc w:val="both"/>
        <w:rPr>
          <w:rFonts w:ascii="Times New Roman" w:hAnsi="Times New Roman" w:eastAsia="宋体" w:cs="Times New Roman"/>
          <w:b/>
          <w:bCs/>
          <w:color w:val="0000FF"/>
          <w:sz w:val="28"/>
          <w:szCs w:val="24"/>
        </w:rPr>
        <w:sectPr>
          <w:headerReference r:id="rId7" w:type="default"/>
          <w:footerReference r:id="rId8" w:type="default"/>
          <w:pgSz w:w="11906" w:h="16838"/>
          <w:pgMar w:top="1440" w:right="1440" w:bottom="1440" w:left="1417"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8380095" cy="4842510"/>
            <wp:effectExtent l="0" t="0" r="15240"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rot="16200000">
                      <a:off x="0" y="0"/>
                      <a:ext cx="8380095" cy="4842510"/>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ascii="Times New Roman" w:hAnsi="Times New Roman" w:eastAsia="宋体" w:cs="Times New Roman"/>
          <w:color w:val="000000" w:themeColor="text1"/>
          <w:sz w:val="28"/>
          <w:szCs w:val="24"/>
          <w14:textFill>
            <w14:solidFill>
              <w14:schemeClr w14:val="tx1"/>
            </w14:solidFill>
          </w14:textFill>
        </w:rPr>
        <w:t>附件</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1</w:t>
      </w:r>
      <w:r>
        <w:rPr>
          <w:rFonts w:ascii="Times New Roman" w:hAnsi="Times New Roman" w:eastAsia="宋体" w:cs="Times New Roman"/>
          <w:color w:val="000000" w:themeColor="text1"/>
          <w:sz w:val="28"/>
          <w:szCs w:val="24"/>
          <w14:textFill>
            <w14:solidFill>
              <w14:schemeClr w14:val="tx1"/>
            </w14:solidFill>
          </w14:textFill>
        </w:rPr>
        <w:t>：</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环评批复</w:t>
      </w:r>
    </w:p>
    <w:p>
      <w:pPr>
        <w:pStyle w:val="25"/>
        <w:ind w:firstLine="0"/>
        <w:jc w:val="both"/>
        <w:outlineLvl w:val="1"/>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5934075" cy="8391525"/>
            <wp:effectExtent l="0" t="0" r="9525" b="9525"/>
            <wp:docPr id="9" name="图片 9" descr="a145662e9977ecec7e6a4721cddc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145662e9977ecec7e6a4721cddc2b6"/>
                    <pic:cNvPicPr>
                      <a:picLocks noChangeAspect="1"/>
                    </pic:cNvPicPr>
                  </pic:nvPicPr>
                  <pic:blipFill>
                    <a:blip r:embed="rId17"/>
                    <a:stretch>
                      <a:fillRect/>
                    </a:stretch>
                  </pic:blipFill>
                  <pic:spPr>
                    <a:xfrm>
                      <a:off x="0" y="0"/>
                      <a:ext cx="5934075" cy="8391525"/>
                    </a:xfrm>
                    <a:prstGeom prst="rect">
                      <a:avLst/>
                    </a:prstGeom>
                  </pic:spPr>
                </pic:pic>
              </a:graphicData>
            </a:graphic>
          </wp:inline>
        </w:drawing>
      </w:r>
    </w:p>
    <w:p>
      <w:pPr>
        <w:pStyle w:val="25"/>
        <w:ind w:firstLine="0"/>
        <w:jc w:val="both"/>
        <w:outlineLvl w:val="1"/>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5934075" cy="8391525"/>
            <wp:effectExtent l="0" t="0" r="9525" b="9525"/>
            <wp:docPr id="10" name="图片 10" descr="78988c793254ab2747754c86402b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8988c793254ab2747754c86402be5c"/>
                    <pic:cNvPicPr>
                      <a:picLocks noChangeAspect="1"/>
                    </pic:cNvPicPr>
                  </pic:nvPicPr>
                  <pic:blipFill>
                    <a:blip r:embed="rId18"/>
                    <a:stretch>
                      <a:fillRect/>
                    </a:stretch>
                  </pic:blipFill>
                  <pic:spPr>
                    <a:xfrm>
                      <a:off x="0" y="0"/>
                      <a:ext cx="5934075" cy="8391525"/>
                    </a:xfrm>
                    <a:prstGeom prst="rect">
                      <a:avLst/>
                    </a:prstGeom>
                  </pic:spPr>
                </pic:pic>
              </a:graphicData>
            </a:graphic>
          </wp:inline>
        </w:drawing>
      </w:r>
      <w:r>
        <w:rPr>
          <w:rFonts w:hint="eastAsia" w:ascii="Times New Roman" w:hAnsi="Times New Roman" w:eastAsia="宋体" w:cs="Times New Roman"/>
          <w:color w:val="0000FF"/>
          <w:sz w:val="28"/>
          <w:szCs w:val="24"/>
          <w:lang w:val="en-US" w:eastAsia="zh-CN"/>
        </w:rPr>
        <w:drawing>
          <wp:inline distT="0" distB="0" distL="114300" distR="114300">
            <wp:extent cx="5934075" cy="8391525"/>
            <wp:effectExtent l="0" t="0" r="9525" b="9525"/>
            <wp:docPr id="11" name="图片 11" descr="48f04c129e85f8bdac848b0af40d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f04c129e85f8bdac848b0af40d32c"/>
                    <pic:cNvPicPr>
                      <a:picLocks noChangeAspect="1"/>
                    </pic:cNvPicPr>
                  </pic:nvPicPr>
                  <pic:blipFill>
                    <a:blip r:embed="rId19"/>
                    <a:stretch>
                      <a:fillRect/>
                    </a:stretch>
                  </pic:blipFill>
                  <pic:spPr>
                    <a:xfrm>
                      <a:off x="0" y="0"/>
                      <a:ext cx="5934075" cy="8391525"/>
                    </a:xfrm>
                    <a:prstGeom prst="rect">
                      <a:avLst/>
                    </a:prstGeom>
                  </pic:spPr>
                </pic:pic>
              </a:graphicData>
            </a:graphic>
          </wp:inline>
        </w:drawing>
      </w:r>
      <w:r>
        <w:rPr>
          <w:rFonts w:hint="eastAsia" w:ascii="Times New Roman" w:hAnsi="Times New Roman" w:eastAsia="宋体" w:cs="Times New Roman"/>
          <w:color w:val="0000FF"/>
          <w:sz w:val="28"/>
          <w:szCs w:val="24"/>
          <w:lang w:val="en-US" w:eastAsia="zh-CN"/>
        </w:rPr>
        <w:drawing>
          <wp:inline distT="0" distB="0" distL="114300" distR="114300">
            <wp:extent cx="5934075" cy="8391525"/>
            <wp:effectExtent l="0" t="0" r="9525" b="9525"/>
            <wp:docPr id="12" name="图片 12" descr="22d79ec6b01edc837f3662df0072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d79ec6b01edc837f3662df0072c59"/>
                    <pic:cNvPicPr>
                      <a:picLocks noChangeAspect="1"/>
                    </pic:cNvPicPr>
                  </pic:nvPicPr>
                  <pic:blipFill>
                    <a:blip r:embed="rId20"/>
                    <a:stretch>
                      <a:fillRect/>
                    </a:stretch>
                  </pic:blipFill>
                  <pic:spPr>
                    <a:xfrm>
                      <a:off x="0" y="0"/>
                      <a:ext cx="5934075" cy="8391525"/>
                    </a:xfrm>
                    <a:prstGeom prst="rect">
                      <a:avLst/>
                    </a:prstGeom>
                  </pic:spPr>
                </pic:pic>
              </a:graphicData>
            </a:graphic>
          </wp:inline>
        </w:drawing>
      </w:r>
    </w:p>
    <w:p>
      <w:pPr>
        <w:pStyle w:val="25"/>
        <w:ind w:firstLine="0"/>
        <w:jc w:val="both"/>
        <w:outlineLvl w:val="1"/>
        <w:rPr>
          <w:rFonts w:hint="eastAsia" w:ascii="Times New Roman" w:hAnsi="Times New Roman" w:eastAsia="宋体" w:cs="Times New Roman"/>
          <w:color w:val="0000FF"/>
          <w:sz w:val="28"/>
          <w:szCs w:val="24"/>
          <w:lang w:val="en-US" w:eastAsia="zh-CN"/>
        </w:rPr>
      </w:pPr>
    </w:p>
    <w:p>
      <w:pPr>
        <w:pStyle w:val="25"/>
        <w:ind w:firstLine="0"/>
        <w:jc w:val="both"/>
        <w:outlineLvl w:val="1"/>
        <w:rPr>
          <w:rFonts w:ascii="Times New Roman" w:hAnsi="Times New Roman" w:eastAsia="宋体" w:cs="Times New Roman"/>
          <w:color w:val="0000FF"/>
          <w:sz w:val="28"/>
          <w:szCs w:val="24"/>
        </w:rPr>
      </w:pPr>
    </w:p>
    <w:p>
      <w:pPr>
        <w:pStyle w:val="25"/>
        <w:ind w:firstLine="0"/>
        <w:jc w:val="both"/>
        <w:outlineLvl w:val="1"/>
        <w:rPr>
          <w:rFonts w:ascii="Times New Roman" w:hAnsi="Times New Roman" w:eastAsia="宋体" w:cs="Times New Roman"/>
          <w:color w:val="0000FF"/>
          <w:sz w:val="28"/>
          <w:szCs w:val="24"/>
        </w:rPr>
      </w:pPr>
    </w:p>
    <w:p>
      <w:pPr>
        <w:pStyle w:val="25"/>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ascii="Times New Roman" w:hAnsi="Times New Roman" w:eastAsia="宋体" w:cs="Times New Roman"/>
          <w:color w:val="000000" w:themeColor="text1"/>
          <w:sz w:val="28"/>
          <w:szCs w:val="24"/>
          <w14:textFill>
            <w14:solidFill>
              <w14:schemeClr w14:val="tx1"/>
            </w14:solidFill>
          </w14:textFill>
        </w:rPr>
        <w:t>附件</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2</w:t>
      </w:r>
      <w:r>
        <w:rPr>
          <w:rFonts w:ascii="Times New Roman" w:hAnsi="Times New Roman" w:eastAsia="宋体" w:cs="Times New Roman"/>
          <w:color w:val="000000" w:themeColor="text1"/>
          <w:sz w:val="28"/>
          <w:szCs w:val="24"/>
          <w14:textFill>
            <w14:solidFill>
              <w14:schemeClr w14:val="tx1"/>
            </w14:solidFill>
          </w14:textFill>
        </w:rPr>
        <w:t>：</w:t>
      </w:r>
      <w:r>
        <w:rPr>
          <w:rFonts w:hint="eastAsia" w:ascii="Times New Roman" w:hAnsi="Times New Roman" w:eastAsia="宋体" w:cs="Times New Roman"/>
          <w:color w:val="000000" w:themeColor="text1"/>
          <w:sz w:val="28"/>
          <w:szCs w:val="24"/>
          <w14:textFill>
            <w14:solidFill>
              <w14:schemeClr w14:val="tx1"/>
            </w14:solidFill>
          </w14:textFill>
        </w:rPr>
        <w:t>建筑垃圾委托处置合同书</w:t>
      </w:r>
    </w:p>
    <w:p>
      <w:pPr>
        <w:pStyle w:val="25"/>
        <w:ind w:firstLine="0"/>
        <w:jc w:val="both"/>
        <w:outlineLvl w:val="1"/>
        <w:rPr>
          <w:rFonts w:hint="default" w:ascii="Times New Roman" w:hAnsi="Times New Roman" w:eastAsia="宋体" w:cs="Times New Roman"/>
          <w:color w:val="0000FF"/>
          <w:sz w:val="28"/>
          <w:szCs w:val="24"/>
          <w:lang w:val="en-US" w:eastAsia="zh-CN"/>
        </w:rPr>
      </w:pPr>
      <w:r>
        <w:rPr>
          <w:rFonts w:hint="eastAsia" w:eastAsia="宋体"/>
          <w:sz w:val="24"/>
          <w:szCs w:val="24"/>
          <w:lang w:eastAsia="zh-CN"/>
        </w:rPr>
        <w:drawing>
          <wp:inline distT="0" distB="0" distL="114300" distR="114300">
            <wp:extent cx="6047105" cy="8551545"/>
            <wp:effectExtent l="0" t="0" r="10795" b="1905"/>
            <wp:docPr id="13" name="图片 4" descr="处置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处置合同"/>
                    <pic:cNvPicPr>
                      <a:picLocks noChangeAspect="1"/>
                    </pic:cNvPicPr>
                  </pic:nvPicPr>
                  <pic:blipFill>
                    <a:blip r:embed="rId21"/>
                    <a:stretch>
                      <a:fillRect/>
                    </a:stretch>
                  </pic:blipFill>
                  <pic:spPr>
                    <a:xfrm>
                      <a:off x="0" y="0"/>
                      <a:ext cx="6047105" cy="8551545"/>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color w:val="0000FF"/>
          <w:sz w:val="28"/>
          <w:szCs w:val="24"/>
          <w:lang w:val="en-US" w:eastAsia="zh-CN"/>
        </w:rPr>
      </w:pPr>
    </w:p>
    <w:p>
      <w:pPr>
        <w:pStyle w:val="25"/>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附件3：租赁合同</w:t>
      </w:r>
    </w:p>
    <w:p>
      <w:pPr>
        <w:pStyle w:val="25"/>
        <w:ind w:firstLine="0"/>
        <w:jc w:val="both"/>
        <w:outlineLvl w:val="1"/>
        <w:rPr>
          <w:rFonts w:hint="default" w:ascii="Times New Roman" w:hAnsi="Times New Roman" w:eastAsia="宋体" w:cs="Times New Roman"/>
          <w:color w:val="0000FF"/>
          <w:sz w:val="28"/>
          <w:szCs w:val="24"/>
          <w:lang w:val="en-US" w:eastAsia="zh-CN"/>
        </w:rPr>
      </w:pPr>
      <w:r>
        <w:rPr>
          <w:rFonts w:hint="eastAsia"/>
          <w:lang w:val="en-US" w:eastAsia="zh-CN"/>
        </w:rPr>
        <w:drawing>
          <wp:inline distT="0" distB="0" distL="114300" distR="114300">
            <wp:extent cx="6047105" cy="8551545"/>
            <wp:effectExtent l="0" t="0" r="10795" b="1905"/>
            <wp:docPr id="14" name="图片 5" descr="doc00887720191115090845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oc00887720191115090845_004"/>
                    <pic:cNvPicPr>
                      <a:picLocks noChangeAspect="1"/>
                    </pic:cNvPicPr>
                  </pic:nvPicPr>
                  <pic:blipFill>
                    <a:blip r:embed="rId22"/>
                    <a:stretch>
                      <a:fillRect/>
                    </a:stretch>
                  </pic:blipFill>
                  <pic:spPr>
                    <a:xfrm>
                      <a:off x="0" y="0"/>
                      <a:ext cx="6047105" cy="8551545"/>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color w:val="0000FF"/>
          <w:sz w:val="28"/>
          <w:szCs w:val="24"/>
          <w:lang w:val="en-US" w:eastAsia="zh-CN"/>
        </w:rPr>
      </w:pPr>
      <w:r>
        <w:rPr>
          <w:rFonts w:hint="eastAsia"/>
          <w:lang w:val="en-US" w:eastAsia="zh-CN"/>
        </w:rPr>
        <w:drawing>
          <wp:inline distT="0" distB="0" distL="114300" distR="114300">
            <wp:extent cx="6047105" cy="8551545"/>
            <wp:effectExtent l="0" t="0" r="10795" b="1905"/>
            <wp:docPr id="15" name="图片 6" descr="doc0088772019111509084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doc00887720191115090845_005"/>
                    <pic:cNvPicPr>
                      <a:picLocks noChangeAspect="1"/>
                    </pic:cNvPicPr>
                  </pic:nvPicPr>
                  <pic:blipFill>
                    <a:blip r:embed="rId23"/>
                    <a:stretch>
                      <a:fillRect/>
                    </a:stretch>
                  </pic:blipFill>
                  <pic:spPr>
                    <a:xfrm>
                      <a:off x="0" y="0"/>
                      <a:ext cx="6047105" cy="8551545"/>
                    </a:xfrm>
                    <a:prstGeom prst="rect">
                      <a:avLst/>
                    </a:prstGeom>
                    <a:noFill/>
                    <a:ln>
                      <a:noFill/>
                    </a:ln>
                  </pic:spPr>
                </pic:pic>
              </a:graphicData>
            </a:graphic>
          </wp:inline>
        </w:drawing>
      </w:r>
      <w:r>
        <w:rPr>
          <w:rFonts w:hint="eastAsia"/>
          <w:lang w:val="en-US" w:eastAsia="zh-CN"/>
        </w:rPr>
        <w:drawing>
          <wp:inline distT="0" distB="0" distL="114300" distR="114300">
            <wp:extent cx="6047105" cy="8551545"/>
            <wp:effectExtent l="0" t="0" r="10795" b="1905"/>
            <wp:docPr id="16" name="图片 7" descr="doc00887720191115090845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doc00887720191115090845_006"/>
                    <pic:cNvPicPr>
                      <a:picLocks noChangeAspect="1"/>
                    </pic:cNvPicPr>
                  </pic:nvPicPr>
                  <pic:blipFill>
                    <a:blip r:embed="rId24"/>
                    <a:stretch>
                      <a:fillRect/>
                    </a:stretch>
                  </pic:blipFill>
                  <pic:spPr>
                    <a:xfrm>
                      <a:off x="0" y="0"/>
                      <a:ext cx="6047105" cy="8551545"/>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color w:val="0000FF"/>
          <w:sz w:val="28"/>
          <w:szCs w:val="24"/>
          <w:lang w:val="en-US" w:eastAsia="zh-CN"/>
        </w:rPr>
        <w:sectPr>
          <w:pgSz w:w="11907" w:h="16840"/>
          <w:pgMar w:top="1276" w:right="1134" w:bottom="1361" w:left="1417" w:header="992" w:footer="850" w:gutter="0"/>
          <w:pgBorders>
            <w:top w:val="none" w:sz="0" w:space="0"/>
            <w:left w:val="none" w:sz="0" w:space="0"/>
            <w:bottom w:val="none" w:sz="0" w:space="0"/>
            <w:right w:val="none" w:sz="0" w:space="0"/>
          </w:pgBorders>
          <w:cols w:space="720" w:num="1"/>
          <w:rtlGutter w:val="0"/>
          <w:docGrid w:linePitch="494" w:charSpace="0"/>
        </w:sectPr>
      </w:pPr>
    </w:p>
    <w:p>
      <w:pPr>
        <w:pStyle w:val="25"/>
        <w:ind w:firstLine="0"/>
        <w:jc w:val="both"/>
        <w:outlineLvl w:val="1"/>
        <w:rPr>
          <w:rFonts w:hint="eastAsia" w:ascii="Times New Roman" w:hAnsi="Times New Roman" w:eastAsia="宋体" w:cs="Times New Roman"/>
          <w:color w:val="0000FF"/>
          <w:sz w:val="28"/>
          <w:szCs w:val="24"/>
          <w:lang w:val="en-US" w:eastAsia="zh-CN"/>
        </w:rPr>
      </w:pPr>
    </w:p>
    <w:sectPr>
      <w:footerReference r:id="rId9" w:type="default"/>
      <w:pgSz w:w="16838" w:h="11906" w:orient="landscape"/>
      <w:pgMar w:top="1474" w:right="1588" w:bottom="1474" w:left="1713"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9"/>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B9669A6D"/>
    <w:multiLevelType w:val="singleLevel"/>
    <w:tmpl w:val="B9669A6D"/>
    <w:lvl w:ilvl="0" w:tentative="0">
      <w:start w:val="1"/>
      <w:numFmt w:val="decimal"/>
      <w:suff w:val="nothing"/>
      <w:lvlText w:val="（%1）"/>
      <w:lvlJc w:val="left"/>
    </w:lvl>
  </w:abstractNum>
  <w:abstractNum w:abstractNumId="2">
    <w:nsid w:val="EA50557B"/>
    <w:multiLevelType w:val="singleLevel"/>
    <w:tmpl w:val="EA50557B"/>
    <w:lvl w:ilvl="0" w:tentative="0">
      <w:start w:val="1"/>
      <w:numFmt w:val="decimal"/>
      <w:suff w:val="nothing"/>
      <w:lvlText w:val="%1、"/>
      <w:lvlJc w:val="left"/>
      <w:pPr>
        <w:ind w:left="20"/>
      </w:pPr>
    </w:lvl>
  </w:abstractNum>
  <w:abstractNum w:abstractNumId="3">
    <w:nsid w:val="3AFA98C7"/>
    <w:multiLevelType w:val="singleLevel"/>
    <w:tmpl w:val="3AFA98C7"/>
    <w:lvl w:ilvl="0" w:tentative="0">
      <w:start w:val="7"/>
      <w:numFmt w:val="decimal"/>
      <w:suff w:val="nothing"/>
      <w:lvlText w:val="%1、"/>
      <w:lvlJc w:val="left"/>
    </w:lvl>
  </w:abstractNum>
  <w:abstractNum w:abstractNumId="4">
    <w:nsid w:val="68804528"/>
    <w:multiLevelType w:val="singleLevel"/>
    <w:tmpl w:val="68804528"/>
    <w:lvl w:ilvl="0" w:tentative="0">
      <w:start w:val="1"/>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0D4"/>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816DE"/>
    <w:rsid w:val="008A04D2"/>
    <w:rsid w:val="008D27CB"/>
    <w:rsid w:val="008D3252"/>
    <w:rsid w:val="008E0FFA"/>
    <w:rsid w:val="008E3AD1"/>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4CCB"/>
    <w:rsid w:val="00BD50A9"/>
    <w:rsid w:val="00BE3AC6"/>
    <w:rsid w:val="00C313C9"/>
    <w:rsid w:val="00C72774"/>
    <w:rsid w:val="00CA778C"/>
    <w:rsid w:val="00CB0D76"/>
    <w:rsid w:val="00CB431F"/>
    <w:rsid w:val="00CF240E"/>
    <w:rsid w:val="00D25CA4"/>
    <w:rsid w:val="00D3491B"/>
    <w:rsid w:val="00D60A9D"/>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2D2AD9"/>
    <w:rsid w:val="01320A89"/>
    <w:rsid w:val="013F4762"/>
    <w:rsid w:val="014F62A2"/>
    <w:rsid w:val="01555D36"/>
    <w:rsid w:val="01564A0B"/>
    <w:rsid w:val="01571B3E"/>
    <w:rsid w:val="015B57CD"/>
    <w:rsid w:val="015C039B"/>
    <w:rsid w:val="015D0B69"/>
    <w:rsid w:val="0161232D"/>
    <w:rsid w:val="0162669E"/>
    <w:rsid w:val="01731009"/>
    <w:rsid w:val="01785925"/>
    <w:rsid w:val="017C1861"/>
    <w:rsid w:val="01814DD7"/>
    <w:rsid w:val="01855D40"/>
    <w:rsid w:val="01874589"/>
    <w:rsid w:val="018F15B1"/>
    <w:rsid w:val="019330E1"/>
    <w:rsid w:val="019A26F4"/>
    <w:rsid w:val="01A76B9F"/>
    <w:rsid w:val="01AA6E84"/>
    <w:rsid w:val="01B3283C"/>
    <w:rsid w:val="01B55669"/>
    <w:rsid w:val="01BB651F"/>
    <w:rsid w:val="01C77ACE"/>
    <w:rsid w:val="01CB14EB"/>
    <w:rsid w:val="01CE06EA"/>
    <w:rsid w:val="01D504F3"/>
    <w:rsid w:val="01E02CC3"/>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9C681D"/>
    <w:rsid w:val="02B36B56"/>
    <w:rsid w:val="02BB49CE"/>
    <w:rsid w:val="02C9587A"/>
    <w:rsid w:val="02DB343C"/>
    <w:rsid w:val="02DD20FE"/>
    <w:rsid w:val="02E318C8"/>
    <w:rsid w:val="02E75AF7"/>
    <w:rsid w:val="02E9438C"/>
    <w:rsid w:val="02E94D2D"/>
    <w:rsid w:val="02F726C6"/>
    <w:rsid w:val="030339C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D6952"/>
    <w:rsid w:val="03AE7610"/>
    <w:rsid w:val="03B10EB7"/>
    <w:rsid w:val="03B22722"/>
    <w:rsid w:val="03CF5C14"/>
    <w:rsid w:val="03D07326"/>
    <w:rsid w:val="03DC235A"/>
    <w:rsid w:val="03DF073B"/>
    <w:rsid w:val="03E0331E"/>
    <w:rsid w:val="03E26B34"/>
    <w:rsid w:val="03E463D3"/>
    <w:rsid w:val="03EA4A92"/>
    <w:rsid w:val="03EF1C97"/>
    <w:rsid w:val="0409154E"/>
    <w:rsid w:val="041202D3"/>
    <w:rsid w:val="041B7AA1"/>
    <w:rsid w:val="042C6938"/>
    <w:rsid w:val="04313574"/>
    <w:rsid w:val="043F724A"/>
    <w:rsid w:val="04434073"/>
    <w:rsid w:val="045607B5"/>
    <w:rsid w:val="045D5E10"/>
    <w:rsid w:val="04747836"/>
    <w:rsid w:val="0478104E"/>
    <w:rsid w:val="04883E48"/>
    <w:rsid w:val="04884804"/>
    <w:rsid w:val="048B2917"/>
    <w:rsid w:val="0491352B"/>
    <w:rsid w:val="0496529C"/>
    <w:rsid w:val="049C7734"/>
    <w:rsid w:val="049F249A"/>
    <w:rsid w:val="04A86BEE"/>
    <w:rsid w:val="04B35BE8"/>
    <w:rsid w:val="04BE0FEF"/>
    <w:rsid w:val="04C84A7D"/>
    <w:rsid w:val="04CE76E4"/>
    <w:rsid w:val="04D3141D"/>
    <w:rsid w:val="04E9332F"/>
    <w:rsid w:val="04F26F4E"/>
    <w:rsid w:val="05002400"/>
    <w:rsid w:val="05091489"/>
    <w:rsid w:val="050A32C4"/>
    <w:rsid w:val="052147EF"/>
    <w:rsid w:val="05362AF7"/>
    <w:rsid w:val="05432981"/>
    <w:rsid w:val="05513968"/>
    <w:rsid w:val="0560382E"/>
    <w:rsid w:val="056636DB"/>
    <w:rsid w:val="05681A75"/>
    <w:rsid w:val="056D0811"/>
    <w:rsid w:val="05752390"/>
    <w:rsid w:val="05871DC9"/>
    <w:rsid w:val="058C6389"/>
    <w:rsid w:val="05925DF6"/>
    <w:rsid w:val="05960A6A"/>
    <w:rsid w:val="05A35D37"/>
    <w:rsid w:val="05A40B04"/>
    <w:rsid w:val="05AB6CBE"/>
    <w:rsid w:val="05B16FE4"/>
    <w:rsid w:val="05B35541"/>
    <w:rsid w:val="05B97FF5"/>
    <w:rsid w:val="05BD097D"/>
    <w:rsid w:val="05C10E79"/>
    <w:rsid w:val="05C33333"/>
    <w:rsid w:val="05CB7C34"/>
    <w:rsid w:val="05D05B48"/>
    <w:rsid w:val="05D07F44"/>
    <w:rsid w:val="05D45FEB"/>
    <w:rsid w:val="05DD7822"/>
    <w:rsid w:val="05E5128D"/>
    <w:rsid w:val="05F05F3C"/>
    <w:rsid w:val="05F33DE3"/>
    <w:rsid w:val="05F5438C"/>
    <w:rsid w:val="05FD2716"/>
    <w:rsid w:val="06023097"/>
    <w:rsid w:val="0604537E"/>
    <w:rsid w:val="06101C8C"/>
    <w:rsid w:val="062B60C2"/>
    <w:rsid w:val="06326A2D"/>
    <w:rsid w:val="063C0B9C"/>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34A90"/>
    <w:rsid w:val="06D44F60"/>
    <w:rsid w:val="06E86867"/>
    <w:rsid w:val="06EF4912"/>
    <w:rsid w:val="06F92C5D"/>
    <w:rsid w:val="06FD211F"/>
    <w:rsid w:val="070047B4"/>
    <w:rsid w:val="070159FE"/>
    <w:rsid w:val="07052346"/>
    <w:rsid w:val="070839E5"/>
    <w:rsid w:val="070D4194"/>
    <w:rsid w:val="07106B48"/>
    <w:rsid w:val="071A4A25"/>
    <w:rsid w:val="071F425E"/>
    <w:rsid w:val="07335F45"/>
    <w:rsid w:val="07386A5E"/>
    <w:rsid w:val="073B41FD"/>
    <w:rsid w:val="074D22D5"/>
    <w:rsid w:val="07545637"/>
    <w:rsid w:val="075D175E"/>
    <w:rsid w:val="0760459B"/>
    <w:rsid w:val="07650044"/>
    <w:rsid w:val="07787161"/>
    <w:rsid w:val="077A7B8A"/>
    <w:rsid w:val="079324F0"/>
    <w:rsid w:val="07A028AF"/>
    <w:rsid w:val="07A40B28"/>
    <w:rsid w:val="07A502F4"/>
    <w:rsid w:val="07AA4CD9"/>
    <w:rsid w:val="07BC43A4"/>
    <w:rsid w:val="07BC729D"/>
    <w:rsid w:val="07C90E80"/>
    <w:rsid w:val="07D22F1A"/>
    <w:rsid w:val="07D608D5"/>
    <w:rsid w:val="07D87287"/>
    <w:rsid w:val="07DC5FAA"/>
    <w:rsid w:val="07E37B1C"/>
    <w:rsid w:val="07E509E1"/>
    <w:rsid w:val="07EE390E"/>
    <w:rsid w:val="07F0031C"/>
    <w:rsid w:val="082D6213"/>
    <w:rsid w:val="082E414A"/>
    <w:rsid w:val="08342D07"/>
    <w:rsid w:val="0834513C"/>
    <w:rsid w:val="08483D46"/>
    <w:rsid w:val="08596130"/>
    <w:rsid w:val="086134C4"/>
    <w:rsid w:val="08686183"/>
    <w:rsid w:val="086C4F68"/>
    <w:rsid w:val="08831B75"/>
    <w:rsid w:val="088D0831"/>
    <w:rsid w:val="08A211FF"/>
    <w:rsid w:val="08A510FD"/>
    <w:rsid w:val="08A623AF"/>
    <w:rsid w:val="08AC7940"/>
    <w:rsid w:val="08AD335A"/>
    <w:rsid w:val="08B52271"/>
    <w:rsid w:val="08B6623B"/>
    <w:rsid w:val="08B662E7"/>
    <w:rsid w:val="08C30554"/>
    <w:rsid w:val="08C5394F"/>
    <w:rsid w:val="08D36930"/>
    <w:rsid w:val="08DF0BCE"/>
    <w:rsid w:val="08E33990"/>
    <w:rsid w:val="08E94ECE"/>
    <w:rsid w:val="08EA1524"/>
    <w:rsid w:val="08FB3880"/>
    <w:rsid w:val="0901439C"/>
    <w:rsid w:val="09065566"/>
    <w:rsid w:val="09083CCF"/>
    <w:rsid w:val="090B2DF9"/>
    <w:rsid w:val="090C053C"/>
    <w:rsid w:val="090E7C9B"/>
    <w:rsid w:val="091468DD"/>
    <w:rsid w:val="093375BB"/>
    <w:rsid w:val="09385D4D"/>
    <w:rsid w:val="094F58AB"/>
    <w:rsid w:val="094F5C49"/>
    <w:rsid w:val="095A0746"/>
    <w:rsid w:val="096E2CA3"/>
    <w:rsid w:val="098477C5"/>
    <w:rsid w:val="09882276"/>
    <w:rsid w:val="09886F8A"/>
    <w:rsid w:val="098B7D00"/>
    <w:rsid w:val="09927ABB"/>
    <w:rsid w:val="09962F02"/>
    <w:rsid w:val="09987EDA"/>
    <w:rsid w:val="09B25955"/>
    <w:rsid w:val="09B62172"/>
    <w:rsid w:val="09B66121"/>
    <w:rsid w:val="09BF31F9"/>
    <w:rsid w:val="09C7288A"/>
    <w:rsid w:val="09CC00F6"/>
    <w:rsid w:val="09D32AA4"/>
    <w:rsid w:val="09D427C0"/>
    <w:rsid w:val="09DC4DF0"/>
    <w:rsid w:val="09E22E5A"/>
    <w:rsid w:val="09EA3420"/>
    <w:rsid w:val="09EA7403"/>
    <w:rsid w:val="09F01221"/>
    <w:rsid w:val="09F64B8F"/>
    <w:rsid w:val="0A183BDE"/>
    <w:rsid w:val="0A207B1F"/>
    <w:rsid w:val="0A2723E4"/>
    <w:rsid w:val="0A2A36C4"/>
    <w:rsid w:val="0A2E5D2E"/>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D140C6"/>
    <w:rsid w:val="0AD36DC9"/>
    <w:rsid w:val="0AE1709D"/>
    <w:rsid w:val="0AEF1CA4"/>
    <w:rsid w:val="0AF62D76"/>
    <w:rsid w:val="0AFC4F93"/>
    <w:rsid w:val="0AFC7A29"/>
    <w:rsid w:val="0B000355"/>
    <w:rsid w:val="0B032D8A"/>
    <w:rsid w:val="0B0A635E"/>
    <w:rsid w:val="0B103B47"/>
    <w:rsid w:val="0B2064B2"/>
    <w:rsid w:val="0B2D4768"/>
    <w:rsid w:val="0B3558A5"/>
    <w:rsid w:val="0B385C98"/>
    <w:rsid w:val="0B3B3643"/>
    <w:rsid w:val="0B426D02"/>
    <w:rsid w:val="0B483DAF"/>
    <w:rsid w:val="0B4A77EA"/>
    <w:rsid w:val="0B4B547D"/>
    <w:rsid w:val="0B4F1AAF"/>
    <w:rsid w:val="0B505CD8"/>
    <w:rsid w:val="0B5B7DD1"/>
    <w:rsid w:val="0B5D4EE0"/>
    <w:rsid w:val="0B63435B"/>
    <w:rsid w:val="0B8A7168"/>
    <w:rsid w:val="0B8B10C0"/>
    <w:rsid w:val="0B98237D"/>
    <w:rsid w:val="0B99666A"/>
    <w:rsid w:val="0B997CAF"/>
    <w:rsid w:val="0B9E62C4"/>
    <w:rsid w:val="0BA13491"/>
    <w:rsid w:val="0BA51239"/>
    <w:rsid w:val="0BA645D0"/>
    <w:rsid w:val="0BB80509"/>
    <w:rsid w:val="0BBD1B43"/>
    <w:rsid w:val="0BC466F4"/>
    <w:rsid w:val="0BC631B1"/>
    <w:rsid w:val="0BCC24DE"/>
    <w:rsid w:val="0BD27054"/>
    <w:rsid w:val="0BD45DB0"/>
    <w:rsid w:val="0BE175FA"/>
    <w:rsid w:val="0C2B34D5"/>
    <w:rsid w:val="0C346CC5"/>
    <w:rsid w:val="0C3D07BF"/>
    <w:rsid w:val="0C4613F7"/>
    <w:rsid w:val="0C5251EE"/>
    <w:rsid w:val="0C5974B7"/>
    <w:rsid w:val="0C5E192C"/>
    <w:rsid w:val="0C7505D5"/>
    <w:rsid w:val="0C7722F9"/>
    <w:rsid w:val="0C810D74"/>
    <w:rsid w:val="0C8223AA"/>
    <w:rsid w:val="0C825A90"/>
    <w:rsid w:val="0C87620F"/>
    <w:rsid w:val="0C8B1CB3"/>
    <w:rsid w:val="0C8C7FCB"/>
    <w:rsid w:val="0C8F7B18"/>
    <w:rsid w:val="0C9F555A"/>
    <w:rsid w:val="0CA347A7"/>
    <w:rsid w:val="0CB030D0"/>
    <w:rsid w:val="0CBD2E10"/>
    <w:rsid w:val="0CBD7D37"/>
    <w:rsid w:val="0CCA4B07"/>
    <w:rsid w:val="0CCF5AA7"/>
    <w:rsid w:val="0CD20F22"/>
    <w:rsid w:val="0CD42BF0"/>
    <w:rsid w:val="0CD574E2"/>
    <w:rsid w:val="0CD635DC"/>
    <w:rsid w:val="0CE1113C"/>
    <w:rsid w:val="0CE15C1C"/>
    <w:rsid w:val="0D042796"/>
    <w:rsid w:val="0D1666C2"/>
    <w:rsid w:val="0D203AB7"/>
    <w:rsid w:val="0D2F145E"/>
    <w:rsid w:val="0D3201BB"/>
    <w:rsid w:val="0D446F88"/>
    <w:rsid w:val="0D6C0F92"/>
    <w:rsid w:val="0D862E26"/>
    <w:rsid w:val="0D871BC2"/>
    <w:rsid w:val="0D8F2357"/>
    <w:rsid w:val="0D9A621B"/>
    <w:rsid w:val="0DA16BA8"/>
    <w:rsid w:val="0DA65670"/>
    <w:rsid w:val="0DA77083"/>
    <w:rsid w:val="0DB11C19"/>
    <w:rsid w:val="0DC652DC"/>
    <w:rsid w:val="0DC75447"/>
    <w:rsid w:val="0DCA2163"/>
    <w:rsid w:val="0DCC33D9"/>
    <w:rsid w:val="0DD07926"/>
    <w:rsid w:val="0DDB0847"/>
    <w:rsid w:val="0DDC7116"/>
    <w:rsid w:val="0DF3401C"/>
    <w:rsid w:val="0DF5249E"/>
    <w:rsid w:val="0E0603C5"/>
    <w:rsid w:val="0E1A6B31"/>
    <w:rsid w:val="0E2461F6"/>
    <w:rsid w:val="0E2A3D70"/>
    <w:rsid w:val="0E3A01FA"/>
    <w:rsid w:val="0E3C19C8"/>
    <w:rsid w:val="0E4404B2"/>
    <w:rsid w:val="0E4410A5"/>
    <w:rsid w:val="0E4970D4"/>
    <w:rsid w:val="0E4B613E"/>
    <w:rsid w:val="0E4C3E08"/>
    <w:rsid w:val="0E543543"/>
    <w:rsid w:val="0E553BAF"/>
    <w:rsid w:val="0E5816B3"/>
    <w:rsid w:val="0E761B6C"/>
    <w:rsid w:val="0E773ABB"/>
    <w:rsid w:val="0E7F3F63"/>
    <w:rsid w:val="0E8807BD"/>
    <w:rsid w:val="0E9B4995"/>
    <w:rsid w:val="0E9D4EFB"/>
    <w:rsid w:val="0EAD5805"/>
    <w:rsid w:val="0EBF4221"/>
    <w:rsid w:val="0EC1568B"/>
    <w:rsid w:val="0EC20938"/>
    <w:rsid w:val="0EE11F36"/>
    <w:rsid w:val="0EE42959"/>
    <w:rsid w:val="0EFD2849"/>
    <w:rsid w:val="0F0668CA"/>
    <w:rsid w:val="0F0D7B3F"/>
    <w:rsid w:val="0F2E7F18"/>
    <w:rsid w:val="0F31112A"/>
    <w:rsid w:val="0F4126ED"/>
    <w:rsid w:val="0F4328C8"/>
    <w:rsid w:val="0F490484"/>
    <w:rsid w:val="0F500AB0"/>
    <w:rsid w:val="0F524416"/>
    <w:rsid w:val="0F5C78A9"/>
    <w:rsid w:val="0F5D3222"/>
    <w:rsid w:val="0F5D59BD"/>
    <w:rsid w:val="0F6147A0"/>
    <w:rsid w:val="0F6436AB"/>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E363B"/>
    <w:rsid w:val="106F19C5"/>
    <w:rsid w:val="10820F19"/>
    <w:rsid w:val="108A4404"/>
    <w:rsid w:val="108A7C66"/>
    <w:rsid w:val="109A0CC1"/>
    <w:rsid w:val="10A136B9"/>
    <w:rsid w:val="10A42E2D"/>
    <w:rsid w:val="10A44B24"/>
    <w:rsid w:val="10A565D2"/>
    <w:rsid w:val="10AF51E5"/>
    <w:rsid w:val="10BA6E1A"/>
    <w:rsid w:val="10C2430D"/>
    <w:rsid w:val="10C6414F"/>
    <w:rsid w:val="10C90ACF"/>
    <w:rsid w:val="10CA3BDC"/>
    <w:rsid w:val="10CC3260"/>
    <w:rsid w:val="10CF3E89"/>
    <w:rsid w:val="10D51C8E"/>
    <w:rsid w:val="10D805D5"/>
    <w:rsid w:val="10E84C83"/>
    <w:rsid w:val="10F918EB"/>
    <w:rsid w:val="111B28C2"/>
    <w:rsid w:val="112003A1"/>
    <w:rsid w:val="11293937"/>
    <w:rsid w:val="113822C9"/>
    <w:rsid w:val="11413EB7"/>
    <w:rsid w:val="1146686D"/>
    <w:rsid w:val="114F1313"/>
    <w:rsid w:val="11565CBD"/>
    <w:rsid w:val="11637FF6"/>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E7D52"/>
    <w:rsid w:val="11B52839"/>
    <w:rsid w:val="11CA4CC1"/>
    <w:rsid w:val="11D67F5D"/>
    <w:rsid w:val="11D75F2A"/>
    <w:rsid w:val="11DD0499"/>
    <w:rsid w:val="11DD31D1"/>
    <w:rsid w:val="11E1659F"/>
    <w:rsid w:val="11E42EA6"/>
    <w:rsid w:val="11F41772"/>
    <w:rsid w:val="12046B3C"/>
    <w:rsid w:val="1208336E"/>
    <w:rsid w:val="1220793A"/>
    <w:rsid w:val="12211262"/>
    <w:rsid w:val="122C3702"/>
    <w:rsid w:val="122E55DD"/>
    <w:rsid w:val="12334A21"/>
    <w:rsid w:val="123D3805"/>
    <w:rsid w:val="12412EA7"/>
    <w:rsid w:val="126D039E"/>
    <w:rsid w:val="127508B0"/>
    <w:rsid w:val="1285444F"/>
    <w:rsid w:val="12AF2AF5"/>
    <w:rsid w:val="12C32643"/>
    <w:rsid w:val="12C60065"/>
    <w:rsid w:val="12C752F2"/>
    <w:rsid w:val="12DA0E63"/>
    <w:rsid w:val="12DD0117"/>
    <w:rsid w:val="12DD4D68"/>
    <w:rsid w:val="12DE4FDF"/>
    <w:rsid w:val="12F04D11"/>
    <w:rsid w:val="12F176F2"/>
    <w:rsid w:val="12F56A98"/>
    <w:rsid w:val="12F862BA"/>
    <w:rsid w:val="12FB37BF"/>
    <w:rsid w:val="130200A8"/>
    <w:rsid w:val="130F4894"/>
    <w:rsid w:val="13141E2E"/>
    <w:rsid w:val="13171052"/>
    <w:rsid w:val="131B17A3"/>
    <w:rsid w:val="13220DA4"/>
    <w:rsid w:val="132E25B7"/>
    <w:rsid w:val="133875FC"/>
    <w:rsid w:val="133935F6"/>
    <w:rsid w:val="13394607"/>
    <w:rsid w:val="134A6FA1"/>
    <w:rsid w:val="135855BA"/>
    <w:rsid w:val="13636863"/>
    <w:rsid w:val="137148E6"/>
    <w:rsid w:val="13926C8F"/>
    <w:rsid w:val="139460E2"/>
    <w:rsid w:val="139C0911"/>
    <w:rsid w:val="13A34909"/>
    <w:rsid w:val="13B26B58"/>
    <w:rsid w:val="13BF68B0"/>
    <w:rsid w:val="13C11B1D"/>
    <w:rsid w:val="13C2059E"/>
    <w:rsid w:val="13CB2A15"/>
    <w:rsid w:val="13D171C9"/>
    <w:rsid w:val="13D34164"/>
    <w:rsid w:val="13E928B9"/>
    <w:rsid w:val="13EA53CB"/>
    <w:rsid w:val="13F8578D"/>
    <w:rsid w:val="14023E93"/>
    <w:rsid w:val="140305DD"/>
    <w:rsid w:val="140D4CC3"/>
    <w:rsid w:val="141603FF"/>
    <w:rsid w:val="141A1890"/>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4396A"/>
    <w:rsid w:val="14BE4E9D"/>
    <w:rsid w:val="14C11702"/>
    <w:rsid w:val="14C967EE"/>
    <w:rsid w:val="14DD0CB2"/>
    <w:rsid w:val="14E32182"/>
    <w:rsid w:val="14E5108F"/>
    <w:rsid w:val="14E56D7F"/>
    <w:rsid w:val="14FC6299"/>
    <w:rsid w:val="14FE1F3F"/>
    <w:rsid w:val="15092CE2"/>
    <w:rsid w:val="15146B8D"/>
    <w:rsid w:val="151E3928"/>
    <w:rsid w:val="15270A82"/>
    <w:rsid w:val="153348AC"/>
    <w:rsid w:val="153649F6"/>
    <w:rsid w:val="154926B6"/>
    <w:rsid w:val="155D7538"/>
    <w:rsid w:val="15602622"/>
    <w:rsid w:val="15723DBB"/>
    <w:rsid w:val="15882251"/>
    <w:rsid w:val="158A07DA"/>
    <w:rsid w:val="158C79C7"/>
    <w:rsid w:val="159E4ED0"/>
    <w:rsid w:val="159F0ADB"/>
    <w:rsid w:val="15A27F8D"/>
    <w:rsid w:val="15A7329A"/>
    <w:rsid w:val="15B02087"/>
    <w:rsid w:val="15BC1A66"/>
    <w:rsid w:val="15C20B7F"/>
    <w:rsid w:val="15C63674"/>
    <w:rsid w:val="15C7162A"/>
    <w:rsid w:val="15C71BAE"/>
    <w:rsid w:val="15D55B8D"/>
    <w:rsid w:val="15D62F35"/>
    <w:rsid w:val="15E31513"/>
    <w:rsid w:val="15E33711"/>
    <w:rsid w:val="15E74810"/>
    <w:rsid w:val="16026D80"/>
    <w:rsid w:val="16094054"/>
    <w:rsid w:val="160B72AB"/>
    <w:rsid w:val="160E038C"/>
    <w:rsid w:val="160F4D63"/>
    <w:rsid w:val="16214B8C"/>
    <w:rsid w:val="16237694"/>
    <w:rsid w:val="162504D3"/>
    <w:rsid w:val="163A210E"/>
    <w:rsid w:val="163A71FB"/>
    <w:rsid w:val="163F3A39"/>
    <w:rsid w:val="164C3FF0"/>
    <w:rsid w:val="165E3EAB"/>
    <w:rsid w:val="165E551D"/>
    <w:rsid w:val="16720795"/>
    <w:rsid w:val="16757DC4"/>
    <w:rsid w:val="167B13A6"/>
    <w:rsid w:val="167F56C3"/>
    <w:rsid w:val="16A72652"/>
    <w:rsid w:val="16A77DCA"/>
    <w:rsid w:val="16AF43BD"/>
    <w:rsid w:val="16B24BC7"/>
    <w:rsid w:val="16B34234"/>
    <w:rsid w:val="16D34240"/>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914411"/>
    <w:rsid w:val="17A35554"/>
    <w:rsid w:val="17A4371E"/>
    <w:rsid w:val="17A804B8"/>
    <w:rsid w:val="17B71F43"/>
    <w:rsid w:val="17BB244C"/>
    <w:rsid w:val="17C95459"/>
    <w:rsid w:val="17DA0856"/>
    <w:rsid w:val="17E7529B"/>
    <w:rsid w:val="17F21008"/>
    <w:rsid w:val="17F70B81"/>
    <w:rsid w:val="17F75769"/>
    <w:rsid w:val="17F91DD3"/>
    <w:rsid w:val="17FD081A"/>
    <w:rsid w:val="17FE294B"/>
    <w:rsid w:val="17FF78E9"/>
    <w:rsid w:val="18082A99"/>
    <w:rsid w:val="180947FD"/>
    <w:rsid w:val="18115A0E"/>
    <w:rsid w:val="181236E7"/>
    <w:rsid w:val="182A52E3"/>
    <w:rsid w:val="182A6AA0"/>
    <w:rsid w:val="182C22CC"/>
    <w:rsid w:val="182E1F2D"/>
    <w:rsid w:val="182F2F78"/>
    <w:rsid w:val="183C3E93"/>
    <w:rsid w:val="183C63FF"/>
    <w:rsid w:val="183E1116"/>
    <w:rsid w:val="18413D8A"/>
    <w:rsid w:val="186E6F89"/>
    <w:rsid w:val="187A0FAC"/>
    <w:rsid w:val="18923E81"/>
    <w:rsid w:val="189268DB"/>
    <w:rsid w:val="189370B5"/>
    <w:rsid w:val="18965EA0"/>
    <w:rsid w:val="189E21A5"/>
    <w:rsid w:val="18A075EC"/>
    <w:rsid w:val="18A36151"/>
    <w:rsid w:val="18A62EED"/>
    <w:rsid w:val="18AE01CB"/>
    <w:rsid w:val="18C21A9E"/>
    <w:rsid w:val="18CC3E05"/>
    <w:rsid w:val="18CE0FAF"/>
    <w:rsid w:val="18ED2160"/>
    <w:rsid w:val="18EE3749"/>
    <w:rsid w:val="18F676BF"/>
    <w:rsid w:val="19150E17"/>
    <w:rsid w:val="19161247"/>
    <w:rsid w:val="19185425"/>
    <w:rsid w:val="192134A2"/>
    <w:rsid w:val="19241126"/>
    <w:rsid w:val="19267E02"/>
    <w:rsid w:val="19332501"/>
    <w:rsid w:val="19444F26"/>
    <w:rsid w:val="19514EAD"/>
    <w:rsid w:val="19584FD4"/>
    <w:rsid w:val="195B1ABE"/>
    <w:rsid w:val="195C1080"/>
    <w:rsid w:val="195D28C8"/>
    <w:rsid w:val="19664670"/>
    <w:rsid w:val="19716B5F"/>
    <w:rsid w:val="19747000"/>
    <w:rsid w:val="19761130"/>
    <w:rsid w:val="197B5AA5"/>
    <w:rsid w:val="198C6BA3"/>
    <w:rsid w:val="19904CDA"/>
    <w:rsid w:val="19944212"/>
    <w:rsid w:val="19A848CE"/>
    <w:rsid w:val="19AA00F1"/>
    <w:rsid w:val="19B625BD"/>
    <w:rsid w:val="19BF38D3"/>
    <w:rsid w:val="19C84559"/>
    <w:rsid w:val="19DA3D6E"/>
    <w:rsid w:val="19DE543D"/>
    <w:rsid w:val="19E26A19"/>
    <w:rsid w:val="19ED508F"/>
    <w:rsid w:val="19F51DAE"/>
    <w:rsid w:val="19F809AC"/>
    <w:rsid w:val="1A05381A"/>
    <w:rsid w:val="1A061BAE"/>
    <w:rsid w:val="1A1A1755"/>
    <w:rsid w:val="1A2A485B"/>
    <w:rsid w:val="1A3B7251"/>
    <w:rsid w:val="1A3D459F"/>
    <w:rsid w:val="1A481648"/>
    <w:rsid w:val="1A493DA2"/>
    <w:rsid w:val="1A566B3C"/>
    <w:rsid w:val="1A691311"/>
    <w:rsid w:val="1A7515F6"/>
    <w:rsid w:val="1A7E6681"/>
    <w:rsid w:val="1A934F6D"/>
    <w:rsid w:val="1A9A2DD4"/>
    <w:rsid w:val="1AA5105E"/>
    <w:rsid w:val="1AB43B0E"/>
    <w:rsid w:val="1ABC52F8"/>
    <w:rsid w:val="1AD450BF"/>
    <w:rsid w:val="1AD67472"/>
    <w:rsid w:val="1AEE2B1B"/>
    <w:rsid w:val="1AEE3DBC"/>
    <w:rsid w:val="1AF77E4C"/>
    <w:rsid w:val="1AFA5DD3"/>
    <w:rsid w:val="1B31066B"/>
    <w:rsid w:val="1B35192F"/>
    <w:rsid w:val="1B425636"/>
    <w:rsid w:val="1B4A0D0F"/>
    <w:rsid w:val="1B516820"/>
    <w:rsid w:val="1B5C685A"/>
    <w:rsid w:val="1B5F55F8"/>
    <w:rsid w:val="1B6400DD"/>
    <w:rsid w:val="1B6C3AA8"/>
    <w:rsid w:val="1B6C451D"/>
    <w:rsid w:val="1B6C67DE"/>
    <w:rsid w:val="1B8026BE"/>
    <w:rsid w:val="1B812BD5"/>
    <w:rsid w:val="1B8A2655"/>
    <w:rsid w:val="1B8C246C"/>
    <w:rsid w:val="1B957A34"/>
    <w:rsid w:val="1BA416A0"/>
    <w:rsid w:val="1BA94243"/>
    <w:rsid w:val="1BAA7B74"/>
    <w:rsid w:val="1BB22F8B"/>
    <w:rsid w:val="1BB40836"/>
    <w:rsid w:val="1BCA3F84"/>
    <w:rsid w:val="1BCB7A49"/>
    <w:rsid w:val="1BD86F30"/>
    <w:rsid w:val="1BDE5AB5"/>
    <w:rsid w:val="1BE423FA"/>
    <w:rsid w:val="1BE524A7"/>
    <w:rsid w:val="1BE6349F"/>
    <w:rsid w:val="1BEF5590"/>
    <w:rsid w:val="1BF04858"/>
    <w:rsid w:val="1BF751E6"/>
    <w:rsid w:val="1BF91DDE"/>
    <w:rsid w:val="1BFC07A9"/>
    <w:rsid w:val="1BFF2A40"/>
    <w:rsid w:val="1C072B57"/>
    <w:rsid w:val="1C0C4E7B"/>
    <w:rsid w:val="1C0E6A48"/>
    <w:rsid w:val="1C131BC5"/>
    <w:rsid w:val="1C170433"/>
    <w:rsid w:val="1C2B6512"/>
    <w:rsid w:val="1C35225B"/>
    <w:rsid w:val="1C384E1C"/>
    <w:rsid w:val="1C3A55A5"/>
    <w:rsid w:val="1C3D7A31"/>
    <w:rsid w:val="1C4A573D"/>
    <w:rsid w:val="1C5B5AF6"/>
    <w:rsid w:val="1C5B7611"/>
    <w:rsid w:val="1C672E0C"/>
    <w:rsid w:val="1C6B579A"/>
    <w:rsid w:val="1C6F7FE7"/>
    <w:rsid w:val="1C7B2153"/>
    <w:rsid w:val="1C8F0E9E"/>
    <w:rsid w:val="1C91495E"/>
    <w:rsid w:val="1CA01843"/>
    <w:rsid w:val="1CA6649C"/>
    <w:rsid w:val="1CA8750A"/>
    <w:rsid w:val="1CB009AB"/>
    <w:rsid w:val="1CBA5C7F"/>
    <w:rsid w:val="1CBC4B9A"/>
    <w:rsid w:val="1CC51C68"/>
    <w:rsid w:val="1CC5417F"/>
    <w:rsid w:val="1CCF0419"/>
    <w:rsid w:val="1CD470CA"/>
    <w:rsid w:val="1CDB2B0F"/>
    <w:rsid w:val="1CE03283"/>
    <w:rsid w:val="1CE62EE1"/>
    <w:rsid w:val="1CEF1669"/>
    <w:rsid w:val="1CF01882"/>
    <w:rsid w:val="1CF85411"/>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9E27B7"/>
    <w:rsid w:val="1DA85724"/>
    <w:rsid w:val="1DAC1531"/>
    <w:rsid w:val="1DAF6062"/>
    <w:rsid w:val="1DBF590D"/>
    <w:rsid w:val="1DC5555E"/>
    <w:rsid w:val="1DEB5C55"/>
    <w:rsid w:val="1DEE2BE4"/>
    <w:rsid w:val="1DF233E7"/>
    <w:rsid w:val="1E054F02"/>
    <w:rsid w:val="1E0844BA"/>
    <w:rsid w:val="1E0A2CBC"/>
    <w:rsid w:val="1E2101AF"/>
    <w:rsid w:val="1E243669"/>
    <w:rsid w:val="1E2671BF"/>
    <w:rsid w:val="1E2B5F08"/>
    <w:rsid w:val="1E392AA0"/>
    <w:rsid w:val="1E41460A"/>
    <w:rsid w:val="1E455165"/>
    <w:rsid w:val="1E582567"/>
    <w:rsid w:val="1E6110DB"/>
    <w:rsid w:val="1E664AE8"/>
    <w:rsid w:val="1E66787F"/>
    <w:rsid w:val="1E7C434A"/>
    <w:rsid w:val="1E840130"/>
    <w:rsid w:val="1E933284"/>
    <w:rsid w:val="1E992AE1"/>
    <w:rsid w:val="1EA27046"/>
    <w:rsid w:val="1EAB5F88"/>
    <w:rsid w:val="1EBD70F2"/>
    <w:rsid w:val="1EBF527E"/>
    <w:rsid w:val="1ED30E1E"/>
    <w:rsid w:val="1EE0406D"/>
    <w:rsid w:val="1F087131"/>
    <w:rsid w:val="1F0F65FB"/>
    <w:rsid w:val="1F114A63"/>
    <w:rsid w:val="1F115D33"/>
    <w:rsid w:val="1F176C1C"/>
    <w:rsid w:val="1F2F5F8E"/>
    <w:rsid w:val="1F42409C"/>
    <w:rsid w:val="1F4522CC"/>
    <w:rsid w:val="1F464351"/>
    <w:rsid w:val="1F4D177B"/>
    <w:rsid w:val="1F4F0F9A"/>
    <w:rsid w:val="1F611FED"/>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332B3"/>
    <w:rsid w:val="200978D3"/>
    <w:rsid w:val="200C27B6"/>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8D36A4"/>
    <w:rsid w:val="20B32243"/>
    <w:rsid w:val="20B34127"/>
    <w:rsid w:val="20B627FE"/>
    <w:rsid w:val="20B74057"/>
    <w:rsid w:val="20CB24ED"/>
    <w:rsid w:val="20CE1C4D"/>
    <w:rsid w:val="20D24E25"/>
    <w:rsid w:val="20DD3DB8"/>
    <w:rsid w:val="20DF44BB"/>
    <w:rsid w:val="20E36E34"/>
    <w:rsid w:val="20F0628E"/>
    <w:rsid w:val="20FB2289"/>
    <w:rsid w:val="21053910"/>
    <w:rsid w:val="21150C66"/>
    <w:rsid w:val="211E31CB"/>
    <w:rsid w:val="21247C7E"/>
    <w:rsid w:val="212A20DE"/>
    <w:rsid w:val="213415BD"/>
    <w:rsid w:val="21342040"/>
    <w:rsid w:val="213C54CA"/>
    <w:rsid w:val="214D5B7C"/>
    <w:rsid w:val="214E4537"/>
    <w:rsid w:val="215D336C"/>
    <w:rsid w:val="21641421"/>
    <w:rsid w:val="218C54DC"/>
    <w:rsid w:val="218D3B2C"/>
    <w:rsid w:val="2190457D"/>
    <w:rsid w:val="2194300F"/>
    <w:rsid w:val="21A40A5F"/>
    <w:rsid w:val="21A870E7"/>
    <w:rsid w:val="21BB1E53"/>
    <w:rsid w:val="21C11051"/>
    <w:rsid w:val="21C9474B"/>
    <w:rsid w:val="21CA181C"/>
    <w:rsid w:val="21CF0CE9"/>
    <w:rsid w:val="21D01696"/>
    <w:rsid w:val="21E20C1C"/>
    <w:rsid w:val="21EB600E"/>
    <w:rsid w:val="220C246C"/>
    <w:rsid w:val="22242822"/>
    <w:rsid w:val="222F24C6"/>
    <w:rsid w:val="22311A43"/>
    <w:rsid w:val="22323084"/>
    <w:rsid w:val="22334AF4"/>
    <w:rsid w:val="2237604C"/>
    <w:rsid w:val="223F0988"/>
    <w:rsid w:val="22431EAF"/>
    <w:rsid w:val="224B6A17"/>
    <w:rsid w:val="22515988"/>
    <w:rsid w:val="2257273D"/>
    <w:rsid w:val="225D3D01"/>
    <w:rsid w:val="226213D1"/>
    <w:rsid w:val="2272644B"/>
    <w:rsid w:val="22730643"/>
    <w:rsid w:val="2276739F"/>
    <w:rsid w:val="228D1798"/>
    <w:rsid w:val="22934012"/>
    <w:rsid w:val="22945884"/>
    <w:rsid w:val="22AD0C2A"/>
    <w:rsid w:val="22B5350F"/>
    <w:rsid w:val="22BB322B"/>
    <w:rsid w:val="22BD7151"/>
    <w:rsid w:val="22C604E0"/>
    <w:rsid w:val="22C9213E"/>
    <w:rsid w:val="22E94AB1"/>
    <w:rsid w:val="22EE1F90"/>
    <w:rsid w:val="22F2208A"/>
    <w:rsid w:val="22FB5273"/>
    <w:rsid w:val="22FE2784"/>
    <w:rsid w:val="23002037"/>
    <w:rsid w:val="230E24AC"/>
    <w:rsid w:val="23283224"/>
    <w:rsid w:val="23322038"/>
    <w:rsid w:val="233F5379"/>
    <w:rsid w:val="2347109D"/>
    <w:rsid w:val="23512E0C"/>
    <w:rsid w:val="235204E6"/>
    <w:rsid w:val="23542ADE"/>
    <w:rsid w:val="2364575A"/>
    <w:rsid w:val="2368536F"/>
    <w:rsid w:val="2373040B"/>
    <w:rsid w:val="2381456E"/>
    <w:rsid w:val="23886124"/>
    <w:rsid w:val="238D1CEC"/>
    <w:rsid w:val="239F3402"/>
    <w:rsid w:val="23A51E18"/>
    <w:rsid w:val="23AA0394"/>
    <w:rsid w:val="23BC64A6"/>
    <w:rsid w:val="23C17E7C"/>
    <w:rsid w:val="23C50F1D"/>
    <w:rsid w:val="23F024D5"/>
    <w:rsid w:val="23F35F5F"/>
    <w:rsid w:val="23FA4566"/>
    <w:rsid w:val="240418FD"/>
    <w:rsid w:val="2404487A"/>
    <w:rsid w:val="240572D9"/>
    <w:rsid w:val="241909B7"/>
    <w:rsid w:val="241C69F8"/>
    <w:rsid w:val="24267C58"/>
    <w:rsid w:val="242F09CF"/>
    <w:rsid w:val="2436643F"/>
    <w:rsid w:val="24413E93"/>
    <w:rsid w:val="24424A6E"/>
    <w:rsid w:val="24471153"/>
    <w:rsid w:val="244E03E6"/>
    <w:rsid w:val="24535587"/>
    <w:rsid w:val="24565B3A"/>
    <w:rsid w:val="24754533"/>
    <w:rsid w:val="24775AF9"/>
    <w:rsid w:val="247B3488"/>
    <w:rsid w:val="248459E8"/>
    <w:rsid w:val="24893C84"/>
    <w:rsid w:val="249B0B85"/>
    <w:rsid w:val="249E6456"/>
    <w:rsid w:val="24A90873"/>
    <w:rsid w:val="24AB2B08"/>
    <w:rsid w:val="24B81B41"/>
    <w:rsid w:val="24C16823"/>
    <w:rsid w:val="24C45A46"/>
    <w:rsid w:val="24CA28B6"/>
    <w:rsid w:val="24D274C0"/>
    <w:rsid w:val="24D275D2"/>
    <w:rsid w:val="24D45A2D"/>
    <w:rsid w:val="24DC3896"/>
    <w:rsid w:val="24E32B45"/>
    <w:rsid w:val="24E444CC"/>
    <w:rsid w:val="24EA054D"/>
    <w:rsid w:val="24EE4DE2"/>
    <w:rsid w:val="24F072DB"/>
    <w:rsid w:val="25033CD2"/>
    <w:rsid w:val="251076B1"/>
    <w:rsid w:val="25213874"/>
    <w:rsid w:val="2527244E"/>
    <w:rsid w:val="252C2CD1"/>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A1B08"/>
    <w:rsid w:val="259D3FBA"/>
    <w:rsid w:val="25A16F82"/>
    <w:rsid w:val="25A96929"/>
    <w:rsid w:val="25AB1F27"/>
    <w:rsid w:val="25B90704"/>
    <w:rsid w:val="25BA1E1C"/>
    <w:rsid w:val="25DC4D1F"/>
    <w:rsid w:val="25E312AC"/>
    <w:rsid w:val="25E558C7"/>
    <w:rsid w:val="25EB65E2"/>
    <w:rsid w:val="25EC1E66"/>
    <w:rsid w:val="25ED33D2"/>
    <w:rsid w:val="25EE1190"/>
    <w:rsid w:val="25F862B3"/>
    <w:rsid w:val="26013435"/>
    <w:rsid w:val="2609798B"/>
    <w:rsid w:val="26294138"/>
    <w:rsid w:val="262D5689"/>
    <w:rsid w:val="263F7428"/>
    <w:rsid w:val="266346E2"/>
    <w:rsid w:val="26662074"/>
    <w:rsid w:val="266F245B"/>
    <w:rsid w:val="266F5831"/>
    <w:rsid w:val="267758CC"/>
    <w:rsid w:val="268A2E91"/>
    <w:rsid w:val="268C7C25"/>
    <w:rsid w:val="268E6E1C"/>
    <w:rsid w:val="269173C1"/>
    <w:rsid w:val="26967D4F"/>
    <w:rsid w:val="269A7114"/>
    <w:rsid w:val="26B3580F"/>
    <w:rsid w:val="26B4679E"/>
    <w:rsid w:val="26BC3415"/>
    <w:rsid w:val="26C24FB6"/>
    <w:rsid w:val="26C3077E"/>
    <w:rsid w:val="26C95489"/>
    <w:rsid w:val="26D24077"/>
    <w:rsid w:val="26D94133"/>
    <w:rsid w:val="26E00AF2"/>
    <w:rsid w:val="26E312AF"/>
    <w:rsid w:val="26E35247"/>
    <w:rsid w:val="26E8700A"/>
    <w:rsid w:val="26EF1180"/>
    <w:rsid w:val="27020878"/>
    <w:rsid w:val="2713062B"/>
    <w:rsid w:val="27256622"/>
    <w:rsid w:val="27262AE2"/>
    <w:rsid w:val="272B516E"/>
    <w:rsid w:val="27410EC2"/>
    <w:rsid w:val="274A69E0"/>
    <w:rsid w:val="276175F4"/>
    <w:rsid w:val="276D0529"/>
    <w:rsid w:val="2779749B"/>
    <w:rsid w:val="277F08A2"/>
    <w:rsid w:val="27894C03"/>
    <w:rsid w:val="27933927"/>
    <w:rsid w:val="27992A4C"/>
    <w:rsid w:val="27A33E35"/>
    <w:rsid w:val="27A849C4"/>
    <w:rsid w:val="27A94296"/>
    <w:rsid w:val="27B60BEB"/>
    <w:rsid w:val="27BD0064"/>
    <w:rsid w:val="27C34DE1"/>
    <w:rsid w:val="27C67E36"/>
    <w:rsid w:val="27D46DC6"/>
    <w:rsid w:val="27D73488"/>
    <w:rsid w:val="27D8374E"/>
    <w:rsid w:val="27DA0F13"/>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12400"/>
    <w:rsid w:val="2889440F"/>
    <w:rsid w:val="288F5571"/>
    <w:rsid w:val="28965033"/>
    <w:rsid w:val="28A052D3"/>
    <w:rsid w:val="28A06F4C"/>
    <w:rsid w:val="28AC6B03"/>
    <w:rsid w:val="28B02224"/>
    <w:rsid w:val="28B1615B"/>
    <w:rsid w:val="28B22BA5"/>
    <w:rsid w:val="28B278C0"/>
    <w:rsid w:val="28C146C3"/>
    <w:rsid w:val="28CB1172"/>
    <w:rsid w:val="28CE738E"/>
    <w:rsid w:val="28D67316"/>
    <w:rsid w:val="290254C7"/>
    <w:rsid w:val="29087A30"/>
    <w:rsid w:val="291A266D"/>
    <w:rsid w:val="291B5205"/>
    <w:rsid w:val="29236F16"/>
    <w:rsid w:val="292F6200"/>
    <w:rsid w:val="29331E5F"/>
    <w:rsid w:val="29334BDF"/>
    <w:rsid w:val="29436595"/>
    <w:rsid w:val="294C6C0B"/>
    <w:rsid w:val="29515B93"/>
    <w:rsid w:val="295676E3"/>
    <w:rsid w:val="295F57D7"/>
    <w:rsid w:val="29733705"/>
    <w:rsid w:val="297A56E5"/>
    <w:rsid w:val="29814635"/>
    <w:rsid w:val="29852916"/>
    <w:rsid w:val="29A36393"/>
    <w:rsid w:val="29A76063"/>
    <w:rsid w:val="29AB72C4"/>
    <w:rsid w:val="29B85251"/>
    <w:rsid w:val="29BA74BA"/>
    <w:rsid w:val="29C64507"/>
    <w:rsid w:val="29C749A4"/>
    <w:rsid w:val="29CF5EA1"/>
    <w:rsid w:val="29F1767A"/>
    <w:rsid w:val="2A0019E0"/>
    <w:rsid w:val="2A045FE7"/>
    <w:rsid w:val="2A072146"/>
    <w:rsid w:val="2A0C22D0"/>
    <w:rsid w:val="2A0F729D"/>
    <w:rsid w:val="2A172745"/>
    <w:rsid w:val="2A1D74F2"/>
    <w:rsid w:val="2A2D7895"/>
    <w:rsid w:val="2A3F0385"/>
    <w:rsid w:val="2A430216"/>
    <w:rsid w:val="2A444CBB"/>
    <w:rsid w:val="2A4B7186"/>
    <w:rsid w:val="2A5670C9"/>
    <w:rsid w:val="2A5E0C02"/>
    <w:rsid w:val="2A642161"/>
    <w:rsid w:val="2A685432"/>
    <w:rsid w:val="2A726A27"/>
    <w:rsid w:val="2A7351C7"/>
    <w:rsid w:val="2A7C32F6"/>
    <w:rsid w:val="2A8222A9"/>
    <w:rsid w:val="2A822840"/>
    <w:rsid w:val="2A9602BA"/>
    <w:rsid w:val="2A985E6C"/>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603F9B"/>
    <w:rsid w:val="2B614ECC"/>
    <w:rsid w:val="2B6C40D4"/>
    <w:rsid w:val="2B6E0D08"/>
    <w:rsid w:val="2B6E1D33"/>
    <w:rsid w:val="2B7447F6"/>
    <w:rsid w:val="2B8511D3"/>
    <w:rsid w:val="2B8F3B05"/>
    <w:rsid w:val="2B997A76"/>
    <w:rsid w:val="2B9E755E"/>
    <w:rsid w:val="2BB16E20"/>
    <w:rsid w:val="2BBD25A6"/>
    <w:rsid w:val="2BD31423"/>
    <w:rsid w:val="2BD862CC"/>
    <w:rsid w:val="2BDC2EB0"/>
    <w:rsid w:val="2BDF0ACB"/>
    <w:rsid w:val="2BE06716"/>
    <w:rsid w:val="2BE96133"/>
    <w:rsid w:val="2BFB567E"/>
    <w:rsid w:val="2BFE300B"/>
    <w:rsid w:val="2C085772"/>
    <w:rsid w:val="2C0B3A0F"/>
    <w:rsid w:val="2C0E0E81"/>
    <w:rsid w:val="2C120BF2"/>
    <w:rsid w:val="2C233268"/>
    <w:rsid w:val="2C34202D"/>
    <w:rsid w:val="2C3D4A6C"/>
    <w:rsid w:val="2C474C25"/>
    <w:rsid w:val="2C541121"/>
    <w:rsid w:val="2C703BB0"/>
    <w:rsid w:val="2C7F2782"/>
    <w:rsid w:val="2C827724"/>
    <w:rsid w:val="2C935F3D"/>
    <w:rsid w:val="2C9E1903"/>
    <w:rsid w:val="2C9F0F96"/>
    <w:rsid w:val="2CA32DB0"/>
    <w:rsid w:val="2CA43C41"/>
    <w:rsid w:val="2CAF7EB1"/>
    <w:rsid w:val="2CB8065D"/>
    <w:rsid w:val="2CBC5486"/>
    <w:rsid w:val="2CBE1783"/>
    <w:rsid w:val="2CC124B9"/>
    <w:rsid w:val="2CC97325"/>
    <w:rsid w:val="2CCE168E"/>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725AAF"/>
    <w:rsid w:val="2D730FC1"/>
    <w:rsid w:val="2D8674BF"/>
    <w:rsid w:val="2D8874B6"/>
    <w:rsid w:val="2D8C76AE"/>
    <w:rsid w:val="2D956579"/>
    <w:rsid w:val="2D983348"/>
    <w:rsid w:val="2D994B09"/>
    <w:rsid w:val="2DA34493"/>
    <w:rsid w:val="2DA471BC"/>
    <w:rsid w:val="2DAC2659"/>
    <w:rsid w:val="2DB624E3"/>
    <w:rsid w:val="2DC168A1"/>
    <w:rsid w:val="2DC81E94"/>
    <w:rsid w:val="2DD37126"/>
    <w:rsid w:val="2DE32195"/>
    <w:rsid w:val="2DE96A14"/>
    <w:rsid w:val="2DF27D78"/>
    <w:rsid w:val="2DFD129D"/>
    <w:rsid w:val="2DFF60D5"/>
    <w:rsid w:val="2E241E0A"/>
    <w:rsid w:val="2E2566E0"/>
    <w:rsid w:val="2E283FBB"/>
    <w:rsid w:val="2E347B0A"/>
    <w:rsid w:val="2E3C2E20"/>
    <w:rsid w:val="2E3D0A0C"/>
    <w:rsid w:val="2E3F3833"/>
    <w:rsid w:val="2E402E5B"/>
    <w:rsid w:val="2E4162D4"/>
    <w:rsid w:val="2E4776AD"/>
    <w:rsid w:val="2E5D563B"/>
    <w:rsid w:val="2E633B8A"/>
    <w:rsid w:val="2E6F56B9"/>
    <w:rsid w:val="2E794AF3"/>
    <w:rsid w:val="2E7C70A1"/>
    <w:rsid w:val="2E7F029C"/>
    <w:rsid w:val="2E8A51A3"/>
    <w:rsid w:val="2E8B57C3"/>
    <w:rsid w:val="2E9457B5"/>
    <w:rsid w:val="2E9A4F05"/>
    <w:rsid w:val="2E9B28AA"/>
    <w:rsid w:val="2EB1759E"/>
    <w:rsid w:val="2EB32E8D"/>
    <w:rsid w:val="2EC4145B"/>
    <w:rsid w:val="2ECA0EEF"/>
    <w:rsid w:val="2ECF238B"/>
    <w:rsid w:val="2ED02202"/>
    <w:rsid w:val="2ED06718"/>
    <w:rsid w:val="2EEC5878"/>
    <w:rsid w:val="2EF51EE3"/>
    <w:rsid w:val="2EF77968"/>
    <w:rsid w:val="2EF83766"/>
    <w:rsid w:val="2EF85571"/>
    <w:rsid w:val="2F03447D"/>
    <w:rsid w:val="2F0C1716"/>
    <w:rsid w:val="2F1264FD"/>
    <w:rsid w:val="2F131BDA"/>
    <w:rsid w:val="2F1E2431"/>
    <w:rsid w:val="2F2626A7"/>
    <w:rsid w:val="2F277782"/>
    <w:rsid w:val="2F33425A"/>
    <w:rsid w:val="2F40795E"/>
    <w:rsid w:val="2F436A32"/>
    <w:rsid w:val="2F600A4D"/>
    <w:rsid w:val="2F6C578F"/>
    <w:rsid w:val="2F7B24D1"/>
    <w:rsid w:val="2F83447A"/>
    <w:rsid w:val="2F8B0E09"/>
    <w:rsid w:val="2F9711E1"/>
    <w:rsid w:val="2FA9075E"/>
    <w:rsid w:val="2FA94010"/>
    <w:rsid w:val="2FAA2A46"/>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F05C3"/>
    <w:rsid w:val="30403AEC"/>
    <w:rsid w:val="3049392A"/>
    <w:rsid w:val="306A75D7"/>
    <w:rsid w:val="306B5DF7"/>
    <w:rsid w:val="307B141B"/>
    <w:rsid w:val="30812E4D"/>
    <w:rsid w:val="3082744B"/>
    <w:rsid w:val="308D6AFB"/>
    <w:rsid w:val="308F6075"/>
    <w:rsid w:val="30944600"/>
    <w:rsid w:val="30AA6C1E"/>
    <w:rsid w:val="30B9486B"/>
    <w:rsid w:val="30D66A99"/>
    <w:rsid w:val="30D9386E"/>
    <w:rsid w:val="30DB1A2C"/>
    <w:rsid w:val="30DF79C5"/>
    <w:rsid w:val="30E74543"/>
    <w:rsid w:val="30F11543"/>
    <w:rsid w:val="30F1349C"/>
    <w:rsid w:val="30F2736A"/>
    <w:rsid w:val="30F40C14"/>
    <w:rsid w:val="30F42C52"/>
    <w:rsid w:val="30F513E7"/>
    <w:rsid w:val="30F620F0"/>
    <w:rsid w:val="31206CAF"/>
    <w:rsid w:val="312F3E90"/>
    <w:rsid w:val="31301752"/>
    <w:rsid w:val="31350214"/>
    <w:rsid w:val="31360F60"/>
    <w:rsid w:val="31485711"/>
    <w:rsid w:val="315B7E50"/>
    <w:rsid w:val="31660CB9"/>
    <w:rsid w:val="316C0946"/>
    <w:rsid w:val="316F5291"/>
    <w:rsid w:val="318077DA"/>
    <w:rsid w:val="31872741"/>
    <w:rsid w:val="31952860"/>
    <w:rsid w:val="31B91BCA"/>
    <w:rsid w:val="31BD7603"/>
    <w:rsid w:val="31C156AF"/>
    <w:rsid w:val="31C765B0"/>
    <w:rsid w:val="31D04EA3"/>
    <w:rsid w:val="31D33632"/>
    <w:rsid w:val="31D856DB"/>
    <w:rsid w:val="31E248BF"/>
    <w:rsid w:val="31E50463"/>
    <w:rsid w:val="31ED419C"/>
    <w:rsid w:val="32147265"/>
    <w:rsid w:val="321F26BF"/>
    <w:rsid w:val="3230537A"/>
    <w:rsid w:val="32473D90"/>
    <w:rsid w:val="32474245"/>
    <w:rsid w:val="324C5E3D"/>
    <w:rsid w:val="3253096B"/>
    <w:rsid w:val="32552601"/>
    <w:rsid w:val="32575271"/>
    <w:rsid w:val="3272345D"/>
    <w:rsid w:val="32765E32"/>
    <w:rsid w:val="3284604D"/>
    <w:rsid w:val="32914DC9"/>
    <w:rsid w:val="32957364"/>
    <w:rsid w:val="329E7F73"/>
    <w:rsid w:val="32B02EB7"/>
    <w:rsid w:val="32B86B24"/>
    <w:rsid w:val="32CB6F7E"/>
    <w:rsid w:val="32D97036"/>
    <w:rsid w:val="32DF21C2"/>
    <w:rsid w:val="32E11FA2"/>
    <w:rsid w:val="32E213F3"/>
    <w:rsid w:val="32ED2891"/>
    <w:rsid w:val="32EE25C6"/>
    <w:rsid w:val="330208DF"/>
    <w:rsid w:val="33032076"/>
    <w:rsid w:val="33035CB7"/>
    <w:rsid w:val="330E0160"/>
    <w:rsid w:val="3312251F"/>
    <w:rsid w:val="33237F61"/>
    <w:rsid w:val="332467E5"/>
    <w:rsid w:val="33262E95"/>
    <w:rsid w:val="33337F0A"/>
    <w:rsid w:val="333E2CA0"/>
    <w:rsid w:val="335759EC"/>
    <w:rsid w:val="335C0183"/>
    <w:rsid w:val="335E3242"/>
    <w:rsid w:val="3367454B"/>
    <w:rsid w:val="338E40D2"/>
    <w:rsid w:val="339D3C39"/>
    <w:rsid w:val="33A540C1"/>
    <w:rsid w:val="33A871A4"/>
    <w:rsid w:val="33A9665D"/>
    <w:rsid w:val="33AF6948"/>
    <w:rsid w:val="33B43691"/>
    <w:rsid w:val="33B91B1D"/>
    <w:rsid w:val="33BA2267"/>
    <w:rsid w:val="33BD0809"/>
    <w:rsid w:val="33D47EAB"/>
    <w:rsid w:val="33DD30F0"/>
    <w:rsid w:val="33DE7074"/>
    <w:rsid w:val="33FF13BF"/>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81304"/>
    <w:rsid w:val="34AF26D6"/>
    <w:rsid w:val="34B50F41"/>
    <w:rsid w:val="34BC2A3C"/>
    <w:rsid w:val="34BC7739"/>
    <w:rsid w:val="34BD2138"/>
    <w:rsid w:val="34DD0BBB"/>
    <w:rsid w:val="34DE3166"/>
    <w:rsid w:val="34DE523E"/>
    <w:rsid w:val="34E061B4"/>
    <w:rsid w:val="34E071D2"/>
    <w:rsid w:val="34EA1DE0"/>
    <w:rsid w:val="3507314D"/>
    <w:rsid w:val="350C5CE7"/>
    <w:rsid w:val="3510599B"/>
    <w:rsid w:val="351B1E6E"/>
    <w:rsid w:val="352263E4"/>
    <w:rsid w:val="352B7666"/>
    <w:rsid w:val="352E62D6"/>
    <w:rsid w:val="35363338"/>
    <w:rsid w:val="353F0589"/>
    <w:rsid w:val="35423E95"/>
    <w:rsid w:val="35455EB9"/>
    <w:rsid w:val="354E0428"/>
    <w:rsid w:val="355475E3"/>
    <w:rsid w:val="355A4DC7"/>
    <w:rsid w:val="355E286B"/>
    <w:rsid w:val="355E5ABD"/>
    <w:rsid w:val="356C5C5F"/>
    <w:rsid w:val="35757D45"/>
    <w:rsid w:val="357A31FD"/>
    <w:rsid w:val="357D54E6"/>
    <w:rsid w:val="359D22F6"/>
    <w:rsid w:val="35A67C6D"/>
    <w:rsid w:val="35A97360"/>
    <w:rsid w:val="35AA6445"/>
    <w:rsid w:val="35AC5A16"/>
    <w:rsid w:val="35AE6707"/>
    <w:rsid w:val="35B1695D"/>
    <w:rsid w:val="35C027FD"/>
    <w:rsid w:val="35C15C9F"/>
    <w:rsid w:val="35CB5AA1"/>
    <w:rsid w:val="35F82C92"/>
    <w:rsid w:val="360E3D92"/>
    <w:rsid w:val="360F1C77"/>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8D00C6"/>
    <w:rsid w:val="36924E56"/>
    <w:rsid w:val="36B074E7"/>
    <w:rsid w:val="36B201F6"/>
    <w:rsid w:val="36B318D7"/>
    <w:rsid w:val="36B4718B"/>
    <w:rsid w:val="36B517F0"/>
    <w:rsid w:val="36C26230"/>
    <w:rsid w:val="36CB22A7"/>
    <w:rsid w:val="36DE1E96"/>
    <w:rsid w:val="36F375F8"/>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7F14A58"/>
    <w:rsid w:val="380611BF"/>
    <w:rsid w:val="382039C9"/>
    <w:rsid w:val="382429AE"/>
    <w:rsid w:val="382F4C63"/>
    <w:rsid w:val="3838196A"/>
    <w:rsid w:val="383A334A"/>
    <w:rsid w:val="383C2B89"/>
    <w:rsid w:val="383F60A4"/>
    <w:rsid w:val="38601FC4"/>
    <w:rsid w:val="386661FF"/>
    <w:rsid w:val="386E6695"/>
    <w:rsid w:val="38767A34"/>
    <w:rsid w:val="387E162E"/>
    <w:rsid w:val="388C6CF2"/>
    <w:rsid w:val="388D35F0"/>
    <w:rsid w:val="38914F5D"/>
    <w:rsid w:val="389A1BDF"/>
    <w:rsid w:val="38A54C47"/>
    <w:rsid w:val="38B13472"/>
    <w:rsid w:val="38B93642"/>
    <w:rsid w:val="38DD1588"/>
    <w:rsid w:val="38E12884"/>
    <w:rsid w:val="38EE7C94"/>
    <w:rsid w:val="38FD5F09"/>
    <w:rsid w:val="390C2B73"/>
    <w:rsid w:val="390C2E2D"/>
    <w:rsid w:val="391A645A"/>
    <w:rsid w:val="391B55AF"/>
    <w:rsid w:val="392F783B"/>
    <w:rsid w:val="394F6727"/>
    <w:rsid w:val="39521E9F"/>
    <w:rsid w:val="3954537C"/>
    <w:rsid w:val="396D6AE8"/>
    <w:rsid w:val="39725A4A"/>
    <w:rsid w:val="3980064E"/>
    <w:rsid w:val="399601BD"/>
    <w:rsid w:val="399A58EA"/>
    <w:rsid w:val="399B2127"/>
    <w:rsid w:val="399F08F3"/>
    <w:rsid w:val="399F1332"/>
    <w:rsid w:val="399F5FDA"/>
    <w:rsid w:val="39A15E7F"/>
    <w:rsid w:val="39A502C0"/>
    <w:rsid w:val="39BF238F"/>
    <w:rsid w:val="39C73DB3"/>
    <w:rsid w:val="39DA5CA1"/>
    <w:rsid w:val="39E46FAD"/>
    <w:rsid w:val="39E91662"/>
    <w:rsid w:val="39F5297E"/>
    <w:rsid w:val="3A0258FE"/>
    <w:rsid w:val="3A39581E"/>
    <w:rsid w:val="3A3C6CFA"/>
    <w:rsid w:val="3A3C78D6"/>
    <w:rsid w:val="3A3E3E9F"/>
    <w:rsid w:val="3A40244E"/>
    <w:rsid w:val="3A480A6E"/>
    <w:rsid w:val="3A4F2943"/>
    <w:rsid w:val="3A6463E4"/>
    <w:rsid w:val="3A6B176D"/>
    <w:rsid w:val="3A6B710D"/>
    <w:rsid w:val="3A700D10"/>
    <w:rsid w:val="3A714443"/>
    <w:rsid w:val="3A7D0D21"/>
    <w:rsid w:val="3A825329"/>
    <w:rsid w:val="3A84298B"/>
    <w:rsid w:val="3A997D1F"/>
    <w:rsid w:val="3AA26A5D"/>
    <w:rsid w:val="3AA844FF"/>
    <w:rsid w:val="3AAA4B7B"/>
    <w:rsid w:val="3AB1112B"/>
    <w:rsid w:val="3AC52C0A"/>
    <w:rsid w:val="3AC7743B"/>
    <w:rsid w:val="3ACE70B0"/>
    <w:rsid w:val="3AD164BB"/>
    <w:rsid w:val="3AD7738D"/>
    <w:rsid w:val="3ADC39B3"/>
    <w:rsid w:val="3AF634E6"/>
    <w:rsid w:val="3AF963F9"/>
    <w:rsid w:val="3AFC0789"/>
    <w:rsid w:val="3B0475E9"/>
    <w:rsid w:val="3B0A6176"/>
    <w:rsid w:val="3B10004F"/>
    <w:rsid w:val="3B100557"/>
    <w:rsid w:val="3B1D0F96"/>
    <w:rsid w:val="3B1F0A32"/>
    <w:rsid w:val="3B21328C"/>
    <w:rsid w:val="3B235BCB"/>
    <w:rsid w:val="3B3F3F46"/>
    <w:rsid w:val="3B4874EB"/>
    <w:rsid w:val="3B4E0843"/>
    <w:rsid w:val="3B5211E7"/>
    <w:rsid w:val="3B6B6801"/>
    <w:rsid w:val="3B84771D"/>
    <w:rsid w:val="3B8819BE"/>
    <w:rsid w:val="3B897E24"/>
    <w:rsid w:val="3BA16359"/>
    <w:rsid w:val="3BAF4E8A"/>
    <w:rsid w:val="3BB513C6"/>
    <w:rsid w:val="3BBB470B"/>
    <w:rsid w:val="3BCF04EA"/>
    <w:rsid w:val="3BE10919"/>
    <w:rsid w:val="3BE66D84"/>
    <w:rsid w:val="3BF8627E"/>
    <w:rsid w:val="3C0274FD"/>
    <w:rsid w:val="3C0F4376"/>
    <w:rsid w:val="3C0F5642"/>
    <w:rsid w:val="3C0F6F56"/>
    <w:rsid w:val="3C14548B"/>
    <w:rsid w:val="3C1D1172"/>
    <w:rsid w:val="3C2F70BE"/>
    <w:rsid w:val="3C3073EF"/>
    <w:rsid w:val="3C320FE1"/>
    <w:rsid w:val="3C325493"/>
    <w:rsid w:val="3C3616AF"/>
    <w:rsid w:val="3C385BD6"/>
    <w:rsid w:val="3C3B6C18"/>
    <w:rsid w:val="3C3C69F3"/>
    <w:rsid w:val="3C4E0450"/>
    <w:rsid w:val="3C545870"/>
    <w:rsid w:val="3C7B3B44"/>
    <w:rsid w:val="3CA45331"/>
    <w:rsid w:val="3CA57CFE"/>
    <w:rsid w:val="3CAA23D0"/>
    <w:rsid w:val="3CAE4CF8"/>
    <w:rsid w:val="3CAE7AEC"/>
    <w:rsid w:val="3CCC781D"/>
    <w:rsid w:val="3CCE7C2A"/>
    <w:rsid w:val="3CD20411"/>
    <w:rsid w:val="3CE77340"/>
    <w:rsid w:val="3CE90379"/>
    <w:rsid w:val="3CEC5D59"/>
    <w:rsid w:val="3CFF37D8"/>
    <w:rsid w:val="3D195B95"/>
    <w:rsid w:val="3D21160E"/>
    <w:rsid w:val="3D2329FD"/>
    <w:rsid w:val="3D29684E"/>
    <w:rsid w:val="3D2B3F35"/>
    <w:rsid w:val="3D2D2003"/>
    <w:rsid w:val="3D39578E"/>
    <w:rsid w:val="3D4D27F5"/>
    <w:rsid w:val="3D52619D"/>
    <w:rsid w:val="3D534EBF"/>
    <w:rsid w:val="3D5D4D44"/>
    <w:rsid w:val="3D614D99"/>
    <w:rsid w:val="3D6E5D8B"/>
    <w:rsid w:val="3D76742B"/>
    <w:rsid w:val="3D8E3230"/>
    <w:rsid w:val="3D9C4C5C"/>
    <w:rsid w:val="3DA701B4"/>
    <w:rsid w:val="3DA83998"/>
    <w:rsid w:val="3DB16D2A"/>
    <w:rsid w:val="3DB80722"/>
    <w:rsid w:val="3DBD65F0"/>
    <w:rsid w:val="3DC7203E"/>
    <w:rsid w:val="3DD43D14"/>
    <w:rsid w:val="3DDA4533"/>
    <w:rsid w:val="3DE1146E"/>
    <w:rsid w:val="3DE12F32"/>
    <w:rsid w:val="3DEA3F0C"/>
    <w:rsid w:val="3DEB35D1"/>
    <w:rsid w:val="3DF65F0E"/>
    <w:rsid w:val="3DFB25C5"/>
    <w:rsid w:val="3DFF226A"/>
    <w:rsid w:val="3E025CF4"/>
    <w:rsid w:val="3E144F0D"/>
    <w:rsid w:val="3E174D97"/>
    <w:rsid w:val="3E1A10E9"/>
    <w:rsid w:val="3E1A2100"/>
    <w:rsid w:val="3E1B7092"/>
    <w:rsid w:val="3E1F2909"/>
    <w:rsid w:val="3E1F40C4"/>
    <w:rsid w:val="3E20348B"/>
    <w:rsid w:val="3E217503"/>
    <w:rsid w:val="3E392CD6"/>
    <w:rsid w:val="3E3D5661"/>
    <w:rsid w:val="3E43042F"/>
    <w:rsid w:val="3E52212B"/>
    <w:rsid w:val="3E5A71D5"/>
    <w:rsid w:val="3E7304ED"/>
    <w:rsid w:val="3E73624E"/>
    <w:rsid w:val="3E960E27"/>
    <w:rsid w:val="3E971BFA"/>
    <w:rsid w:val="3E985F61"/>
    <w:rsid w:val="3EAD3EF7"/>
    <w:rsid w:val="3EAD5631"/>
    <w:rsid w:val="3ECE1772"/>
    <w:rsid w:val="3EDA153E"/>
    <w:rsid w:val="3EDB3244"/>
    <w:rsid w:val="3EDD4238"/>
    <w:rsid w:val="3F002AB5"/>
    <w:rsid w:val="3F007F87"/>
    <w:rsid w:val="3F09064D"/>
    <w:rsid w:val="3F1334D8"/>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E"/>
    <w:rsid w:val="3F72673A"/>
    <w:rsid w:val="3F96539B"/>
    <w:rsid w:val="3F993A4B"/>
    <w:rsid w:val="3F9A38BF"/>
    <w:rsid w:val="3F9C5D3D"/>
    <w:rsid w:val="3FA615BB"/>
    <w:rsid w:val="3FAE6978"/>
    <w:rsid w:val="3FB65F72"/>
    <w:rsid w:val="3FC43B3E"/>
    <w:rsid w:val="3FC921C5"/>
    <w:rsid w:val="3FCF0135"/>
    <w:rsid w:val="3FE56688"/>
    <w:rsid w:val="3FEE25A6"/>
    <w:rsid w:val="3FEF0646"/>
    <w:rsid w:val="3FEF543D"/>
    <w:rsid w:val="3FFC2040"/>
    <w:rsid w:val="3FFF7674"/>
    <w:rsid w:val="401B034E"/>
    <w:rsid w:val="40213B31"/>
    <w:rsid w:val="402B12B0"/>
    <w:rsid w:val="402F643A"/>
    <w:rsid w:val="40323DF2"/>
    <w:rsid w:val="4043244B"/>
    <w:rsid w:val="404B0AFD"/>
    <w:rsid w:val="405A761E"/>
    <w:rsid w:val="405B3E44"/>
    <w:rsid w:val="405C4FD6"/>
    <w:rsid w:val="40633724"/>
    <w:rsid w:val="4073511D"/>
    <w:rsid w:val="407511A9"/>
    <w:rsid w:val="40751584"/>
    <w:rsid w:val="408B409E"/>
    <w:rsid w:val="40903214"/>
    <w:rsid w:val="40B77ACC"/>
    <w:rsid w:val="40BD2482"/>
    <w:rsid w:val="40CE01B2"/>
    <w:rsid w:val="40D12E24"/>
    <w:rsid w:val="40D44447"/>
    <w:rsid w:val="40E3448C"/>
    <w:rsid w:val="40EE4695"/>
    <w:rsid w:val="40EF2E8F"/>
    <w:rsid w:val="40F42748"/>
    <w:rsid w:val="40FA76BD"/>
    <w:rsid w:val="40FD344B"/>
    <w:rsid w:val="40FE26D2"/>
    <w:rsid w:val="41044BF4"/>
    <w:rsid w:val="410B01A8"/>
    <w:rsid w:val="41131B1D"/>
    <w:rsid w:val="41165841"/>
    <w:rsid w:val="41252762"/>
    <w:rsid w:val="412E0DDF"/>
    <w:rsid w:val="41353F90"/>
    <w:rsid w:val="41490CF5"/>
    <w:rsid w:val="414B5671"/>
    <w:rsid w:val="41503639"/>
    <w:rsid w:val="41514F68"/>
    <w:rsid w:val="415D50BB"/>
    <w:rsid w:val="41670752"/>
    <w:rsid w:val="416A0599"/>
    <w:rsid w:val="41712625"/>
    <w:rsid w:val="41741AA2"/>
    <w:rsid w:val="418C16CB"/>
    <w:rsid w:val="41A5473E"/>
    <w:rsid w:val="41A618DB"/>
    <w:rsid w:val="41A6399F"/>
    <w:rsid w:val="41B938EB"/>
    <w:rsid w:val="41BD4A1A"/>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8A4FE0"/>
    <w:rsid w:val="428E2E24"/>
    <w:rsid w:val="429017FC"/>
    <w:rsid w:val="42914EC6"/>
    <w:rsid w:val="42923FF1"/>
    <w:rsid w:val="4297701F"/>
    <w:rsid w:val="429C554F"/>
    <w:rsid w:val="42A26D50"/>
    <w:rsid w:val="42A73EBF"/>
    <w:rsid w:val="42AC6C89"/>
    <w:rsid w:val="42B00F6D"/>
    <w:rsid w:val="42B10DBC"/>
    <w:rsid w:val="42B66625"/>
    <w:rsid w:val="42BA1E7D"/>
    <w:rsid w:val="42BC6219"/>
    <w:rsid w:val="42C512CA"/>
    <w:rsid w:val="42C7289D"/>
    <w:rsid w:val="42C85A7F"/>
    <w:rsid w:val="42CE47E6"/>
    <w:rsid w:val="42D54D2A"/>
    <w:rsid w:val="42D86242"/>
    <w:rsid w:val="42EF5BE0"/>
    <w:rsid w:val="42F851DA"/>
    <w:rsid w:val="42FE4918"/>
    <w:rsid w:val="430355D1"/>
    <w:rsid w:val="430565C8"/>
    <w:rsid w:val="430931EF"/>
    <w:rsid w:val="43094FC5"/>
    <w:rsid w:val="430C285C"/>
    <w:rsid w:val="4313669C"/>
    <w:rsid w:val="431A01C5"/>
    <w:rsid w:val="43253BC4"/>
    <w:rsid w:val="432927A6"/>
    <w:rsid w:val="432A5BD6"/>
    <w:rsid w:val="432B7DEC"/>
    <w:rsid w:val="43342642"/>
    <w:rsid w:val="433520F5"/>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514687"/>
    <w:rsid w:val="445459C2"/>
    <w:rsid w:val="44617D0A"/>
    <w:rsid w:val="44682D18"/>
    <w:rsid w:val="446944E9"/>
    <w:rsid w:val="446F13F6"/>
    <w:rsid w:val="44723BA6"/>
    <w:rsid w:val="4473705C"/>
    <w:rsid w:val="44783538"/>
    <w:rsid w:val="447A346E"/>
    <w:rsid w:val="447C5BAA"/>
    <w:rsid w:val="447F22ED"/>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6168"/>
    <w:rsid w:val="44FC3194"/>
    <w:rsid w:val="44FD00BD"/>
    <w:rsid w:val="45031836"/>
    <w:rsid w:val="4504637B"/>
    <w:rsid w:val="452306AA"/>
    <w:rsid w:val="453C4611"/>
    <w:rsid w:val="453C5ECE"/>
    <w:rsid w:val="4542601F"/>
    <w:rsid w:val="454464BC"/>
    <w:rsid w:val="45471252"/>
    <w:rsid w:val="45516630"/>
    <w:rsid w:val="455B0F07"/>
    <w:rsid w:val="455B70CF"/>
    <w:rsid w:val="455F21AD"/>
    <w:rsid w:val="456125FB"/>
    <w:rsid w:val="45646D5D"/>
    <w:rsid w:val="456B16C4"/>
    <w:rsid w:val="45723D75"/>
    <w:rsid w:val="459E70EB"/>
    <w:rsid w:val="45B304D2"/>
    <w:rsid w:val="45C2259A"/>
    <w:rsid w:val="45C37908"/>
    <w:rsid w:val="45C430DB"/>
    <w:rsid w:val="45C972E7"/>
    <w:rsid w:val="45D66454"/>
    <w:rsid w:val="45F146F2"/>
    <w:rsid w:val="45F710E6"/>
    <w:rsid w:val="45FB5F89"/>
    <w:rsid w:val="45FF1EFE"/>
    <w:rsid w:val="461058D9"/>
    <w:rsid w:val="46165015"/>
    <w:rsid w:val="46280A29"/>
    <w:rsid w:val="462A1664"/>
    <w:rsid w:val="463B4251"/>
    <w:rsid w:val="465027ED"/>
    <w:rsid w:val="46582079"/>
    <w:rsid w:val="465F4343"/>
    <w:rsid w:val="46663080"/>
    <w:rsid w:val="467169E7"/>
    <w:rsid w:val="468539A4"/>
    <w:rsid w:val="46C66179"/>
    <w:rsid w:val="46CB17EB"/>
    <w:rsid w:val="46DE668F"/>
    <w:rsid w:val="46E551CD"/>
    <w:rsid w:val="46EE4683"/>
    <w:rsid w:val="46EF6F74"/>
    <w:rsid w:val="46FE5856"/>
    <w:rsid w:val="47014483"/>
    <w:rsid w:val="4703333D"/>
    <w:rsid w:val="471A4405"/>
    <w:rsid w:val="471D5FCF"/>
    <w:rsid w:val="471E6417"/>
    <w:rsid w:val="472F4367"/>
    <w:rsid w:val="473A5E83"/>
    <w:rsid w:val="473B2404"/>
    <w:rsid w:val="473F3688"/>
    <w:rsid w:val="47522D9A"/>
    <w:rsid w:val="47546291"/>
    <w:rsid w:val="475915CF"/>
    <w:rsid w:val="475B68AF"/>
    <w:rsid w:val="47763C9E"/>
    <w:rsid w:val="4778738B"/>
    <w:rsid w:val="477A3E46"/>
    <w:rsid w:val="47865720"/>
    <w:rsid w:val="478A29F0"/>
    <w:rsid w:val="478A3249"/>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7FD24F4"/>
    <w:rsid w:val="48002C62"/>
    <w:rsid w:val="480515E9"/>
    <w:rsid w:val="48065890"/>
    <w:rsid w:val="48127D91"/>
    <w:rsid w:val="481E0218"/>
    <w:rsid w:val="48273063"/>
    <w:rsid w:val="482759BB"/>
    <w:rsid w:val="482A5811"/>
    <w:rsid w:val="484031A0"/>
    <w:rsid w:val="48460E01"/>
    <w:rsid w:val="48474441"/>
    <w:rsid w:val="484A3A4D"/>
    <w:rsid w:val="485A4946"/>
    <w:rsid w:val="486C5A57"/>
    <w:rsid w:val="487F196B"/>
    <w:rsid w:val="48843707"/>
    <w:rsid w:val="48865559"/>
    <w:rsid w:val="488B7278"/>
    <w:rsid w:val="48921589"/>
    <w:rsid w:val="48B1483E"/>
    <w:rsid w:val="48E158B3"/>
    <w:rsid w:val="48E8561D"/>
    <w:rsid w:val="48F0103C"/>
    <w:rsid w:val="48F0714D"/>
    <w:rsid w:val="48F3402C"/>
    <w:rsid w:val="48F62D03"/>
    <w:rsid w:val="48F77F22"/>
    <w:rsid w:val="49006A4D"/>
    <w:rsid w:val="49272634"/>
    <w:rsid w:val="492A6E95"/>
    <w:rsid w:val="4939144E"/>
    <w:rsid w:val="493A24D0"/>
    <w:rsid w:val="493C6687"/>
    <w:rsid w:val="493D20BB"/>
    <w:rsid w:val="493E58F3"/>
    <w:rsid w:val="4959124E"/>
    <w:rsid w:val="495D071E"/>
    <w:rsid w:val="496164D0"/>
    <w:rsid w:val="49664EA6"/>
    <w:rsid w:val="496B669D"/>
    <w:rsid w:val="496E712A"/>
    <w:rsid w:val="49722A47"/>
    <w:rsid w:val="4973140F"/>
    <w:rsid w:val="497C4BE1"/>
    <w:rsid w:val="4980732D"/>
    <w:rsid w:val="49A31824"/>
    <w:rsid w:val="49AD7C3B"/>
    <w:rsid w:val="49B15E32"/>
    <w:rsid w:val="49B35477"/>
    <w:rsid w:val="49B66EC5"/>
    <w:rsid w:val="49B73BA5"/>
    <w:rsid w:val="49B7682F"/>
    <w:rsid w:val="49BE306A"/>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551320"/>
    <w:rsid w:val="4A573C9B"/>
    <w:rsid w:val="4A591C97"/>
    <w:rsid w:val="4A5B1925"/>
    <w:rsid w:val="4A9B73F3"/>
    <w:rsid w:val="4AAC1814"/>
    <w:rsid w:val="4AB50E42"/>
    <w:rsid w:val="4AB82002"/>
    <w:rsid w:val="4AB82B50"/>
    <w:rsid w:val="4ABB4926"/>
    <w:rsid w:val="4ABB6F17"/>
    <w:rsid w:val="4ABE1639"/>
    <w:rsid w:val="4ADC4024"/>
    <w:rsid w:val="4AE17C2C"/>
    <w:rsid w:val="4AEA24F0"/>
    <w:rsid w:val="4AEF656B"/>
    <w:rsid w:val="4AF5404E"/>
    <w:rsid w:val="4AF55886"/>
    <w:rsid w:val="4AF83131"/>
    <w:rsid w:val="4B036EDC"/>
    <w:rsid w:val="4B063561"/>
    <w:rsid w:val="4B150032"/>
    <w:rsid w:val="4B1D14E7"/>
    <w:rsid w:val="4B3A4FA6"/>
    <w:rsid w:val="4B503D59"/>
    <w:rsid w:val="4B6937DD"/>
    <w:rsid w:val="4B712CB3"/>
    <w:rsid w:val="4B715C38"/>
    <w:rsid w:val="4B766050"/>
    <w:rsid w:val="4B7B5177"/>
    <w:rsid w:val="4B870600"/>
    <w:rsid w:val="4B8E0170"/>
    <w:rsid w:val="4B8E63E6"/>
    <w:rsid w:val="4B964E4F"/>
    <w:rsid w:val="4BC22732"/>
    <w:rsid w:val="4BC27D75"/>
    <w:rsid w:val="4BC65B99"/>
    <w:rsid w:val="4BCC6CA8"/>
    <w:rsid w:val="4BCD53D9"/>
    <w:rsid w:val="4BCF38CB"/>
    <w:rsid w:val="4BD44271"/>
    <w:rsid w:val="4BEF4C5D"/>
    <w:rsid w:val="4BF0140A"/>
    <w:rsid w:val="4BFB520C"/>
    <w:rsid w:val="4BFC046E"/>
    <w:rsid w:val="4BFC6236"/>
    <w:rsid w:val="4BFE10D1"/>
    <w:rsid w:val="4C073CF8"/>
    <w:rsid w:val="4C102782"/>
    <w:rsid w:val="4C24124B"/>
    <w:rsid w:val="4C322BE9"/>
    <w:rsid w:val="4C4277B4"/>
    <w:rsid w:val="4C4541E5"/>
    <w:rsid w:val="4C476DF9"/>
    <w:rsid w:val="4C511CEE"/>
    <w:rsid w:val="4C5316E4"/>
    <w:rsid w:val="4C554428"/>
    <w:rsid w:val="4C5C3EA5"/>
    <w:rsid w:val="4C61437A"/>
    <w:rsid w:val="4C631272"/>
    <w:rsid w:val="4C822FF7"/>
    <w:rsid w:val="4C8556B7"/>
    <w:rsid w:val="4C89483F"/>
    <w:rsid w:val="4C8A5A53"/>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4542AC"/>
    <w:rsid w:val="4D4F3E2D"/>
    <w:rsid w:val="4D5077DD"/>
    <w:rsid w:val="4D706C30"/>
    <w:rsid w:val="4DA15110"/>
    <w:rsid w:val="4DB56ED5"/>
    <w:rsid w:val="4DB73A62"/>
    <w:rsid w:val="4DB97D79"/>
    <w:rsid w:val="4DC55643"/>
    <w:rsid w:val="4DCB7475"/>
    <w:rsid w:val="4DD30E27"/>
    <w:rsid w:val="4DD90962"/>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D46A9"/>
    <w:rsid w:val="4E6E647A"/>
    <w:rsid w:val="4E7642A7"/>
    <w:rsid w:val="4E7E3962"/>
    <w:rsid w:val="4E997122"/>
    <w:rsid w:val="4E9B7400"/>
    <w:rsid w:val="4EA548AD"/>
    <w:rsid w:val="4EC30B2B"/>
    <w:rsid w:val="4EC30BAA"/>
    <w:rsid w:val="4ECF07FD"/>
    <w:rsid w:val="4ED406B0"/>
    <w:rsid w:val="4EDB7799"/>
    <w:rsid w:val="4EE80F4D"/>
    <w:rsid w:val="4EED71B1"/>
    <w:rsid w:val="4EF11B96"/>
    <w:rsid w:val="4EF5428A"/>
    <w:rsid w:val="4EF75441"/>
    <w:rsid w:val="4F067E7F"/>
    <w:rsid w:val="4F0F0E50"/>
    <w:rsid w:val="4F18079A"/>
    <w:rsid w:val="4F1B620F"/>
    <w:rsid w:val="4F206722"/>
    <w:rsid w:val="4F2717D1"/>
    <w:rsid w:val="4F341D8D"/>
    <w:rsid w:val="4F355697"/>
    <w:rsid w:val="4F4D1CD3"/>
    <w:rsid w:val="4F557736"/>
    <w:rsid w:val="4F5C12A0"/>
    <w:rsid w:val="4F616F31"/>
    <w:rsid w:val="4F694106"/>
    <w:rsid w:val="4F7760C5"/>
    <w:rsid w:val="4F857B40"/>
    <w:rsid w:val="4F8D7933"/>
    <w:rsid w:val="4F8F24EB"/>
    <w:rsid w:val="4F923128"/>
    <w:rsid w:val="4F996C7E"/>
    <w:rsid w:val="4F9D7F82"/>
    <w:rsid w:val="4F9E10B3"/>
    <w:rsid w:val="4FA85516"/>
    <w:rsid w:val="4FA87BEA"/>
    <w:rsid w:val="4FAA4E3A"/>
    <w:rsid w:val="4FB72501"/>
    <w:rsid w:val="4FDB2A14"/>
    <w:rsid w:val="4FE5216E"/>
    <w:rsid w:val="4FEE43C5"/>
    <w:rsid w:val="4FEF7F19"/>
    <w:rsid w:val="4FF50AA2"/>
    <w:rsid w:val="4FF55E04"/>
    <w:rsid w:val="4FFA1F79"/>
    <w:rsid w:val="4FFE6D44"/>
    <w:rsid w:val="501C3419"/>
    <w:rsid w:val="501D4063"/>
    <w:rsid w:val="50283C27"/>
    <w:rsid w:val="502A5FF4"/>
    <w:rsid w:val="50334961"/>
    <w:rsid w:val="503C0524"/>
    <w:rsid w:val="50404D00"/>
    <w:rsid w:val="504A2ECF"/>
    <w:rsid w:val="50503A64"/>
    <w:rsid w:val="50594DAD"/>
    <w:rsid w:val="505A032B"/>
    <w:rsid w:val="50611C44"/>
    <w:rsid w:val="50641F16"/>
    <w:rsid w:val="506C3D0E"/>
    <w:rsid w:val="506D39BB"/>
    <w:rsid w:val="506F3338"/>
    <w:rsid w:val="50783E4F"/>
    <w:rsid w:val="50877E67"/>
    <w:rsid w:val="5094213E"/>
    <w:rsid w:val="509B5A44"/>
    <w:rsid w:val="509C1B97"/>
    <w:rsid w:val="509E1BF6"/>
    <w:rsid w:val="50A40B8B"/>
    <w:rsid w:val="50A66EF3"/>
    <w:rsid w:val="50AB2E49"/>
    <w:rsid w:val="50AC26DF"/>
    <w:rsid w:val="50AE19B8"/>
    <w:rsid w:val="50B00860"/>
    <w:rsid w:val="50BB1A75"/>
    <w:rsid w:val="50C02457"/>
    <w:rsid w:val="50C22147"/>
    <w:rsid w:val="50DA5D1D"/>
    <w:rsid w:val="50DF3746"/>
    <w:rsid w:val="50E00775"/>
    <w:rsid w:val="51065AE3"/>
    <w:rsid w:val="51073487"/>
    <w:rsid w:val="5130697A"/>
    <w:rsid w:val="51407712"/>
    <w:rsid w:val="51606D80"/>
    <w:rsid w:val="518D502C"/>
    <w:rsid w:val="518E5872"/>
    <w:rsid w:val="519333FF"/>
    <w:rsid w:val="51984E54"/>
    <w:rsid w:val="51A146B6"/>
    <w:rsid w:val="51AE3CED"/>
    <w:rsid w:val="51B97C10"/>
    <w:rsid w:val="51BB5FF1"/>
    <w:rsid w:val="51C606FB"/>
    <w:rsid w:val="51D854A9"/>
    <w:rsid w:val="51E30B6A"/>
    <w:rsid w:val="51EF1984"/>
    <w:rsid w:val="51F747E0"/>
    <w:rsid w:val="51FC6F34"/>
    <w:rsid w:val="52103C34"/>
    <w:rsid w:val="52114A1C"/>
    <w:rsid w:val="52147C8F"/>
    <w:rsid w:val="52151D21"/>
    <w:rsid w:val="521A1356"/>
    <w:rsid w:val="52252690"/>
    <w:rsid w:val="52252BF9"/>
    <w:rsid w:val="52307421"/>
    <w:rsid w:val="52337F1C"/>
    <w:rsid w:val="5236531B"/>
    <w:rsid w:val="52494DF7"/>
    <w:rsid w:val="5249689C"/>
    <w:rsid w:val="52525E85"/>
    <w:rsid w:val="525562DE"/>
    <w:rsid w:val="52567E52"/>
    <w:rsid w:val="52641A0B"/>
    <w:rsid w:val="526A51AF"/>
    <w:rsid w:val="526D3D70"/>
    <w:rsid w:val="527C3D83"/>
    <w:rsid w:val="52802154"/>
    <w:rsid w:val="528B4CAA"/>
    <w:rsid w:val="528C13A2"/>
    <w:rsid w:val="528E1B19"/>
    <w:rsid w:val="52AE6D26"/>
    <w:rsid w:val="52B636AC"/>
    <w:rsid w:val="52BF6099"/>
    <w:rsid w:val="52D935FA"/>
    <w:rsid w:val="52DA789D"/>
    <w:rsid w:val="52DB72E2"/>
    <w:rsid w:val="52E84EAB"/>
    <w:rsid w:val="52F13016"/>
    <w:rsid w:val="52FA4A88"/>
    <w:rsid w:val="530326EF"/>
    <w:rsid w:val="531955E1"/>
    <w:rsid w:val="532173A6"/>
    <w:rsid w:val="53311999"/>
    <w:rsid w:val="533C45DC"/>
    <w:rsid w:val="534534A3"/>
    <w:rsid w:val="53460BCE"/>
    <w:rsid w:val="534C36C4"/>
    <w:rsid w:val="535B5FF9"/>
    <w:rsid w:val="536D21D8"/>
    <w:rsid w:val="53796342"/>
    <w:rsid w:val="53820BB2"/>
    <w:rsid w:val="538B36FB"/>
    <w:rsid w:val="538D79B9"/>
    <w:rsid w:val="5393578F"/>
    <w:rsid w:val="5398169E"/>
    <w:rsid w:val="539911C5"/>
    <w:rsid w:val="53A557D2"/>
    <w:rsid w:val="53AA73C8"/>
    <w:rsid w:val="53C029D2"/>
    <w:rsid w:val="53C241C4"/>
    <w:rsid w:val="53C429B7"/>
    <w:rsid w:val="53D43002"/>
    <w:rsid w:val="53E81D64"/>
    <w:rsid w:val="53EB712E"/>
    <w:rsid w:val="53F5628E"/>
    <w:rsid w:val="540A4448"/>
    <w:rsid w:val="54183F4F"/>
    <w:rsid w:val="541C53CD"/>
    <w:rsid w:val="54241077"/>
    <w:rsid w:val="54251052"/>
    <w:rsid w:val="542E1E30"/>
    <w:rsid w:val="54391E2A"/>
    <w:rsid w:val="543F370E"/>
    <w:rsid w:val="54505D70"/>
    <w:rsid w:val="545C1B55"/>
    <w:rsid w:val="54631A1F"/>
    <w:rsid w:val="547055A0"/>
    <w:rsid w:val="54787ECC"/>
    <w:rsid w:val="54812C87"/>
    <w:rsid w:val="548361DF"/>
    <w:rsid w:val="54937C36"/>
    <w:rsid w:val="54957EB4"/>
    <w:rsid w:val="54AA7585"/>
    <w:rsid w:val="54AC3060"/>
    <w:rsid w:val="54AF794C"/>
    <w:rsid w:val="54B67786"/>
    <w:rsid w:val="54BB6BD3"/>
    <w:rsid w:val="54C63A10"/>
    <w:rsid w:val="54DA5C4C"/>
    <w:rsid w:val="54E50145"/>
    <w:rsid w:val="54F70681"/>
    <w:rsid w:val="54FB522F"/>
    <w:rsid w:val="55006CF5"/>
    <w:rsid w:val="550D5140"/>
    <w:rsid w:val="55132040"/>
    <w:rsid w:val="551A6E9C"/>
    <w:rsid w:val="55211C4B"/>
    <w:rsid w:val="55265024"/>
    <w:rsid w:val="55293427"/>
    <w:rsid w:val="553E6CB0"/>
    <w:rsid w:val="55437516"/>
    <w:rsid w:val="554A1CE4"/>
    <w:rsid w:val="554B0A2E"/>
    <w:rsid w:val="555A19E2"/>
    <w:rsid w:val="555A1E8E"/>
    <w:rsid w:val="555B33C1"/>
    <w:rsid w:val="55607B9B"/>
    <w:rsid w:val="5569463C"/>
    <w:rsid w:val="55755D7B"/>
    <w:rsid w:val="55757CBD"/>
    <w:rsid w:val="557C5594"/>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808EC"/>
    <w:rsid w:val="56864983"/>
    <w:rsid w:val="568E7350"/>
    <w:rsid w:val="56984E38"/>
    <w:rsid w:val="569B4737"/>
    <w:rsid w:val="56A14117"/>
    <w:rsid w:val="56A47248"/>
    <w:rsid w:val="56B96F71"/>
    <w:rsid w:val="56C44362"/>
    <w:rsid w:val="56CA4BBB"/>
    <w:rsid w:val="56D83364"/>
    <w:rsid w:val="56DD6AC9"/>
    <w:rsid w:val="56E03E16"/>
    <w:rsid w:val="56ED3EE4"/>
    <w:rsid w:val="56F00B76"/>
    <w:rsid w:val="56F55395"/>
    <w:rsid w:val="56F745A8"/>
    <w:rsid w:val="56FF6F78"/>
    <w:rsid w:val="571635A1"/>
    <w:rsid w:val="57340FAF"/>
    <w:rsid w:val="57352F0E"/>
    <w:rsid w:val="57354B82"/>
    <w:rsid w:val="573B48F4"/>
    <w:rsid w:val="57415D44"/>
    <w:rsid w:val="57492FF5"/>
    <w:rsid w:val="574A5AA3"/>
    <w:rsid w:val="575C1A86"/>
    <w:rsid w:val="57767700"/>
    <w:rsid w:val="579A6EF3"/>
    <w:rsid w:val="579B330C"/>
    <w:rsid w:val="57A178D5"/>
    <w:rsid w:val="57A37560"/>
    <w:rsid w:val="57A83858"/>
    <w:rsid w:val="57AF5C54"/>
    <w:rsid w:val="57B2759A"/>
    <w:rsid w:val="57B42188"/>
    <w:rsid w:val="57B45112"/>
    <w:rsid w:val="57B4655E"/>
    <w:rsid w:val="57CA2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B07E0"/>
    <w:rsid w:val="59692FF0"/>
    <w:rsid w:val="597645D2"/>
    <w:rsid w:val="597E00FB"/>
    <w:rsid w:val="597E453F"/>
    <w:rsid w:val="597E49BB"/>
    <w:rsid w:val="59932EFC"/>
    <w:rsid w:val="59967306"/>
    <w:rsid w:val="599D37A3"/>
    <w:rsid w:val="59B10E52"/>
    <w:rsid w:val="59B76C32"/>
    <w:rsid w:val="59C67DEE"/>
    <w:rsid w:val="59C9568A"/>
    <w:rsid w:val="59E74322"/>
    <w:rsid w:val="5A002FA3"/>
    <w:rsid w:val="5A007E30"/>
    <w:rsid w:val="5A0343C9"/>
    <w:rsid w:val="5A08125A"/>
    <w:rsid w:val="5A0E7F63"/>
    <w:rsid w:val="5A160D56"/>
    <w:rsid w:val="5A2179FB"/>
    <w:rsid w:val="5A243921"/>
    <w:rsid w:val="5A2776EF"/>
    <w:rsid w:val="5A45521F"/>
    <w:rsid w:val="5A4752B6"/>
    <w:rsid w:val="5A5051A4"/>
    <w:rsid w:val="5A6A69B7"/>
    <w:rsid w:val="5A6B504C"/>
    <w:rsid w:val="5A885001"/>
    <w:rsid w:val="5A8960C5"/>
    <w:rsid w:val="5A99743F"/>
    <w:rsid w:val="5A9E1877"/>
    <w:rsid w:val="5AA87A7C"/>
    <w:rsid w:val="5AA91D17"/>
    <w:rsid w:val="5AAC1388"/>
    <w:rsid w:val="5AAC3162"/>
    <w:rsid w:val="5AB216C4"/>
    <w:rsid w:val="5ACE1B7B"/>
    <w:rsid w:val="5ADD4D11"/>
    <w:rsid w:val="5AE26CDD"/>
    <w:rsid w:val="5AE42730"/>
    <w:rsid w:val="5AE75385"/>
    <w:rsid w:val="5AEA0953"/>
    <w:rsid w:val="5AEC23B4"/>
    <w:rsid w:val="5B052047"/>
    <w:rsid w:val="5B0F7EB6"/>
    <w:rsid w:val="5B266F16"/>
    <w:rsid w:val="5B32108D"/>
    <w:rsid w:val="5B3625B8"/>
    <w:rsid w:val="5B3B3368"/>
    <w:rsid w:val="5B3F47FC"/>
    <w:rsid w:val="5B41351D"/>
    <w:rsid w:val="5B624147"/>
    <w:rsid w:val="5B640BA4"/>
    <w:rsid w:val="5B7339AD"/>
    <w:rsid w:val="5B813703"/>
    <w:rsid w:val="5B842A8E"/>
    <w:rsid w:val="5B860FB3"/>
    <w:rsid w:val="5B9F61D8"/>
    <w:rsid w:val="5BA86394"/>
    <w:rsid w:val="5BB44453"/>
    <w:rsid w:val="5BB82B14"/>
    <w:rsid w:val="5BB95B06"/>
    <w:rsid w:val="5BC03858"/>
    <w:rsid w:val="5BD536D5"/>
    <w:rsid w:val="5BF2787E"/>
    <w:rsid w:val="5BFA335F"/>
    <w:rsid w:val="5C322A65"/>
    <w:rsid w:val="5C46536D"/>
    <w:rsid w:val="5C526F7B"/>
    <w:rsid w:val="5C595364"/>
    <w:rsid w:val="5C6C51C1"/>
    <w:rsid w:val="5C7A5FB4"/>
    <w:rsid w:val="5C7B6810"/>
    <w:rsid w:val="5C7D7589"/>
    <w:rsid w:val="5C7E1616"/>
    <w:rsid w:val="5C805B19"/>
    <w:rsid w:val="5C8252D4"/>
    <w:rsid w:val="5C84485C"/>
    <w:rsid w:val="5C861F85"/>
    <w:rsid w:val="5C917CB2"/>
    <w:rsid w:val="5C92145C"/>
    <w:rsid w:val="5C99030E"/>
    <w:rsid w:val="5C9A4295"/>
    <w:rsid w:val="5C9B4F43"/>
    <w:rsid w:val="5C9E3C9E"/>
    <w:rsid w:val="5CAD01E8"/>
    <w:rsid w:val="5CB149DB"/>
    <w:rsid w:val="5CC434C5"/>
    <w:rsid w:val="5CD3177D"/>
    <w:rsid w:val="5CD40035"/>
    <w:rsid w:val="5CDC0140"/>
    <w:rsid w:val="5CDF2B73"/>
    <w:rsid w:val="5CE9458D"/>
    <w:rsid w:val="5D0449CF"/>
    <w:rsid w:val="5D0E21AC"/>
    <w:rsid w:val="5D3468C4"/>
    <w:rsid w:val="5D3B635D"/>
    <w:rsid w:val="5D434714"/>
    <w:rsid w:val="5D457A5D"/>
    <w:rsid w:val="5D4E3012"/>
    <w:rsid w:val="5D4E3C68"/>
    <w:rsid w:val="5D5F23EC"/>
    <w:rsid w:val="5D797731"/>
    <w:rsid w:val="5D7E7E9A"/>
    <w:rsid w:val="5DA70253"/>
    <w:rsid w:val="5DA82CCD"/>
    <w:rsid w:val="5DCB09A1"/>
    <w:rsid w:val="5DDC29E4"/>
    <w:rsid w:val="5E0E1390"/>
    <w:rsid w:val="5E12327B"/>
    <w:rsid w:val="5E213EF8"/>
    <w:rsid w:val="5E2C29D6"/>
    <w:rsid w:val="5E2F5CFC"/>
    <w:rsid w:val="5E3036B9"/>
    <w:rsid w:val="5E32252F"/>
    <w:rsid w:val="5E42228C"/>
    <w:rsid w:val="5E464496"/>
    <w:rsid w:val="5E4A311E"/>
    <w:rsid w:val="5E4F6F60"/>
    <w:rsid w:val="5E61698D"/>
    <w:rsid w:val="5E7E60A9"/>
    <w:rsid w:val="5E901A68"/>
    <w:rsid w:val="5EB17513"/>
    <w:rsid w:val="5EB860D2"/>
    <w:rsid w:val="5EBC2E54"/>
    <w:rsid w:val="5EDA2CAC"/>
    <w:rsid w:val="5EDB00E0"/>
    <w:rsid w:val="5EDE5287"/>
    <w:rsid w:val="5EE61F49"/>
    <w:rsid w:val="5EFC7B12"/>
    <w:rsid w:val="5F1950E1"/>
    <w:rsid w:val="5F1E54FC"/>
    <w:rsid w:val="5F1E7070"/>
    <w:rsid w:val="5F315AA9"/>
    <w:rsid w:val="5F3F74F9"/>
    <w:rsid w:val="5F445B2E"/>
    <w:rsid w:val="5F5A7308"/>
    <w:rsid w:val="5F5F359D"/>
    <w:rsid w:val="5F6E41B1"/>
    <w:rsid w:val="5F714634"/>
    <w:rsid w:val="5F714A57"/>
    <w:rsid w:val="5F715D02"/>
    <w:rsid w:val="5F785CFF"/>
    <w:rsid w:val="5F7B5532"/>
    <w:rsid w:val="5F8139F8"/>
    <w:rsid w:val="5F8C05DD"/>
    <w:rsid w:val="5F9136E2"/>
    <w:rsid w:val="5F945C6E"/>
    <w:rsid w:val="5F9609A6"/>
    <w:rsid w:val="5F976056"/>
    <w:rsid w:val="5F9A541A"/>
    <w:rsid w:val="5FA03C55"/>
    <w:rsid w:val="5FA96BB5"/>
    <w:rsid w:val="5FC26490"/>
    <w:rsid w:val="5FCB0FAC"/>
    <w:rsid w:val="5FCC0F20"/>
    <w:rsid w:val="5FE3287C"/>
    <w:rsid w:val="5FE502FA"/>
    <w:rsid w:val="5FE70EEA"/>
    <w:rsid w:val="5FEF66DA"/>
    <w:rsid w:val="5FF727EF"/>
    <w:rsid w:val="600A2620"/>
    <w:rsid w:val="600B371A"/>
    <w:rsid w:val="600D7226"/>
    <w:rsid w:val="60177C95"/>
    <w:rsid w:val="601C03AD"/>
    <w:rsid w:val="60226395"/>
    <w:rsid w:val="60282BEF"/>
    <w:rsid w:val="602B20E7"/>
    <w:rsid w:val="602F7A19"/>
    <w:rsid w:val="603C224B"/>
    <w:rsid w:val="60444B10"/>
    <w:rsid w:val="604C03D2"/>
    <w:rsid w:val="60612816"/>
    <w:rsid w:val="60615277"/>
    <w:rsid w:val="60695999"/>
    <w:rsid w:val="607346D5"/>
    <w:rsid w:val="60735B3E"/>
    <w:rsid w:val="608D470F"/>
    <w:rsid w:val="608F1164"/>
    <w:rsid w:val="60A023E2"/>
    <w:rsid w:val="60A46B98"/>
    <w:rsid w:val="60AC0BDD"/>
    <w:rsid w:val="60C86DFB"/>
    <w:rsid w:val="60D46DAF"/>
    <w:rsid w:val="60D52922"/>
    <w:rsid w:val="60F87B91"/>
    <w:rsid w:val="6100676D"/>
    <w:rsid w:val="61032C9D"/>
    <w:rsid w:val="610757A6"/>
    <w:rsid w:val="610A1465"/>
    <w:rsid w:val="6110560E"/>
    <w:rsid w:val="61122616"/>
    <w:rsid w:val="61124738"/>
    <w:rsid w:val="61143FE6"/>
    <w:rsid w:val="61224AC8"/>
    <w:rsid w:val="612416C4"/>
    <w:rsid w:val="612F062B"/>
    <w:rsid w:val="61316948"/>
    <w:rsid w:val="61355264"/>
    <w:rsid w:val="61366397"/>
    <w:rsid w:val="613D1908"/>
    <w:rsid w:val="61466D6C"/>
    <w:rsid w:val="61651B50"/>
    <w:rsid w:val="616A3F24"/>
    <w:rsid w:val="616B34F1"/>
    <w:rsid w:val="61732F18"/>
    <w:rsid w:val="61762A25"/>
    <w:rsid w:val="61945767"/>
    <w:rsid w:val="61967EE9"/>
    <w:rsid w:val="619F0AE4"/>
    <w:rsid w:val="61A8544A"/>
    <w:rsid w:val="61B34920"/>
    <w:rsid w:val="61B8363E"/>
    <w:rsid w:val="61D35210"/>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B439A"/>
    <w:rsid w:val="622542A4"/>
    <w:rsid w:val="622F4676"/>
    <w:rsid w:val="62357B4C"/>
    <w:rsid w:val="623C3E79"/>
    <w:rsid w:val="624B1DCB"/>
    <w:rsid w:val="624D3860"/>
    <w:rsid w:val="62642BCA"/>
    <w:rsid w:val="627E4AA6"/>
    <w:rsid w:val="628C2580"/>
    <w:rsid w:val="6299479C"/>
    <w:rsid w:val="62A1785A"/>
    <w:rsid w:val="62AD20A0"/>
    <w:rsid w:val="62AE5634"/>
    <w:rsid w:val="62B775E1"/>
    <w:rsid w:val="62B8695E"/>
    <w:rsid w:val="62C054DC"/>
    <w:rsid w:val="62C20E6C"/>
    <w:rsid w:val="62D50569"/>
    <w:rsid w:val="62D877BF"/>
    <w:rsid w:val="62DD303E"/>
    <w:rsid w:val="62E03F56"/>
    <w:rsid w:val="62EB1915"/>
    <w:rsid w:val="62F05B79"/>
    <w:rsid w:val="62F43C66"/>
    <w:rsid w:val="62F54D21"/>
    <w:rsid w:val="62F83111"/>
    <w:rsid w:val="630E2BEE"/>
    <w:rsid w:val="63145F63"/>
    <w:rsid w:val="63153B67"/>
    <w:rsid w:val="63191F45"/>
    <w:rsid w:val="631A114F"/>
    <w:rsid w:val="631F4897"/>
    <w:rsid w:val="63247998"/>
    <w:rsid w:val="6327117C"/>
    <w:rsid w:val="633270F6"/>
    <w:rsid w:val="63340F00"/>
    <w:rsid w:val="633849E8"/>
    <w:rsid w:val="633F742D"/>
    <w:rsid w:val="63446387"/>
    <w:rsid w:val="63541E44"/>
    <w:rsid w:val="6359534E"/>
    <w:rsid w:val="636C63D7"/>
    <w:rsid w:val="637A1FAF"/>
    <w:rsid w:val="638350A5"/>
    <w:rsid w:val="63854194"/>
    <w:rsid w:val="639123D5"/>
    <w:rsid w:val="63936CEA"/>
    <w:rsid w:val="63945C4D"/>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40E09AC"/>
    <w:rsid w:val="641423F7"/>
    <w:rsid w:val="6414705B"/>
    <w:rsid w:val="6418742C"/>
    <w:rsid w:val="64241675"/>
    <w:rsid w:val="642E0DC1"/>
    <w:rsid w:val="64383811"/>
    <w:rsid w:val="643B1DDB"/>
    <w:rsid w:val="64527EE2"/>
    <w:rsid w:val="6463704A"/>
    <w:rsid w:val="64680B35"/>
    <w:rsid w:val="646D4927"/>
    <w:rsid w:val="64746411"/>
    <w:rsid w:val="64773568"/>
    <w:rsid w:val="64784319"/>
    <w:rsid w:val="648A53C3"/>
    <w:rsid w:val="649609B3"/>
    <w:rsid w:val="649C3ACA"/>
    <w:rsid w:val="64AD6C47"/>
    <w:rsid w:val="64AF3495"/>
    <w:rsid w:val="64B1582E"/>
    <w:rsid w:val="64C007C5"/>
    <w:rsid w:val="64C25AE1"/>
    <w:rsid w:val="64CC53E2"/>
    <w:rsid w:val="64D8522D"/>
    <w:rsid w:val="64F459EF"/>
    <w:rsid w:val="64FC6A39"/>
    <w:rsid w:val="64FF5554"/>
    <w:rsid w:val="64FF5B33"/>
    <w:rsid w:val="650C735C"/>
    <w:rsid w:val="651A528F"/>
    <w:rsid w:val="652210F7"/>
    <w:rsid w:val="65252373"/>
    <w:rsid w:val="652D20EA"/>
    <w:rsid w:val="65310787"/>
    <w:rsid w:val="65320BD1"/>
    <w:rsid w:val="654662A9"/>
    <w:rsid w:val="654A0485"/>
    <w:rsid w:val="655679F7"/>
    <w:rsid w:val="655C0221"/>
    <w:rsid w:val="656A3DE1"/>
    <w:rsid w:val="656B28FD"/>
    <w:rsid w:val="657958FF"/>
    <w:rsid w:val="657A4E84"/>
    <w:rsid w:val="657F02BE"/>
    <w:rsid w:val="6584001B"/>
    <w:rsid w:val="658558D2"/>
    <w:rsid w:val="658B2995"/>
    <w:rsid w:val="65911C80"/>
    <w:rsid w:val="65981B19"/>
    <w:rsid w:val="65A264C4"/>
    <w:rsid w:val="65AC7F98"/>
    <w:rsid w:val="65AF7515"/>
    <w:rsid w:val="65B01F8D"/>
    <w:rsid w:val="65D63A96"/>
    <w:rsid w:val="65F46A63"/>
    <w:rsid w:val="65FF233E"/>
    <w:rsid w:val="660367A1"/>
    <w:rsid w:val="6607745E"/>
    <w:rsid w:val="66093FCB"/>
    <w:rsid w:val="660C1008"/>
    <w:rsid w:val="66130AAB"/>
    <w:rsid w:val="66247877"/>
    <w:rsid w:val="663F3D5C"/>
    <w:rsid w:val="66442B47"/>
    <w:rsid w:val="6645606B"/>
    <w:rsid w:val="664A5DB0"/>
    <w:rsid w:val="664F5592"/>
    <w:rsid w:val="666138BE"/>
    <w:rsid w:val="666B61C1"/>
    <w:rsid w:val="66704DB8"/>
    <w:rsid w:val="667430BA"/>
    <w:rsid w:val="667A3068"/>
    <w:rsid w:val="667D6E94"/>
    <w:rsid w:val="667E376F"/>
    <w:rsid w:val="66814262"/>
    <w:rsid w:val="6687181F"/>
    <w:rsid w:val="66956B8B"/>
    <w:rsid w:val="66991703"/>
    <w:rsid w:val="669D565A"/>
    <w:rsid w:val="669D5DF0"/>
    <w:rsid w:val="66A04B27"/>
    <w:rsid w:val="66AB0232"/>
    <w:rsid w:val="66AC42E9"/>
    <w:rsid w:val="66B20A89"/>
    <w:rsid w:val="66B327B0"/>
    <w:rsid w:val="66B57968"/>
    <w:rsid w:val="66B92610"/>
    <w:rsid w:val="66C65DA4"/>
    <w:rsid w:val="66CB27C0"/>
    <w:rsid w:val="66CD7497"/>
    <w:rsid w:val="66D34184"/>
    <w:rsid w:val="66D525AE"/>
    <w:rsid w:val="66E67C21"/>
    <w:rsid w:val="66EA41B3"/>
    <w:rsid w:val="66F939B6"/>
    <w:rsid w:val="67027284"/>
    <w:rsid w:val="670C4DEA"/>
    <w:rsid w:val="670C7D7C"/>
    <w:rsid w:val="67475E38"/>
    <w:rsid w:val="67537032"/>
    <w:rsid w:val="67656864"/>
    <w:rsid w:val="6766467F"/>
    <w:rsid w:val="676B362B"/>
    <w:rsid w:val="676D60D7"/>
    <w:rsid w:val="67775F53"/>
    <w:rsid w:val="67805079"/>
    <w:rsid w:val="67873F03"/>
    <w:rsid w:val="679773D7"/>
    <w:rsid w:val="679E131D"/>
    <w:rsid w:val="67A2624C"/>
    <w:rsid w:val="67AE39D7"/>
    <w:rsid w:val="67B010D9"/>
    <w:rsid w:val="67B42723"/>
    <w:rsid w:val="67C26BE9"/>
    <w:rsid w:val="67C935E9"/>
    <w:rsid w:val="67CD5390"/>
    <w:rsid w:val="67CF66A0"/>
    <w:rsid w:val="67D55811"/>
    <w:rsid w:val="67D73840"/>
    <w:rsid w:val="67DA09ED"/>
    <w:rsid w:val="67F41BB8"/>
    <w:rsid w:val="67F60BB7"/>
    <w:rsid w:val="67F87C16"/>
    <w:rsid w:val="67FB60A5"/>
    <w:rsid w:val="67FC1404"/>
    <w:rsid w:val="68022384"/>
    <w:rsid w:val="6806232A"/>
    <w:rsid w:val="680901EC"/>
    <w:rsid w:val="680B049B"/>
    <w:rsid w:val="681329CD"/>
    <w:rsid w:val="682870E2"/>
    <w:rsid w:val="682B1DC8"/>
    <w:rsid w:val="68514045"/>
    <w:rsid w:val="68541A0A"/>
    <w:rsid w:val="686E2CBE"/>
    <w:rsid w:val="68995A67"/>
    <w:rsid w:val="689E408E"/>
    <w:rsid w:val="68B77FEA"/>
    <w:rsid w:val="68BE2805"/>
    <w:rsid w:val="68CC65D0"/>
    <w:rsid w:val="68D121D5"/>
    <w:rsid w:val="68D8103F"/>
    <w:rsid w:val="68EE6D9D"/>
    <w:rsid w:val="68FB681C"/>
    <w:rsid w:val="69005F31"/>
    <w:rsid w:val="69010FD4"/>
    <w:rsid w:val="69214F2D"/>
    <w:rsid w:val="69294D34"/>
    <w:rsid w:val="6934460D"/>
    <w:rsid w:val="693508DD"/>
    <w:rsid w:val="694A5299"/>
    <w:rsid w:val="694E280C"/>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A5FB0"/>
    <w:rsid w:val="6ACF4C27"/>
    <w:rsid w:val="6ADE18EE"/>
    <w:rsid w:val="6ADF3594"/>
    <w:rsid w:val="6AE73F4D"/>
    <w:rsid w:val="6AF17318"/>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A840D6"/>
    <w:rsid w:val="6BAD2A66"/>
    <w:rsid w:val="6BB87FC4"/>
    <w:rsid w:val="6BBE61C0"/>
    <w:rsid w:val="6BBF5714"/>
    <w:rsid w:val="6BCC3A25"/>
    <w:rsid w:val="6BD46B4D"/>
    <w:rsid w:val="6BDE22A7"/>
    <w:rsid w:val="6BE73798"/>
    <w:rsid w:val="6BEC2FCA"/>
    <w:rsid w:val="6BF419EF"/>
    <w:rsid w:val="6BFF2E92"/>
    <w:rsid w:val="6C115C28"/>
    <w:rsid w:val="6C182FA3"/>
    <w:rsid w:val="6C1A082E"/>
    <w:rsid w:val="6C3707E3"/>
    <w:rsid w:val="6C5D623A"/>
    <w:rsid w:val="6C693AEA"/>
    <w:rsid w:val="6C6958BA"/>
    <w:rsid w:val="6C69732B"/>
    <w:rsid w:val="6C6A2B82"/>
    <w:rsid w:val="6C6E6BE1"/>
    <w:rsid w:val="6C6F3102"/>
    <w:rsid w:val="6C784971"/>
    <w:rsid w:val="6C7B7533"/>
    <w:rsid w:val="6C860712"/>
    <w:rsid w:val="6C860B71"/>
    <w:rsid w:val="6C863AD3"/>
    <w:rsid w:val="6C8F0FB6"/>
    <w:rsid w:val="6C975335"/>
    <w:rsid w:val="6C995B9F"/>
    <w:rsid w:val="6C9C715F"/>
    <w:rsid w:val="6CB03800"/>
    <w:rsid w:val="6CB36312"/>
    <w:rsid w:val="6CB543F8"/>
    <w:rsid w:val="6CD3191A"/>
    <w:rsid w:val="6CE83B52"/>
    <w:rsid w:val="6CFD7470"/>
    <w:rsid w:val="6D193B0B"/>
    <w:rsid w:val="6D1E7058"/>
    <w:rsid w:val="6D2162B4"/>
    <w:rsid w:val="6D216DEF"/>
    <w:rsid w:val="6D222178"/>
    <w:rsid w:val="6D2C13DF"/>
    <w:rsid w:val="6D2F5008"/>
    <w:rsid w:val="6D351109"/>
    <w:rsid w:val="6D39408A"/>
    <w:rsid w:val="6D535020"/>
    <w:rsid w:val="6D644C93"/>
    <w:rsid w:val="6D6A5CC8"/>
    <w:rsid w:val="6D6B3F91"/>
    <w:rsid w:val="6D7538E1"/>
    <w:rsid w:val="6D7707C3"/>
    <w:rsid w:val="6D86428B"/>
    <w:rsid w:val="6D8901BC"/>
    <w:rsid w:val="6D9346AE"/>
    <w:rsid w:val="6DB16CB7"/>
    <w:rsid w:val="6DB22D18"/>
    <w:rsid w:val="6DB23612"/>
    <w:rsid w:val="6DB96B12"/>
    <w:rsid w:val="6DC30A82"/>
    <w:rsid w:val="6DC918BA"/>
    <w:rsid w:val="6DCE7E6C"/>
    <w:rsid w:val="6DD16FED"/>
    <w:rsid w:val="6DE04488"/>
    <w:rsid w:val="6DEE7E36"/>
    <w:rsid w:val="6DF90DFC"/>
    <w:rsid w:val="6DF932A5"/>
    <w:rsid w:val="6E132BBF"/>
    <w:rsid w:val="6E154224"/>
    <w:rsid w:val="6E156AB9"/>
    <w:rsid w:val="6E255579"/>
    <w:rsid w:val="6E2A1D7A"/>
    <w:rsid w:val="6E347D9E"/>
    <w:rsid w:val="6E39640B"/>
    <w:rsid w:val="6E457FD7"/>
    <w:rsid w:val="6E4E1431"/>
    <w:rsid w:val="6E5140E8"/>
    <w:rsid w:val="6E523ECC"/>
    <w:rsid w:val="6E6A4D62"/>
    <w:rsid w:val="6E733917"/>
    <w:rsid w:val="6E777980"/>
    <w:rsid w:val="6E8C433E"/>
    <w:rsid w:val="6E915325"/>
    <w:rsid w:val="6E950807"/>
    <w:rsid w:val="6E9555FC"/>
    <w:rsid w:val="6E9C45CA"/>
    <w:rsid w:val="6EBF54EA"/>
    <w:rsid w:val="6ECB09B7"/>
    <w:rsid w:val="6ECC5B21"/>
    <w:rsid w:val="6ED0560A"/>
    <w:rsid w:val="6EE62D04"/>
    <w:rsid w:val="6EF05FA7"/>
    <w:rsid w:val="6EF43A7A"/>
    <w:rsid w:val="6F097E86"/>
    <w:rsid w:val="6F151595"/>
    <w:rsid w:val="6F2C025F"/>
    <w:rsid w:val="6F2C25D4"/>
    <w:rsid w:val="6F2D598D"/>
    <w:rsid w:val="6F326A59"/>
    <w:rsid w:val="6F4308A1"/>
    <w:rsid w:val="6F46405D"/>
    <w:rsid w:val="6F5603AA"/>
    <w:rsid w:val="6F582142"/>
    <w:rsid w:val="6F6311C3"/>
    <w:rsid w:val="6F6F143A"/>
    <w:rsid w:val="6F7B4F57"/>
    <w:rsid w:val="6F8173A5"/>
    <w:rsid w:val="6F8731F0"/>
    <w:rsid w:val="6F98023F"/>
    <w:rsid w:val="6F9F6911"/>
    <w:rsid w:val="6FAF5EAE"/>
    <w:rsid w:val="6FBC0E57"/>
    <w:rsid w:val="6FC57B35"/>
    <w:rsid w:val="6FCB5618"/>
    <w:rsid w:val="6FE26034"/>
    <w:rsid w:val="6FF551F5"/>
    <w:rsid w:val="6FF901E4"/>
    <w:rsid w:val="6FFA68F6"/>
    <w:rsid w:val="7004100D"/>
    <w:rsid w:val="701820FB"/>
    <w:rsid w:val="70224DE3"/>
    <w:rsid w:val="703503A4"/>
    <w:rsid w:val="7036351C"/>
    <w:rsid w:val="703D6CEF"/>
    <w:rsid w:val="70412B93"/>
    <w:rsid w:val="70553D44"/>
    <w:rsid w:val="705D42D1"/>
    <w:rsid w:val="7062375F"/>
    <w:rsid w:val="70706378"/>
    <w:rsid w:val="7075364D"/>
    <w:rsid w:val="70771B88"/>
    <w:rsid w:val="708B2925"/>
    <w:rsid w:val="708D6597"/>
    <w:rsid w:val="70B16ED7"/>
    <w:rsid w:val="70C06B12"/>
    <w:rsid w:val="70C55B89"/>
    <w:rsid w:val="70C95948"/>
    <w:rsid w:val="70CE5088"/>
    <w:rsid w:val="70D900D5"/>
    <w:rsid w:val="70E96DC7"/>
    <w:rsid w:val="70EC759C"/>
    <w:rsid w:val="70EF6FAE"/>
    <w:rsid w:val="71091DB7"/>
    <w:rsid w:val="710A05D6"/>
    <w:rsid w:val="71164870"/>
    <w:rsid w:val="71215B48"/>
    <w:rsid w:val="712357B2"/>
    <w:rsid w:val="712D66C5"/>
    <w:rsid w:val="71315B56"/>
    <w:rsid w:val="713425DE"/>
    <w:rsid w:val="71362F91"/>
    <w:rsid w:val="71380537"/>
    <w:rsid w:val="71395FAD"/>
    <w:rsid w:val="713C7860"/>
    <w:rsid w:val="7146313C"/>
    <w:rsid w:val="714862D6"/>
    <w:rsid w:val="7158707F"/>
    <w:rsid w:val="715F7096"/>
    <w:rsid w:val="71634934"/>
    <w:rsid w:val="71684551"/>
    <w:rsid w:val="716C7616"/>
    <w:rsid w:val="71723E36"/>
    <w:rsid w:val="71760E9C"/>
    <w:rsid w:val="71895007"/>
    <w:rsid w:val="718C2955"/>
    <w:rsid w:val="718C3250"/>
    <w:rsid w:val="719528E3"/>
    <w:rsid w:val="719C38AD"/>
    <w:rsid w:val="719D43E5"/>
    <w:rsid w:val="71BA2D03"/>
    <w:rsid w:val="71D13370"/>
    <w:rsid w:val="71D14DF2"/>
    <w:rsid w:val="71DD2475"/>
    <w:rsid w:val="71DD54E0"/>
    <w:rsid w:val="71E25D9B"/>
    <w:rsid w:val="71EA1849"/>
    <w:rsid w:val="71EF67A8"/>
    <w:rsid w:val="71FB2E51"/>
    <w:rsid w:val="71FC4024"/>
    <w:rsid w:val="72097561"/>
    <w:rsid w:val="721B506B"/>
    <w:rsid w:val="724033F7"/>
    <w:rsid w:val="72416679"/>
    <w:rsid w:val="72433065"/>
    <w:rsid w:val="72457278"/>
    <w:rsid w:val="726E0B11"/>
    <w:rsid w:val="72713340"/>
    <w:rsid w:val="727278A2"/>
    <w:rsid w:val="72762AFC"/>
    <w:rsid w:val="728175C3"/>
    <w:rsid w:val="728E5109"/>
    <w:rsid w:val="72A16F64"/>
    <w:rsid w:val="72A2415E"/>
    <w:rsid w:val="72AC288B"/>
    <w:rsid w:val="72B266AC"/>
    <w:rsid w:val="72BE6CD8"/>
    <w:rsid w:val="72C03295"/>
    <w:rsid w:val="72C346BD"/>
    <w:rsid w:val="72CE404E"/>
    <w:rsid w:val="72E47A77"/>
    <w:rsid w:val="72EB7CFE"/>
    <w:rsid w:val="72ED4786"/>
    <w:rsid w:val="72F341AD"/>
    <w:rsid w:val="72F5500F"/>
    <w:rsid w:val="72FD4B94"/>
    <w:rsid w:val="73035024"/>
    <w:rsid w:val="730942A2"/>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E27B00"/>
    <w:rsid w:val="73E65029"/>
    <w:rsid w:val="73EF42A9"/>
    <w:rsid w:val="73F017DA"/>
    <w:rsid w:val="73F07D9A"/>
    <w:rsid w:val="73F12351"/>
    <w:rsid w:val="73F41526"/>
    <w:rsid w:val="74090D59"/>
    <w:rsid w:val="74180BBF"/>
    <w:rsid w:val="74266B95"/>
    <w:rsid w:val="742E73BF"/>
    <w:rsid w:val="743D2A5D"/>
    <w:rsid w:val="74451C3B"/>
    <w:rsid w:val="744E4F7B"/>
    <w:rsid w:val="74566DBA"/>
    <w:rsid w:val="745A0BA9"/>
    <w:rsid w:val="745D2796"/>
    <w:rsid w:val="7460605D"/>
    <w:rsid w:val="74645E2C"/>
    <w:rsid w:val="747A5C59"/>
    <w:rsid w:val="747B1953"/>
    <w:rsid w:val="748D4D0B"/>
    <w:rsid w:val="748E529C"/>
    <w:rsid w:val="748F2873"/>
    <w:rsid w:val="74A27DD2"/>
    <w:rsid w:val="74AA513B"/>
    <w:rsid w:val="74B47A08"/>
    <w:rsid w:val="74C07362"/>
    <w:rsid w:val="74E0416E"/>
    <w:rsid w:val="74EE09B3"/>
    <w:rsid w:val="74F16FF8"/>
    <w:rsid w:val="75032417"/>
    <w:rsid w:val="75115B78"/>
    <w:rsid w:val="751630F3"/>
    <w:rsid w:val="751B0EF7"/>
    <w:rsid w:val="751D677C"/>
    <w:rsid w:val="751E11BF"/>
    <w:rsid w:val="75231E7F"/>
    <w:rsid w:val="75315F8E"/>
    <w:rsid w:val="75404706"/>
    <w:rsid w:val="7544346D"/>
    <w:rsid w:val="75494DE0"/>
    <w:rsid w:val="754A58F7"/>
    <w:rsid w:val="75590E73"/>
    <w:rsid w:val="755D4311"/>
    <w:rsid w:val="75684184"/>
    <w:rsid w:val="75782865"/>
    <w:rsid w:val="7580783F"/>
    <w:rsid w:val="758C07D1"/>
    <w:rsid w:val="759146BB"/>
    <w:rsid w:val="75A20554"/>
    <w:rsid w:val="75B30DD6"/>
    <w:rsid w:val="75C25231"/>
    <w:rsid w:val="75C876B4"/>
    <w:rsid w:val="75DF4381"/>
    <w:rsid w:val="75E142B9"/>
    <w:rsid w:val="75E5151B"/>
    <w:rsid w:val="75EC37AE"/>
    <w:rsid w:val="75F11993"/>
    <w:rsid w:val="75F16CCA"/>
    <w:rsid w:val="76054A17"/>
    <w:rsid w:val="76185AAD"/>
    <w:rsid w:val="76211AF6"/>
    <w:rsid w:val="76275FAE"/>
    <w:rsid w:val="762E39BD"/>
    <w:rsid w:val="763537F6"/>
    <w:rsid w:val="763B3B81"/>
    <w:rsid w:val="76417696"/>
    <w:rsid w:val="76453603"/>
    <w:rsid w:val="76686B17"/>
    <w:rsid w:val="766F7C81"/>
    <w:rsid w:val="76760936"/>
    <w:rsid w:val="767F314F"/>
    <w:rsid w:val="7683750C"/>
    <w:rsid w:val="769120F5"/>
    <w:rsid w:val="76940D5A"/>
    <w:rsid w:val="7695521B"/>
    <w:rsid w:val="769F638C"/>
    <w:rsid w:val="76A47599"/>
    <w:rsid w:val="76D11E42"/>
    <w:rsid w:val="76D5246B"/>
    <w:rsid w:val="76D613FE"/>
    <w:rsid w:val="76D61C06"/>
    <w:rsid w:val="77123450"/>
    <w:rsid w:val="771E342D"/>
    <w:rsid w:val="77241334"/>
    <w:rsid w:val="772E3EC9"/>
    <w:rsid w:val="778B74B3"/>
    <w:rsid w:val="778B78E0"/>
    <w:rsid w:val="779C66D3"/>
    <w:rsid w:val="77A52D33"/>
    <w:rsid w:val="77B86D8D"/>
    <w:rsid w:val="77B95085"/>
    <w:rsid w:val="77C82507"/>
    <w:rsid w:val="77C94A5C"/>
    <w:rsid w:val="77D51602"/>
    <w:rsid w:val="77F359E9"/>
    <w:rsid w:val="77FA3B58"/>
    <w:rsid w:val="780C26B5"/>
    <w:rsid w:val="780E6346"/>
    <w:rsid w:val="7810476F"/>
    <w:rsid w:val="781B4D0B"/>
    <w:rsid w:val="781B6277"/>
    <w:rsid w:val="782402F6"/>
    <w:rsid w:val="7826124C"/>
    <w:rsid w:val="782D5E70"/>
    <w:rsid w:val="782E0211"/>
    <w:rsid w:val="783E6B68"/>
    <w:rsid w:val="7840642F"/>
    <w:rsid w:val="78490F79"/>
    <w:rsid w:val="786308D6"/>
    <w:rsid w:val="786660BB"/>
    <w:rsid w:val="786D13B6"/>
    <w:rsid w:val="7876280E"/>
    <w:rsid w:val="787967A0"/>
    <w:rsid w:val="787E5DA4"/>
    <w:rsid w:val="7886011F"/>
    <w:rsid w:val="788620D6"/>
    <w:rsid w:val="788E4C33"/>
    <w:rsid w:val="789A14D5"/>
    <w:rsid w:val="78A23C35"/>
    <w:rsid w:val="78A7647D"/>
    <w:rsid w:val="78AE55B9"/>
    <w:rsid w:val="78B1241F"/>
    <w:rsid w:val="78B5402C"/>
    <w:rsid w:val="78C33580"/>
    <w:rsid w:val="78C44908"/>
    <w:rsid w:val="78CA3104"/>
    <w:rsid w:val="78CB1F2E"/>
    <w:rsid w:val="78CD5726"/>
    <w:rsid w:val="78DD724E"/>
    <w:rsid w:val="78E144CE"/>
    <w:rsid w:val="78E46F81"/>
    <w:rsid w:val="78E97DB2"/>
    <w:rsid w:val="78FB0EF8"/>
    <w:rsid w:val="78FD349A"/>
    <w:rsid w:val="78FE7A25"/>
    <w:rsid w:val="78FF7EDE"/>
    <w:rsid w:val="790300B9"/>
    <w:rsid w:val="792C6D0B"/>
    <w:rsid w:val="793731E3"/>
    <w:rsid w:val="79392389"/>
    <w:rsid w:val="793F4619"/>
    <w:rsid w:val="79476D94"/>
    <w:rsid w:val="795200ED"/>
    <w:rsid w:val="79533E74"/>
    <w:rsid w:val="79537BB7"/>
    <w:rsid w:val="79590D62"/>
    <w:rsid w:val="79651C45"/>
    <w:rsid w:val="796C1BE9"/>
    <w:rsid w:val="7972462B"/>
    <w:rsid w:val="79742E29"/>
    <w:rsid w:val="797C1FFB"/>
    <w:rsid w:val="798F727F"/>
    <w:rsid w:val="79933267"/>
    <w:rsid w:val="7998292C"/>
    <w:rsid w:val="79A70EB5"/>
    <w:rsid w:val="79BC5130"/>
    <w:rsid w:val="79D5226E"/>
    <w:rsid w:val="79EF2722"/>
    <w:rsid w:val="79F075B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E0619"/>
    <w:rsid w:val="7AC552F2"/>
    <w:rsid w:val="7AD53C91"/>
    <w:rsid w:val="7AD91D8E"/>
    <w:rsid w:val="7ADB5C40"/>
    <w:rsid w:val="7ADD7099"/>
    <w:rsid w:val="7AE53FA2"/>
    <w:rsid w:val="7AE91E92"/>
    <w:rsid w:val="7AF37660"/>
    <w:rsid w:val="7B126289"/>
    <w:rsid w:val="7B212D78"/>
    <w:rsid w:val="7B30530E"/>
    <w:rsid w:val="7B3846C8"/>
    <w:rsid w:val="7B390DDA"/>
    <w:rsid w:val="7B693808"/>
    <w:rsid w:val="7B6D58DE"/>
    <w:rsid w:val="7B7926A6"/>
    <w:rsid w:val="7B8F488C"/>
    <w:rsid w:val="7B974F1E"/>
    <w:rsid w:val="7B993DA4"/>
    <w:rsid w:val="7B9E0E8A"/>
    <w:rsid w:val="7B9F6CC8"/>
    <w:rsid w:val="7BAA71B9"/>
    <w:rsid w:val="7BAF7D8E"/>
    <w:rsid w:val="7BB07905"/>
    <w:rsid w:val="7BB10B07"/>
    <w:rsid w:val="7BB35BDB"/>
    <w:rsid w:val="7BBF1BA5"/>
    <w:rsid w:val="7BDC2D7A"/>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92D22"/>
    <w:rsid w:val="7CAB1228"/>
    <w:rsid w:val="7CB13DE8"/>
    <w:rsid w:val="7CB53CE5"/>
    <w:rsid w:val="7CB8747E"/>
    <w:rsid w:val="7CC66EA5"/>
    <w:rsid w:val="7CD91ED4"/>
    <w:rsid w:val="7CDA083F"/>
    <w:rsid w:val="7CDA4FD7"/>
    <w:rsid w:val="7CDE6632"/>
    <w:rsid w:val="7CE31486"/>
    <w:rsid w:val="7CE355AB"/>
    <w:rsid w:val="7CE95E3F"/>
    <w:rsid w:val="7CED4739"/>
    <w:rsid w:val="7CF81AC1"/>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6E3D48"/>
    <w:rsid w:val="7D7F0A40"/>
    <w:rsid w:val="7D816A38"/>
    <w:rsid w:val="7D873270"/>
    <w:rsid w:val="7D8E409D"/>
    <w:rsid w:val="7D9E5BDD"/>
    <w:rsid w:val="7DC04326"/>
    <w:rsid w:val="7DC151FE"/>
    <w:rsid w:val="7DDA0FC1"/>
    <w:rsid w:val="7DDC6964"/>
    <w:rsid w:val="7DE065A7"/>
    <w:rsid w:val="7DE0719E"/>
    <w:rsid w:val="7DEB5334"/>
    <w:rsid w:val="7DF52D47"/>
    <w:rsid w:val="7DFA7B58"/>
    <w:rsid w:val="7E054DC3"/>
    <w:rsid w:val="7E0A7D52"/>
    <w:rsid w:val="7E0E2884"/>
    <w:rsid w:val="7E1813FE"/>
    <w:rsid w:val="7E250A47"/>
    <w:rsid w:val="7E276BB4"/>
    <w:rsid w:val="7E2B01D4"/>
    <w:rsid w:val="7E2E5534"/>
    <w:rsid w:val="7E2E67D3"/>
    <w:rsid w:val="7E3139AB"/>
    <w:rsid w:val="7E3B6737"/>
    <w:rsid w:val="7E631219"/>
    <w:rsid w:val="7E64128C"/>
    <w:rsid w:val="7E671940"/>
    <w:rsid w:val="7E7517E8"/>
    <w:rsid w:val="7E8E203F"/>
    <w:rsid w:val="7E8F25D0"/>
    <w:rsid w:val="7E923935"/>
    <w:rsid w:val="7EAB29B1"/>
    <w:rsid w:val="7EAC6DCF"/>
    <w:rsid w:val="7EAF3AF1"/>
    <w:rsid w:val="7EBC1F58"/>
    <w:rsid w:val="7EC27CB2"/>
    <w:rsid w:val="7EC9106A"/>
    <w:rsid w:val="7EC957DD"/>
    <w:rsid w:val="7ED14DB6"/>
    <w:rsid w:val="7ED16578"/>
    <w:rsid w:val="7EDC3B37"/>
    <w:rsid w:val="7EE75461"/>
    <w:rsid w:val="7EE76915"/>
    <w:rsid w:val="7EEC6E13"/>
    <w:rsid w:val="7EEC7F9A"/>
    <w:rsid w:val="7EF118F1"/>
    <w:rsid w:val="7EF47DC2"/>
    <w:rsid w:val="7EF60A7C"/>
    <w:rsid w:val="7F042F5C"/>
    <w:rsid w:val="7F0B68A2"/>
    <w:rsid w:val="7F115E56"/>
    <w:rsid w:val="7F2039B5"/>
    <w:rsid w:val="7F24500C"/>
    <w:rsid w:val="7F26493B"/>
    <w:rsid w:val="7F2A6727"/>
    <w:rsid w:val="7F4419AA"/>
    <w:rsid w:val="7F45214C"/>
    <w:rsid w:val="7F4E793F"/>
    <w:rsid w:val="7F550AB7"/>
    <w:rsid w:val="7F5579B0"/>
    <w:rsid w:val="7F58405D"/>
    <w:rsid w:val="7F617E8B"/>
    <w:rsid w:val="7F6A7EA9"/>
    <w:rsid w:val="7F6C6179"/>
    <w:rsid w:val="7F7807C4"/>
    <w:rsid w:val="7F7B5D9E"/>
    <w:rsid w:val="7F837A9D"/>
    <w:rsid w:val="7F947FF8"/>
    <w:rsid w:val="7F977394"/>
    <w:rsid w:val="7F9D1D7D"/>
    <w:rsid w:val="7F9E1A24"/>
    <w:rsid w:val="7FA450A9"/>
    <w:rsid w:val="7FA87001"/>
    <w:rsid w:val="7FB25208"/>
    <w:rsid w:val="7FB3330A"/>
    <w:rsid w:val="7FBE350D"/>
    <w:rsid w:val="7FCB08BB"/>
    <w:rsid w:val="7FCC0E95"/>
    <w:rsid w:val="7FD17A99"/>
    <w:rsid w:val="7FDA4E4D"/>
    <w:rsid w:val="7FE4197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outlineLvl w:val="0"/>
    </w:pPr>
    <w:rPr>
      <w:b/>
      <w:bCs/>
      <w:kern w:val="44"/>
      <w:szCs w:val="44"/>
    </w:rPr>
  </w:style>
  <w:style w:type="paragraph" w:styleId="4">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5">
    <w:name w:val="heading 3"/>
    <w:basedOn w:val="1"/>
    <w:next w:val="1"/>
    <w:qFormat/>
    <w:uiPriority w:val="0"/>
    <w:pPr>
      <w:keepNext/>
      <w:outlineLvl w:val="2"/>
    </w:pPr>
    <w:rPr>
      <w:sz w:val="44"/>
      <w:shd w:val="pct10" w:color="auto" w:fill="FFFFFF"/>
    </w:rPr>
  </w:style>
  <w:style w:type="paragraph" w:styleId="6">
    <w:name w:val="heading 6"/>
    <w:basedOn w:val="1"/>
    <w:next w:val="1"/>
    <w:qFormat/>
    <w:uiPriority w:val="1"/>
    <w:pPr>
      <w:spacing w:before="26"/>
      <w:ind w:left="115"/>
      <w:outlineLvl w:val="6"/>
    </w:pPr>
    <w:rPr>
      <w:rFonts w:ascii="宋体" w:hAnsi="宋体" w:eastAsia="宋体"/>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一级aaa"/>
    <w:basedOn w:val="3"/>
    <w:qFormat/>
    <w:uiPriority w:val="0"/>
    <w:pPr>
      <w:keepNext w:val="0"/>
      <w:keepLines w:val="0"/>
      <w:widowControl w:val="0"/>
      <w:spacing w:beforeLines="100" w:afterLines="100" w:line="360" w:lineRule="auto"/>
    </w:pPr>
    <w:rPr>
      <w:kern w:val="0"/>
      <w:sz w:val="32"/>
      <w:szCs w:val="20"/>
    </w:rPr>
  </w:style>
  <w:style w:type="paragraph" w:styleId="7">
    <w:name w:val="table of authorities"/>
    <w:basedOn w:val="1"/>
    <w:next w:val="1"/>
    <w:semiHidden/>
    <w:qFormat/>
    <w:uiPriority w:val="0"/>
    <w:pPr>
      <w:ind w:left="420" w:leftChars="200"/>
    </w:pPr>
  </w:style>
  <w:style w:type="paragraph" w:styleId="8">
    <w:name w:val="Note Heading"/>
    <w:basedOn w:val="1"/>
    <w:next w:val="1"/>
    <w:qFormat/>
    <w:uiPriority w:val="0"/>
    <w:pPr>
      <w:jc w:val="center"/>
    </w:pPr>
  </w:style>
  <w:style w:type="paragraph" w:styleId="9">
    <w:name w:val="Normal Indent"/>
    <w:basedOn w:val="1"/>
    <w:qFormat/>
    <w:uiPriority w:val="0"/>
    <w:pPr>
      <w:widowControl w:val="0"/>
      <w:spacing w:beforeLines="50" w:line="360" w:lineRule="auto"/>
      <w:ind w:firstLine="560" w:firstLineChars="200"/>
      <w:jc w:val="both"/>
    </w:pPr>
    <w:rPr>
      <w:kern w:val="2"/>
      <w:sz w:val="28"/>
    </w:rPr>
  </w:style>
  <w:style w:type="paragraph" w:styleId="10">
    <w:name w:val="caption"/>
    <w:basedOn w:val="1"/>
    <w:next w:val="1"/>
    <w:qFormat/>
    <w:uiPriority w:val="0"/>
    <w:pPr>
      <w:jc w:val="center"/>
    </w:pPr>
    <w:rPr>
      <w:rFonts w:ascii="Arial" w:hAnsi="Arial" w:cs="Arial"/>
      <w:sz w:val="24"/>
    </w:rPr>
  </w:style>
  <w:style w:type="paragraph" w:styleId="11">
    <w:name w:val="Document Map"/>
    <w:basedOn w:val="1"/>
    <w:link w:val="68"/>
    <w:qFormat/>
    <w:uiPriority w:val="0"/>
    <w:rPr>
      <w:rFonts w:ascii="宋体" w:eastAsia="宋体"/>
      <w:sz w:val="18"/>
      <w:szCs w:val="18"/>
    </w:rPr>
  </w:style>
  <w:style w:type="paragraph" w:styleId="12">
    <w:name w:val="annotation text"/>
    <w:basedOn w:val="1"/>
    <w:qFormat/>
    <w:uiPriority w:val="0"/>
  </w:style>
  <w:style w:type="paragraph" w:styleId="13">
    <w:name w:val="Body Text"/>
    <w:basedOn w:val="1"/>
    <w:next w:val="8"/>
    <w:qFormat/>
    <w:uiPriority w:val="0"/>
    <w:rPr>
      <w:rFonts w:eastAsia="楷体_GB2312"/>
      <w:spacing w:val="-8"/>
      <w:sz w:val="24"/>
    </w:rPr>
  </w:style>
  <w:style w:type="paragraph" w:styleId="14">
    <w:name w:val="Body Text Indent"/>
    <w:basedOn w:val="1"/>
    <w:qFormat/>
    <w:uiPriority w:val="0"/>
    <w:pPr>
      <w:jc w:val="center"/>
    </w:pPr>
    <w:rPr>
      <w:rFonts w:eastAsia="楷体_GB2312"/>
      <w:sz w:val="24"/>
    </w:rPr>
  </w:style>
  <w:style w:type="paragraph" w:styleId="15">
    <w:name w:val="Block Text"/>
    <w:basedOn w:val="1"/>
    <w:qFormat/>
    <w:uiPriority w:val="0"/>
    <w:pPr>
      <w:spacing w:line="440" w:lineRule="exact"/>
      <w:ind w:left="113" w:right="113" w:firstLine="567"/>
    </w:pPr>
    <w:rPr>
      <w:rFonts w:ascii="仿宋_GB2312" w:eastAsia="仿宋_GB2312"/>
      <w:sz w:val="28"/>
      <w:szCs w:val="20"/>
    </w:rPr>
  </w:style>
  <w:style w:type="paragraph" w:styleId="16">
    <w:name w:val="Plain Text"/>
    <w:basedOn w:val="1"/>
    <w:unhideWhenUsed/>
    <w:qFormat/>
    <w:uiPriority w:val="99"/>
    <w:rPr>
      <w:rFonts w:ascii="宋体" w:hAnsi="Courier New"/>
      <w:sz w:val="20"/>
      <w:szCs w:val="21"/>
    </w:rPr>
  </w:style>
  <w:style w:type="paragraph" w:styleId="17">
    <w:name w:val="Body Text Indent 2"/>
    <w:basedOn w:val="1"/>
    <w:qFormat/>
    <w:uiPriority w:val="99"/>
    <w:pPr>
      <w:spacing w:after="120" w:line="480" w:lineRule="auto"/>
      <w:ind w:left="420" w:leftChars="200"/>
    </w:pPr>
  </w:style>
  <w:style w:type="paragraph" w:styleId="18">
    <w:name w:val="Balloon Text"/>
    <w:basedOn w:val="1"/>
    <w:link w:val="66"/>
    <w:qFormat/>
    <w:uiPriority w:val="0"/>
    <w:rPr>
      <w:sz w:val="18"/>
      <w:szCs w:val="18"/>
    </w:rPr>
  </w:style>
  <w:style w:type="paragraph" w:styleId="19">
    <w:name w:val="footer"/>
    <w:basedOn w:val="1"/>
    <w:link w:val="67"/>
    <w:qFormat/>
    <w:uiPriority w:val="99"/>
    <w:pPr>
      <w:tabs>
        <w:tab w:val="center" w:pos="4153"/>
        <w:tab w:val="right" w:pos="8306"/>
      </w:tabs>
    </w:pPr>
    <w:rPr>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1">
    <w:name w:val="toc 1"/>
    <w:basedOn w:val="1"/>
    <w:next w:val="1"/>
    <w:qFormat/>
    <w:uiPriority w:val="0"/>
  </w:style>
  <w:style w:type="paragraph" w:styleId="22">
    <w:name w:val="List"/>
    <w:basedOn w:val="1"/>
    <w:qFormat/>
    <w:uiPriority w:val="0"/>
    <w:pPr>
      <w:ind w:left="200" w:hanging="200" w:hangingChars="200"/>
    </w:pPr>
  </w:style>
  <w:style w:type="paragraph" w:styleId="23">
    <w:name w:val="Normal (Web)"/>
    <w:basedOn w:val="1"/>
    <w:qFormat/>
    <w:uiPriority w:val="0"/>
    <w:pPr>
      <w:spacing w:before="100" w:beforeAutospacing="1" w:after="100" w:afterAutospacing="1"/>
    </w:pPr>
    <w:rPr>
      <w:rFonts w:ascii="宋体" w:hAnsi="宋体" w:cs="宋体"/>
      <w:sz w:val="24"/>
    </w:rPr>
  </w:style>
  <w:style w:type="paragraph" w:styleId="24">
    <w:name w:val="Body Text First Indent"/>
    <w:basedOn w:val="13"/>
    <w:qFormat/>
    <w:uiPriority w:val="0"/>
    <w:pPr>
      <w:ind w:firstLine="420" w:firstLineChars="100"/>
    </w:pPr>
    <w:rPr>
      <w:sz w:val="18"/>
    </w:rPr>
  </w:style>
  <w:style w:type="paragraph" w:styleId="25">
    <w:name w:val="Body Text First Indent 2"/>
    <w:basedOn w:val="14"/>
    <w:qFormat/>
    <w:uiPriority w:val="0"/>
    <w:pPr>
      <w:ind w:firstLine="42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FollowedHyperlink"/>
    <w:basedOn w:val="28"/>
    <w:qFormat/>
    <w:uiPriority w:val="0"/>
    <w:rPr>
      <w:color w:val="000000"/>
      <w:u w:val="none"/>
    </w:rPr>
  </w:style>
  <w:style w:type="character" w:styleId="31">
    <w:name w:val="Emphasis"/>
    <w:basedOn w:val="28"/>
    <w:qFormat/>
    <w:uiPriority w:val="0"/>
  </w:style>
  <w:style w:type="character" w:styleId="32">
    <w:name w:val="Hyperlink"/>
    <w:basedOn w:val="28"/>
    <w:qFormat/>
    <w:uiPriority w:val="0"/>
    <w:rPr>
      <w:color w:val="000000"/>
      <w:u w:val="none"/>
    </w:rPr>
  </w:style>
  <w:style w:type="character" w:styleId="33">
    <w:name w:val="annotation reference"/>
    <w:semiHidden/>
    <w:qFormat/>
    <w:uiPriority w:val="0"/>
    <w:rPr>
      <w:sz w:val="21"/>
      <w:szCs w:val="21"/>
    </w:rPr>
  </w:style>
  <w:style w:type="paragraph" w:customStyle="1" w:styleId="34">
    <w:name w:val="样式 首行缩进:  2 字符1"/>
    <w:basedOn w:val="1"/>
    <w:qFormat/>
    <w:uiPriority w:val="0"/>
    <w:pPr>
      <w:spacing w:line="360" w:lineRule="auto"/>
      <w:ind w:firstLine="480" w:firstLineChars="200"/>
    </w:pPr>
    <w:rPr>
      <w:rFonts w:cs="宋体"/>
      <w:szCs w:val="20"/>
    </w:rPr>
  </w:style>
  <w:style w:type="paragraph" w:customStyle="1" w:styleId="35">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6">
    <w:name w:val="Char Char Char Char Char2 Char Char Char Char"/>
    <w:basedOn w:val="1"/>
    <w:qFormat/>
    <w:uiPriority w:val="0"/>
    <w:pPr>
      <w:spacing w:line="360" w:lineRule="auto"/>
      <w:ind w:firstLine="200" w:firstLineChars="200"/>
    </w:pPr>
  </w:style>
  <w:style w:type="paragraph" w:customStyle="1" w:styleId="3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8">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9">
    <w:name w:val="谢—正文"/>
    <w:basedOn w:val="1"/>
    <w:qFormat/>
    <w:uiPriority w:val="0"/>
    <w:pPr>
      <w:spacing w:line="500" w:lineRule="exact"/>
      <w:ind w:firstLine="200" w:firstLineChars="200"/>
    </w:pPr>
    <w:rPr>
      <w:rFonts w:eastAsia="楷体_GB2312"/>
      <w:sz w:val="28"/>
    </w:rPr>
  </w:style>
  <w:style w:type="paragraph" w:customStyle="1" w:styleId="40">
    <w:name w:val="p0"/>
    <w:basedOn w:val="1"/>
    <w:qFormat/>
    <w:uiPriority w:val="0"/>
    <w:pPr>
      <w:spacing w:line="365" w:lineRule="atLeast"/>
      <w:ind w:left="1"/>
      <w:textAlignment w:val="bottom"/>
    </w:pPr>
    <w:rPr>
      <w:sz w:val="20"/>
      <w:szCs w:val="20"/>
    </w:rPr>
  </w:style>
  <w:style w:type="paragraph" w:customStyle="1" w:styleId="41">
    <w:name w:val="表格1"/>
    <w:basedOn w:val="16"/>
    <w:next w:val="1"/>
    <w:qFormat/>
    <w:uiPriority w:val="0"/>
  </w:style>
  <w:style w:type="paragraph" w:customStyle="1" w:styleId="42">
    <w:name w:val="0正文"/>
    <w:basedOn w:val="1"/>
    <w:semiHidden/>
    <w:qFormat/>
    <w:uiPriority w:val="99"/>
    <w:pPr>
      <w:spacing w:line="360" w:lineRule="auto"/>
      <w:ind w:firstLine="720" w:firstLineChars="200"/>
    </w:pPr>
    <w:rPr>
      <w:sz w:val="24"/>
      <w:szCs w:val="24"/>
    </w:rPr>
  </w:style>
  <w:style w:type="paragraph" w:customStyle="1" w:styleId="43">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4">
    <w:name w:val="样式4"/>
    <w:basedOn w:val="13"/>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5">
    <w:name w:val="样式1"/>
    <w:basedOn w:val="1"/>
    <w:qFormat/>
    <w:uiPriority w:val="0"/>
    <w:pPr>
      <w:jc w:val="center"/>
    </w:pPr>
    <w:rPr>
      <w:sz w:val="21"/>
      <w:szCs w:val="21"/>
    </w:rPr>
  </w:style>
  <w:style w:type="paragraph" w:customStyle="1" w:styleId="46">
    <w:name w:val="图图正文"/>
    <w:basedOn w:val="1"/>
    <w:qFormat/>
    <w:uiPriority w:val="0"/>
    <w:pPr>
      <w:widowControl w:val="0"/>
      <w:spacing w:line="360" w:lineRule="auto"/>
      <w:ind w:firstLine="200" w:firstLineChars="200"/>
      <w:jc w:val="both"/>
    </w:pPr>
    <w:rPr>
      <w:kern w:val="2"/>
      <w:sz w:val="24"/>
      <w:szCs w:val="24"/>
    </w:rPr>
  </w:style>
  <w:style w:type="paragraph" w:customStyle="1" w:styleId="47">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8">
    <w:name w:val="宗兴正文"/>
    <w:basedOn w:val="1"/>
    <w:qFormat/>
    <w:uiPriority w:val="0"/>
    <w:pPr>
      <w:ind w:firstLine="200"/>
      <w:jc w:val="both"/>
    </w:pPr>
    <w:rPr>
      <w:rFonts w:ascii="宋体" w:hAnsi="宋体"/>
      <w:spacing w:val="2"/>
      <w:sz w:val="21"/>
    </w:rPr>
  </w:style>
  <w:style w:type="paragraph" w:customStyle="1" w:styleId="49">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标题3"/>
    <w:basedOn w:val="7"/>
    <w:next w:val="5"/>
    <w:qFormat/>
    <w:uiPriority w:val="0"/>
    <w:pPr>
      <w:ind w:left="0" w:leftChars="0"/>
      <w:jc w:val="both"/>
    </w:pPr>
    <w:rPr>
      <w:rFonts w:ascii="宋体" w:hAnsi="宋体"/>
      <w:b/>
      <w:bCs/>
      <w:szCs w:val="24"/>
    </w:rPr>
  </w:style>
  <w:style w:type="paragraph" w:customStyle="1" w:styleId="52">
    <w:name w:val="标题2"/>
    <w:basedOn w:val="7"/>
    <w:qFormat/>
    <w:uiPriority w:val="0"/>
    <w:pPr>
      <w:spacing w:beforeLines="50" w:afterLines="50"/>
      <w:ind w:left="0" w:leftChars="0"/>
      <w:jc w:val="both"/>
    </w:pPr>
    <w:rPr>
      <w:rFonts w:ascii="宋体" w:hAnsi="宋体"/>
      <w:b/>
      <w:sz w:val="28"/>
      <w:szCs w:val="28"/>
    </w:rPr>
  </w:style>
  <w:style w:type="paragraph" w:customStyle="1" w:styleId="53">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4">
    <w:name w:val="正文表格"/>
    <w:basedOn w:val="1"/>
    <w:qFormat/>
    <w:uiPriority w:val="0"/>
    <w:pPr>
      <w:jc w:val="center"/>
    </w:pPr>
    <w:rPr>
      <w:rFonts w:eastAsia="楷体_GB2312"/>
      <w:bCs/>
      <w:sz w:val="24"/>
      <w:szCs w:val="20"/>
    </w:rPr>
  </w:style>
  <w:style w:type="paragraph" w:customStyle="1" w:styleId="55">
    <w:name w:val="Table Paragraph"/>
    <w:basedOn w:val="1"/>
    <w:qFormat/>
    <w:uiPriority w:val="0"/>
    <w:rPr>
      <w:rFonts w:ascii="Calibri" w:hAnsi="Calibri"/>
      <w:lang w:eastAsia="en-US"/>
    </w:rPr>
  </w:style>
  <w:style w:type="paragraph" w:customStyle="1" w:styleId="56">
    <w:name w:val="样式2"/>
    <w:basedOn w:val="1"/>
    <w:qFormat/>
    <w:uiPriority w:val="0"/>
    <w:pPr>
      <w:ind w:firstLine="964" w:firstLineChars="400"/>
    </w:pPr>
    <w:rPr>
      <w:rFonts w:ascii="黑体" w:eastAsia="黑体"/>
      <w:b/>
      <w:bCs/>
      <w:sz w:val="24"/>
    </w:rPr>
  </w:style>
  <w:style w:type="paragraph" w:customStyle="1" w:styleId="57">
    <w:name w:val="表"/>
    <w:basedOn w:val="22"/>
    <w:next w:val="1"/>
    <w:qFormat/>
    <w:uiPriority w:val="0"/>
    <w:pPr>
      <w:keepNext/>
      <w:keepLines/>
      <w:spacing w:line="240" w:lineRule="exact"/>
      <w:ind w:left="0" w:firstLine="0" w:firstLineChars="0"/>
      <w:jc w:val="center"/>
    </w:pPr>
  </w:style>
  <w:style w:type="character" w:customStyle="1" w:styleId="58">
    <w:name w:val="font31"/>
    <w:qFormat/>
    <w:uiPriority w:val="0"/>
    <w:rPr>
      <w:rFonts w:hint="eastAsia" w:ascii="宋体" w:hAnsi="宋体" w:eastAsia="宋体" w:cs="宋体"/>
      <w:color w:val="000000"/>
      <w:sz w:val="22"/>
      <w:szCs w:val="22"/>
      <w:u w:val="none"/>
    </w:rPr>
  </w:style>
  <w:style w:type="paragraph" w:customStyle="1" w:styleId="59">
    <w:name w:val="123正文"/>
    <w:basedOn w:val="1"/>
    <w:link w:val="60"/>
    <w:qFormat/>
    <w:uiPriority w:val="0"/>
    <w:pPr>
      <w:spacing w:line="360" w:lineRule="auto"/>
      <w:ind w:firstLine="480" w:firstLineChars="200"/>
    </w:pPr>
    <w:rPr>
      <w:color w:val="0000FF"/>
      <w:sz w:val="24"/>
      <w:lang w:val="zh-CN"/>
    </w:rPr>
  </w:style>
  <w:style w:type="character" w:customStyle="1" w:styleId="60">
    <w:name w:val="123正文 Char"/>
    <w:link w:val="59"/>
    <w:qFormat/>
    <w:uiPriority w:val="0"/>
    <w:rPr>
      <w:color w:val="0000FF"/>
      <w:sz w:val="24"/>
      <w:lang w:val="zh-CN"/>
    </w:rPr>
  </w:style>
  <w:style w:type="paragraph" w:customStyle="1" w:styleId="61">
    <w:name w:val="1.1."/>
    <w:basedOn w:val="62"/>
    <w:qFormat/>
    <w:uiPriority w:val="0"/>
    <w:pPr>
      <w:spacing w:beforeLines="50" w:afterLines="50" w:line="360" w:lineRule="auto"/>
    </w:pPr>
    <w:rPr>
      <w:color w:val="0000FF"/>
      <w:sz w:val="28"/>
      <w:szCs w:val="28"/>
    </w:rPr>
  </w:style>
  <w:style w:type="paragraph" w:styleId="62">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3">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5">
    <w:name w:val="正文 New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66">
    <w:name w:val="批注框文本 Char"/>
    <w:basedOn w:val="28"/>
    <w:link w:val="18"/>
    <w:qFormat/>
    <w:uiPriority w:val="0"/>
    <w:rPr>
      <w:rFonts w:ascii="Tahoma" w:hAnsi="Tahoma" w:eastAsia="微软雅黑" w:cstheme="minorBidi"/>
      <w:sz w:val="18"/>
      <w:szCs w:val="18"/>
    </w:rPr>
  </w:style>
  <w:style w:type="character" w:customStyle="1" w:styleId="67">
    <w:name w:val="页脚 Char"/>
    <w:basedOn w:val="28"/>
    <w:link w:val="19"/>
    <w:qFormat/>
    <w:uiPriority w:val="99"/>
    <w:rPr>
      <w:rFonts w:ascii="Tahoma" w:hAnsi="Tahoma" w:eastAsia="微软雅黑" w:cstheme="minorBidi"/>
      <w:sz w:val="18"/>
      <w:szCs w:val="18"/>
    </w:rPr>
  </w:style>
  <w:style w:type="character" w:customStyle="1" w:styleId="68">
    <w:name w:val="文档结构图 Char"/>
    <w:basedOn w:val="28"/>
    <w:link w:val="11"/>
    <w:qFormat/>
    <w:uiPriority w:val="0"/>
    <w:rPr>
      <w:rFonts w:ascii="宋体" w:hAnsi="Tahoma" w:cstheme="minorBidi"/>
      <w:sz w:val="18"/>
      <w:szCs w:val="18"/>
    </w:rPr>
  </w:style>
  <w:style w:type="paragraph" w:customStyle="1" w:styleId="69">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70">
    <w:name w:val="1.1.1"/>
    <w:basedOn w:val="71"/>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1">
    <w:name w:val="样式3"/>
    <w:basedOn w:val="1"/>
    <w:qFormat/>
    <w:uiPriority w:val="0"/>
    <w:pPr>
      <w:spacing w:line="360" w:lineRule="auto"/>
      <w:ind w:firstLine="200" w:firstLineChars="200"/>
    </w:pPr>
    <w:rPr>
      <w:rFonts w:eastAsia="楷体_GB2312"/>
      <w:sz w:val="28"/>
      <w:szCs w:val="20"/>
    </w:rPr>
  </w:style>
  <w:style w:type="character" w:customStyle="1" w:styleId="72">
    <w:name w:val="font11"/>
    <w:qFormat/>
    <w:uiPriority w:val="0"/>
    <w:rPr>
      <w:rFonts w:hint="eastAsia" w:ascii="宋体" w:hAnsi="宋体" w:eastAsia="宋体"/>
      <w:color w:val="000000"/>
      <w:sz w:val="21"/>
      <w:szCs w:val="21"/>
      <w:u w:val="none"/>
    </w:rPr>
  </w:style>
  <w:style w:type="paragraph" w:customStyle="1" w:styleId="73">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4">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5">
    <w:name w:val="yang正文"/>
    <w:basedOn w:val="1"/>
    <w:qFormat/>
    <w:uiPriority w:val="0"/>
    <w:pPr>
      <w:spacing w:line="360" w:lineRule="auto"/>
      <w:ind w:firstLine="480" w:firstLineChars="200"/>
    </w:pPr>
    <w:rPr>
      <w:sz w:val="24"/>
      <w:szCs w:val="24"/>
    </w:rPr>
  </w:style>
  <w:style w:type="paragraph" w:customStyle="1" w:styleId="76">
    <w:name w:val="xc正文"/>
    <w:basedOn w:val="1"/>
    <w:qFormat/>
    <w:uiPriority w:val="0"/>
    <w:pPr>
      <w:widowControl/>
      <w:autoSpaceDN w:val="0"/>
      <w:snapToGrid w:val="0"/>
      <w:spacing w:line="360" w:lineRule="auto"/>
      <w:ind w:firstLine="480" w:firstLineChars="200"/>
    </w:pPr>
    <w:rPr>
      <w:sz w:val="24"/>
    </w:rPr>
  </w:style>
  <w:style w:type="paragraph" w:customStyle="1" w:styleId="77">
    <w:name w:val="1.1"/>
    <w:basedOn w:val="4"/>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8">
    <w:name w:val="表格"/>
    <w:basedOn w:val="79"/>
    <w:qFormat/>
    <w:uiPriority w:val="0"/>
    <w:pPr>
      <w:tabs>
        <w:tab w:val="left" w:pos="940"/>
      </w:tabs>
      <w:autoSpaceDE w:val="0"/>
      <w:autoSpaceDN w:val="0"/>
      <w:adjustRightInd w:val="0"/>
      <w:jc w:val="center"/>
    </w:pPr>
    <w:rPr>
      <w:rFonts w:eastAsia="楷体_GB2312"/>
      <w:kern w:val="0"/>
    </w:rPr>
  </w:style>
  <w:style w:type="paragraph" w:customStyle="1" w:styleId="79">
    <w:name w:val="表题"/>
    <w:basedOn w:val="1"/>
    <w:qFormat/>
    <w:uiPriority w:val="0"/>
    <w:pPr>
      <w:tabs>
        <w:tab w:val="left" w:pos="940"/>
      </w:tabs>
      <w:snapToGrid w:val="0"/>
      <w:jc w:val="center"/>
    </w:pPr>
    <w:rPr>
      <w:rFonts w:eastAsia="黑体"/>
      <w:sz w:val="24"/>
    </w:rPr>
  </w:style>
  <w:style w:type="paragraph" w:customStyle="1" w:styleId="80">
    <w:name w:val="表格正文"/>
    <w:basedOn w:val="1"/>
    <w:qFormat/>
    <w:uiPriority w:val="0"/>
    <w:pPr>
      <w:spacing w:line="360" w:lineRule="exact"/>
      <w:jc w:val="center"/>
    </w:pPr>
    <w:rPr>
      <w:rFonts w:ascii="Arial" w:hAnsi="Arial"/>
      <w:szCs w:val="24"/>
    </w:rPr>
  </w:style>
  <w:style w:type="paragraph" w:customStyle="1" w:styleId="81">
    <w:name w:val="List Paragraph1"/>
    <w:basedOn w:val="1"/>
    <w:qFormat/>
    <w:uiPriority w:val="99"/>
    <w:pPr>
      <w:ind w:firstLine="420" w:firstLineChars="200"/>
    </w:pPr>
  </w:style>
  <w:style w:type="character" w:customStyle="1" w:styleId="82">
    <w:name w:val="znspantitle"/>
    <w:basedOn w:val="28"/>
    <w:qFormat/>
    <w:uiPriority w:val="0"/>
    <w:rPr>
      <w:b/>
      <w:bCs/>
      <w:color w:val="333333"/>
    </w:rPr>
  </w:style>
  <w:style w:type="character" w:customStyle="1" w:styleId="83">
    <w:name w:val="cur"/>
    <w:basedOn w:val="28"/>
    <w:qFormat/>
    <w:uiPriority w:val="0"/>
    <w:rPr>
      <w:color w:val="FFFFFF"/>
      <w:shd w:val="clear" w:fill="2F6B98"/>
    </w:rPr>
  </w:style>
  <w:style w:type="character" w:customStyle="1" w:styleId="84">
    <w:name w:val="radio-btn"/>
    <w:basedOn w:val="28"/>
    <w:qFormat/>
    <w:uiPriority w:val="0"/>
    <w:rPr>
      <w:sz w:val="21"/>
      <w:szCs w:val="21"/>
    </w:rPr>
  </w:style>
  <w:style w:type="character" w:customStyle="1" w:styleId="85">
    <w:name w:val="radio-btn1"/>
    <w:basedOn w:val="28"/>
    <w:qFormat/>
    <w:uiPriority w:val="0"/>
    <w:rPr>
      <w:sz w:val="24"/>
      <w:szCs w:val="24"/>
    </w:rPr>
  </w:style>
  <w:style w:type="character" w:customStyle="1" w:styleId="86">
    <w:name w:val="radio-btn2"/>
    <w:basedOn w:val="28"/>
    <w:qFormat/>
    <w:uiPriority w:val="0"/>
    <w:rPr>
      <w:sz w:val="24"/>
      <w:szCs w:val="24"/>
    </w:rPr>
  </w:style>
  <w:style w:type="character" w:customStyle="1" w:styleId="87">
    <w:name w:val="lishishuju"/>
    <w:basedOn w:val="28"/>
    <w:qFormat/>
    <w:uiPriority w:val="0"/>
    <w:rPr>
      <w:b/>
      <w:bCs/>
      <w:color w:val="000052"/>
      <w:sz w:val="24"/>
      <w:szCs w:val="24"/>
      <w:bdr w:val="single" w:color="E3E3E3" w:sz="6" w:space="0"/>
    </w:rPr>
  </w:style>
  <w:style w:type="character" w:customStyle="1" w:styleId="88">
    <w:name w:val="lable"/>
    <w:basedOn w:val="28"/>
    <w:qFormat/>
    <w:uiPriority w:val="0"/>
    <w:rPr>
      <w:sz w:val="24"/>
      <w:szCs w:val="24"/>
    </w:rPr>
  </w:style>
  <w:style w:type="paragraph" w:styleId="8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oleObject" Target="file:///E:\&#26032;&#24314;&#25991;&#20214;&#22841;2\&#37319;&#25496;\2019.10&#21326;&#23433;&#28330;&#28304;&#23439;-J\&#29615;&#20445;&#23616;\&#28330;&#28304;&#23439;&#35745;&#31639;.xls!&#24223;&#27700;!R8C10:R19C17" TargetMode="External"/><Relationship Id="rId11" Type="http://schemas.openxmlformats.org/officeDocument/2006/relationships/image" Target="media/image1.emf"/><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2</TotalTime>
  <ScaleCrop>false</ScaleCrop>
  <LinksUpToDate>false</LinksUpToDate>
  <CharactersWithSpaces>18783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2021-01-08T07:31:00Z</cp:lastPrinted>
  <dcterms:modified xsi:type="dcterms:W3CDTF">2021-06-26T02:25:23Z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89A39D41952C40C78B521315AA2764A7</vt:lpwstr>
  </property>
</Properties>
</file>