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Times New Roman" w:hAnsi="Times New Roman" w:eastAsia="宋体" w:cs="Times New Roman"/>
          <w:b/>
          <w:color w:val="000000" w:themeColor="text1"/>
          <w:sz w:val="44"/>
          <w:szCs w:val="44"/>
          <w14:textFill>
            <w14:solidFill>
              <w14:schemeClr w14:val="tx1"/>
            </w14:solidFill>
          </w14:textFill>
        </w:rPr>
      </w:pPr>
      <w:bookmarkStart w:id="0" w:name="项目名称"/>
    </w:p>
    <w:p>
      <w:pPr>
        <w:pStyle w:val="3"/>
        <w:rPr>
          <w:rFonts w:hint="eastAsia"/>
          <w:color w:val="000000" w:themeColor="text1"/>
          <w14:textFill>
            <w14:solidFill>
              <w14:schemeClr w14:val="tx1"/>
            </w14:solidFill>
          </w14:textFill>
        </w:rPr>
      </w:pPr>
    </w:p>
    <w:bookmarkEnd w:id="0"/>
    <w:p>
      <w:pPr>
        <w:spacing w:line="360" w:lineRule="auto"/>
        <w:jc w:val="center"/>
        <w:rPr>
          <w:rFonts w:ascii="Times New Roman" w:hAnsi="Times New Roman" w:eastAsia="宋体" w:cs="Times New Roman"/>
          <w:b/>
          <w:color w:val="000000" w:themeColor="text1"/>
          <w:sz w:val="44"/>
          <w:szCs w:val="44"/>
          <w14:textFill>
            <w14:solidFill>
              <w14:schemeClr w14:val="tx1"/>
            </w14:solidFill>
          </w14:textFill>
        </w:rPr>
      </w:pPr>
      <w:r>
        <w:rPr>
          <w:rFonts w:hint="eastAsia" w:ascii="Times New Roman" w:hAnsi="Times New Roman" w:eastAsia="宋体" w:cs="Times New Roman"/>
          <w:b/>
          <w:color w:val="000000" w:themeColor="text1"/>
          <w:sz w:val="44"/>
          <w:szCs w:val="44"/>
          <w:lang w:eastAsia="zh-CN"/>
          <w14:textFill>
            <w14:solidFill>
              <w14:schemeClr w14:val="tx1"/>
            </w14:solidFill>
          </w14:textFill>
        </w:rPr>
        <w:t>惠安县牡蛎壳固废垃圾综合处理与利用项目</w:t>
      </w:r>
      <w:r>
        <w:rPr>
          <w:rFonts w:ascii="Times New Roman" w:hAnsi="Times New Roman" w:eastAsia="宋体" w:cs="Times New Roman"/>
          <w:b/>
          <w:color w:val="000000" w:themeColor="text1"/>
          <w:sz w:val="44"/>
          <w:szCs w:val="44"/>
          <w14:textFill>
            <w14:solidFill>
              <w14:schemeClr w14:val="tx1"/>
            </w14:solidFill>
          </w14:textFill>
        </w:rPr>
        <w:t>竣工环境保护验收监测报告表</w:t>
      </w:r>
    </w:p>
    <w:p>
      <w:pPr>
        <w:jc w:val="center"/>
        <w:rPr>
          <w:rFonts w:ascii="Times New Roman" w:hAnsi="Times New Roman" w:eastAsia="宋体" w:cs="Times New Roman"/>
          <w:color w:val="000000" w:themeColor="text1"/>
          <w:sz w:val="28"/>
          <w14:textFill>
            <w14:solidFill>
              <w14:schemeClr w14:val="tx1"/>
            </w14:solidFill>
          </w14:textFill>
        </w:rPr>
      </w:pPr>
    </w:p>
    <w:p>
      <w:pPr>
        <w:pStyle w:val="22"/>
        <w:rPr>
          <w:color w:val="000000" w:themeColor="text1"/>
          <w14:textFill>
            <w14:solidFill>
              <w14:schemeClr w14:val="tx1"/>
            </w14:solidFill>
          </w14:textFill>
        </w:rPr>
      </w:pPr>
    </w:p>
    <w:p>
      <w:pPr>
        <w:jc w:val="center"/>
        <w:rPr>
          <w:rFonts w:ascii="Times New Roman" w:hAnsi="Times New Roman" w:eastAsia="宋体" w:cs="Times New Roman"/>
          <w:color w:val="000000" w:themeColor="text1"/>
          <w:sz w:val="28"/>
          <w14:textFill>
            <w14:solidFill>
              <w14:schemeClr w14:val="tx1"/>
            </w14:solidFill>
          </w14:textFill>
        </w:rPr>
      </w:pPr>
    </w:p>
    <w:p>
      <w:pPr>
        <w:jc w:val="center"/>
        <w:rPr>
          <w:rFonts w:ascii="Times New Roman" w:hAnsi="Times New Roman" w:eastAsia="宋体" w:cs="Times New Roman"/>
          <w:color w:val="000000" w:themeColor="text1"/>
          <w:sz w:val="28"/>
          <w14:textFill>
            <w14:solidFill>
              <w14:schemeClr w14:val="tx1"/>
            </w14:solidFill>
          </w14:textFill>
        </w:rPr>
      </w:pPr>
    </w:p>
    <w:p>
      <w:pPr>
        <w:pStyle w:val="22"/>
        <w:rPr>
          <w:rFonts w:ascii="Times New Roman" w:hAnsi="Times New Roman" w:eastAsia="宋体" w:cs="Times New Roman"/>
          <w:color w:val="000000" w:themeColor="text1"/>
          <w:sz w:val="28"/>
          <w14:textFill>
            <w14:solidFill>
              <w14:schemeClr w14:val="tx1"/>
            </w14:solidFill>
          </w14:textFill>
        </w:rPr>
      </w:pPr>
    </w:p>
    <w:p>
      <w:pPr>
        <w:pStyle w:val="22"/>
        <w:rPr>
          <w:rFonts w:ascii="Times New Roman" w:hAnsi="Times New Roman" w:eastAsia="宋体" w:cs="Times New Roman"/>
          <w:color w:val="000000" w:themeColor="text1"/>
          <w:sz w:val="28"/>
          <w14:textFill>
            <w14:solidFill>
              <w14:schemeClr w14:val="tx1"/>
            </w14:solidFill>
          </w14:textFill>
        </w:rPr>
      </w:pPr>
    </w:p>
    <w:p>
      <w:pPr>
        <w:pStyle w:val="23"/>
        <w:rPr>
          <w:rFonts w:ascii="Times New Roman" w:hAnsi="Times New Roman" w:eastAsia="宋体" w:cs="Times New Roman"/>
          <w:color w:val="000000" w:themeColor="text1"/>
          <w14:textFill>
            <w14:solidFill>
              <w14:schemeClr w14:val="tx1"/>
            </w14:solidFill>
          </w14:textFill>
        </w:rPr>
      </w:pPr>
    </w:p>
    <w:p>
      <w:pPr>
        <w:pStyle w:val="22"/>
        <w:ind w:firstLine="164"/>
        <w:rPr>
          <w:rFonts w:ascii="Times New Roman" w:hAnsi="Times New Roman" w:eastAsia="宋体" w:cs="Times New Roman"/>
          <w:color w:val="000000" w:themeColor="text1"/>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pStyle w:val="23"/>
        <w:rPr>
          <w:rFonts w:ascii="Times New Roman" w:hAnsi="Times New Roman" w:eastAsia="宋体" w:cs="Times New Roman"/>
          <w:color w:val="000000" w:themeColor="text1"/>
          <w:sz w:val="28"/>
          <w14:textFill>
            <w14:solidFill>
              <w14:schemeClr w14:val="tx1"/>
            </w14:solidFill>
          </w14:textFill>
        </w:rPr>
      </w:pPr>
    </w:p>
    <w:p>
      <w:pPr>
        <w:pStyle w:val="23"/>
        <w:rPr>
          <w:rFonts w:ascii="Times New Roman" w:hAnsi="Times New Roman" w:eastAsia="宋体" w:cs="Times New Roman"/>
          <w:color w:val="000000" w:themeColor="text1"/>
          <w:sz w:val="28"/>
          <w14:textFill>
            <w14:solidFill>
              <w14:schemeClr w14:val="tx1"/>
            </w14:solidFill>
          </w14:textFill>
        </w:rPr>
      </w:pPr>
    </w:p>
    <w:p>
      <w:pPr>
        <w:pStyle w:val="23"/>
        <w:rPr>
          <w:rFonts w:ascii="Times New Roman" w:hAnsi="Times New Roman" w:eastAsia="宋体" w:cs="Times New Roman"/>
          <w:color w:val="000000" w:themeColor="text1"/>
          <w:sz w:val="28"/>
          <w14:textFill>
            <w14:solidFill>
              <w14:schemeClr w14:val="tx1"/>
            </w14:solidFill>
          </w14:textFill>
        </w:rPr>
      </w:pPr>
    </w:p>
    <w:p>
      <w:pPr>
        <w:pStyle w:val="23"/>
        <w:rPr>
          <w:rFonts w:ascii="Times New Roman" w:hAnsi="Times New Roman" w:eastAsia="宋体"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14:textFill>
            <w14:solidFill>
              <w14:schemeClr w14:val="tx1"/>
            </w14:solidFill>
          </w14:textFill>
        </w:rPr>
      </w:pPr>
    </w:p>
    <w:p>
      <w:pPr>
        <w:jc w:val="center"/>
        <w:rPr>
          <w:rFonts w:ascii="Times New Roman" w:hAnsi="Times New Roman" w:eastAsia="宋体" w:cs="Times New Roman"/>
          <w:color w:val="000000" w:themeColor="text1"/>
          <w:sz w:val="36"/>
          <w:szCs w:val="36"/>
          <w:u w:val="single"/>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建设单位：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泉州玛塔生态科技有限公司</w:t>
      </w:r>
    </w:p>
    <w:p>
      <w:pPr>
        <w:jc w:val="cente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编制单位：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泉州玛塔生态科技有限公司</w:t>
      </w:r>
    </w:p>
    <w:p>
      <w:pPr>
        <w:pStyle w:val="31"/>
        <w:rPr>
          <w:rFonts w:ascii="Times New Roman" w:hAnsi="Times New Roman"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pStyle w:val="31"/>
        <w:rPr>
          <w:rFonts w:ascii="Times New Roman" w:hAnsi="Times New Roman" w:cs="Times New Roman"/>
          <w:color w:val="000000" w:themeColor="text1"/>
          <w:sz w:val="28"/>
          <w14:textFill>
            <w14:solidFill>
              <w14:schemeClr w14:val="tx1"/>
            </w14:solidFill>
          </w14:textFill>
        </w:rPr>
      </w:pPr>
    </w:p>
    <w:p>
      <w:pPr>
        <w:jc w:val="center"/>
        <w:rPr>
          <w:rFonts w:ascii="Times New Roman" w:hAnsi="Times New Roman" w:eastAsia="宋体" w:cs="Times New Roman"/>
          <w:bCs/>
          <w:color w:val="000000" w:themeColor="text1"/>
          <w:sz w:val="32"/>
          <w:szCs w:val="32"/>
          <w14:textFill>
            <w14:solidFill>
              <w14:schemeClr w14:val="tx1"/>
            </w14:solidFill>
          </w14:textFill>
        </w:rPr>
      </w:pPr>
      <w:r>
        <w:rPr>
          <w:rFonts w:ascii="Times New Roman" w:hAnsi="Times New Roman" w:eastAsia="宋体" w:cs="Times New Roman"/>
          <w:bCs/>
          <w:color w:val="000000" w:themeColor="text1"/>
          <w:sz w:val="32"/>
          <w:szCs w:val="32"/>
          <w14:textFill>
            <w14:solidFill>
              <w14:schemeClr w14:val="tx1"/>
            </w14:solidFill>
          </w14:textFill>
        </w:rPr>
        <w:t>202</w:t>
      </w:r>
      <w:r>
        <w:rPr>
          <w:rFonts w:hint="eastAsia" w:ascii="Times New Roman" w:hAnsi="Times New Roman" w:eastAsia="宋体" w:cs="Times New Roman"/>
          <w:bCs/>
          <w:color w:val="000000" w:themeColor="text1"/>
          <w:sz w:val="32"/>
          <w:szCs w:val="32"/>
          <w:lang w:val="en-US" w:eastAsia="zh-CN"/>
          <w14:textFill>
            <w14:solidFill>
              <w14:schemeClr w14:val="tx1"/>
            </w14:solidFill>
          </w14:textFill>
        </w:rPr>
        <w:t>1</w:t>
      </w:r>
      <w:r>
        <w:rPr>
          <w:rFonts w:ascii="Times New Roman" w:hAnsi="Times New Roman" w:eastAsia="宋体" w:cs="Times New Roman"/>
          <w:bCs/>
          <w:color w:val="000000" w:themeColor="text1"/>
          <w:sz w:val="32"/>
          <w:szCs w:val="32"/>
          <w14:textFill>
            <w14:solidFill>
              <w14:schemeClr w14:val="tx1"/>
            </w14:solidFill>
          </w14:textFill>
        </w:rPr>
        <w:t>年</w:t>
      </w:r>
      <w:r>
        <w:rPr>
          <w:rFonts w:hint="eastAsia" w:ascii="Times New Roman" w:hAnsi="Times New Roman" w:eastAsia="宋体" w:cs="Times New Roman"/>
          <w:bCs/>
          <w:color w:val="000000" w:themeColor="text1"/>
          <w:sz w:val="32"/>
          <w:szCs w:val="32"/>
          <w:lang w:val="en-US" w:eastAsia="zh-CN"/>
          <w14:textFill>
            <w14:solidFill>
              <w14:schemeClr w14:val="tx1"/>
            </w14:solidFill>
          </w14:textFill>
        </w:rPr>
        <w:t>06</w:t>
      </w:r>
      <w:r>
        <w:rPr>
          <w:rFonts w:ascii="Times New Roman" w:hAnsi="Times New Roman" w:eastAsia="宋体" w:cs="Times New Roman"/>
          <w:bCs/>
          <w:color w:val="000000" w:themeColor="text1"/>
          <w:sz w:val="32"/>
          <w:szCs w:val="32"/>
          <w14:textFill>
            <w14:solidFill>
              <w14:schemeClr w14:val="tx1"/>
            </w14:solidFill>
          </w14:textFill>
        </w:rPr>
        <w:t>月</w:t>
      </w:r>
    </w:p>
    <w:p>
      <w:pPr>
        <w:spacing w:line="360" w:lineRule="auto"/>
        <w:rPr>
          <w:rFonts w:ascii="Times New Roman" w:hAnsi="Times New Roman" w:eastAsia="宋体" w:cs="Times New Roman"/>
          <w:bCs/>
          <w:color w:val="0000FF"/>
          <w:sz w:val="28"/>
        </w:rPr>
        <w:sectPr>
          <w:footerReference r:id="rId3" w:type="default"/>
          <w:pgSz w:w="11906" w:h="16838"/>
          <w:pgMar w:top="1440" w:right="1440" w:bottom="1440" w:left="1701" w:header="709" w:footer="709" w:gutter="0"/>
          <w:pgNumType w:start="1"/>
          <w:cols w:space="0" w:num="1"/>
          <w:docGrid w:linePitch="360" w:charSpace="0"/>
        </w:sectPr>
      </w:pP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建设</w:t>
      </w:r>
      <w:r>
        <w:rPr>
          <w:rFonts w:ascii="Times New Roman" w:hAnsi="Times New Roman" w:eastAsia="宋体" w:cs="Times New Roman"/>
          <w:bCs/>
          <w:color w:val="000000" w:themeColor="text1"/>
          <w:sz w:val="28"/>
          <w:szCs w:val="28"/>
          <w14:textFill>
            <w14:solidFill>
              <w14:schemeClr w14:val="tx1"/>
            </w14:solidFill>
          </w14:textFill>
        </w:rPr>
        <w:t>单位法</w:t>
      </w:r>
      <w:r>
        <w:rPr>
          <w:rFonts w:ascii="Times New Roman" w:hAnsi="Times New Roman" w:eastAsia="宋体" w:cs="Times New Roman"/>
          <w:bCs/>
          <w:color w:val="000000" w:themeColor="text1"/>
          <w:sz w:val="28"/>
          <w14:textFill>
            <w14:solidFill>
              <w14:schemeClr w14:val="tx1"/>
            </w14:solidFill>
          </w14:textFill>
        </w:rPr>
        <w:t xml:space="preserve">人代表: </w:t>
      </w:r>
      <w:r>
        <w:rPr>
          <w:rFonts w:hint="default" w:ascii="Times New Roman" w:hAnsi="Times New Roman" w:eastAsia="宋体" w:cs="Times New Roman"/>
          <w:bCs/>
          <w:color w:val="000000" w:themeColor="text1"/>
          <w:sz w:val="28"/>
          <w14:textFill>
            <w14:solidFill>
              <w14:schemeClr w14:val="tx1"/>
            </w14:solidFill>
          </w14:textFill>
        </w:rPr>
        <w:t>王永</w:t>
      </w:r>
      <w:r>
        <w:rPr>
          <w:rFonts w:hint="eastAsia" w:ascii="Times New Roman" w:hAnsi="Times New Roman" w:eastAsia="宋体" w:cs="Times New Roman"/>
          <w:bCs/>
          <w:color w:val="000000" w:themeColor="text1"/>
          <w:sz w:val="28"/>
          <w:lang w:eastAsia="zh-CN"/>
          <w14:textFill>
            <w14:solidFill>
              <w14:schemeClr w14:val="tx1"/>
            </w14:solidFill>
          </w14:textFill>
        </w:rPr>
        <w:t>忠</w:t>
      </w:r>
      <w:r>
        <w:rPr>
          <w:rFonts w:ascii="Times New Roman" w:hAnsi="Times New Roman" w:eastAsia="宋体" w:cs="Times New Roman"/>
          <w:bCs/>
          <w:color w:val="000000" w:themeColor="text1"/>
          <w:sz w:val="28"/>
          <w14:textFill>
            <w14:solidFill>
              <w14:schemeClr w14:val="tx1"/>
            </w14:solidFill>
          </w14:textFill>
        </w:rPr>
        <w:t xml:space="preserve"> </w:t>
      </w: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     </w:t>
      </w: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编制单位法人代表:  </w:t>
      </w:r>
      <w:r>
        <w:rPr>
          <w:rFonts w:hint="default" w:ascii="Times New Roman" w:hAnsi="Times New Roman" w:eastAsia="宋体" w:cs="Times New Roman"/>
          <w:bCs/>
          <w:color w:val="000000" w:themeColor="text1"/>
          <w:sz w:val="28"/>
          <w14:textFill>
            <w14:solidFill>
              <w14:schemeClr w14:val="tx1"/>
            </w14:solidFill>
          </w14:textFill>
        </w:rPr>
        <w:t>王永</w:t>
      </w:r>
      <w:r>
        <w:rPr>
          <w:rFonts w:hint="eastAsia" w:ascii="Times New Roman" w:hAnsi="Times New Roman" w:eastAsia="宋体" w:cs="Times New Roman"/>
          <w:bCs/>
          <w:color w:val="000000" w:themeColor="text1"/>
          <w:sz w:val="28"/>
          <w:lang w:eastAsia="zh-CN"/>
          <w14:textFill>
            <w14:solidFill>
              <w14:schemeClr w14:val="tx1"/>
            </w14:solidFill>
          </w14:textFill>
        </w:rPr>
        <w:t>忠</w:t>
      </w: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        </w:t>
      </w:r>
    </w:p>
    <w:p>
      <w:pPr>
        <w:spacing w:line="360" w:lineRule="auto"/>
        <w:rPr>
          <w:rFonts w:hint="eastAsia" w:ascii="Times New Roman" w:hAnsi="Times New Roman" w:eastAsia="宋体" w:cs="Times New Roman"/>
          <w:bCs/>
          <w:color w:val="000000" w:themeColor="text1"/>
          <w:sz w:val="28"/>
          <w:lang w:val="en-US" w:eastAsia="zh-CN"/>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项目负责人: </w:t>
      </w:r>
      <w:r>
        <w:rPr>
          <w:rFonts w:hint="default" w:ascii="Times New Roman" w:hAnsi="Times New Roman" w:eastAsia="宋体" w:cs="Times New Roman"/>
          <w:bCs/>
          <w:color w:val="000000" w:themeColor="text1"/>
          <w:sz w:val="28"/>
          <w14:textFill>
            <w14:solidFill>
              <w14:schemeClr w14:val="tx1"/>
            </w14:solidFill>
          </w14:textFill>
        </w:rPr>
        <w:t>王永</w:t>
      </w:r>
      <w:r>
        <w:rPr>
          <w:rFonts w:hint="eastAsia" w:ascii="Times New Roman" w:hAnsi="Times New Roman" w:eastAsia="宋体" w:cs="Times New Roman"/>
          <w:bCs/>
          <w:color w:val="000000" w:themeColor="text1"/>
          <w:sz w:val="28"/>
          <w:lang w:eastAsia="zh-CN"/>
          <w14:textFill>
            <w14:solidFill>
              <w14:schemeClr w14:val="tx1"/>
            </w14:solidFill>
          </w14:textFill>
        </w:rPr>
        <w:t>忠</w:t>
      </w:r>
    </w:p>
    <w:p>
      <w:pPr>
        <w:spacing w:line="360" w:lineRule="auto"/>
        <w:rPr>
          <w:rFonts w:hint="eastAsia" w:ascii="Times New Roman" w:hAnsi="Times New Roman" w:eastAsia="宋体" w:cs="Times New Roman"/>
          <w:bCs/>
          <w:color w:val="000000" w:themeColor="text1"/>
          <w:sz w:val="28"/>
          <w:lang w:val="en-US" w:eastAsia="zh-CN"/>
          <w14:textFill>
            <w14:solidFill>
              <w14:schemeClr w14:val="tx1"/>
            </w14:solidFill>
          </w14:textFill>
        </w:rPr>
      </w:pP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填表人：</w:t>
      </w:r>
      <w:r>
        <w:rPr>
          <w:rFonts w:hint="default" w:ascii="Times New Roman" w:hAnsi="Times New Roman" w:eastAsia="宋体" w:cs="Times New Roman"/>
          <w:bCs/>
          <w:color w:val="000000" w:themeColor="text1"/>
          <w:sz w:val="28"/>
          <w14:textFill>
            <w14:solidFill>
              <w14:schemeClr w14:val="tx1"/>
            </w14:solidFill>
          </w14:textFill>
        </w:rPr>
        <w:t>王永</w:t>
      </w:r>
      <w:r>
        <w:rPr>
          <w:rFonts w:hint="eastAsia" w:ascii="Times New Roman" w:hAnsi="Times New Roman" w:eastAsia="宋体" w:cs="Times New Roman"/>
          <w:bCs/>
          <w:color w:val="000000" w:themeColor="text1"/>
          <w:sz w:val="28"/>
          <w:lang w:eastAsia="zh-CN"/>
          <w14:textFill>
            <w14:solidFill>
              <w14:schemeClr w14:val="tx1"/>
            </w14:solidFill>
          </w14:textFill>
        </w:rPr>
        <w:t>忠</w:t>
      </w:r>
    </w:p>
    <w:p>
      <w:pPr>
        <w:spacing w:line="360" w:lineRule="auto"/>
        <w:rPr>
          <w:rFonts w:ascii="Times New Roman" w:hAnsi="Times New Roman" w:eastAsia="宋体" w:cs="Times New Roman"/>
          <w:color w:val="000000" w:themeColor="text1"/>
          <w:sz w:val="28"/>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ab/>
      </w: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spacing w:line="360" w:lineRule="auto"/>
        <w:rPr>
          <w:rFonts w:ascii="Times New Roman" w:hAnsi="Times New Roman" w:eastAsia="宋体" w:cs="Times New Roman"/>
          <w:color w:val="0000FF"/>
          <w:sz w:val="28"/>
        </w:rPr>
      </w:pPr>
    </w:p>
    <w:tbl>
      <w:tblPr>
        <w:tblStyle w:val="25"/>
        <w:tblW w:w="9900" w:type="dxa"/>
        <w:tblInd w:w="-47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010"/>
        <w:gridCol w:w="48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建设单位：</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泉州玛塔生态科技有限公司</w:t>
            </w:r>
          </w:p>
        </w:tc>
        <w:tc>
          <w:tcPr>
            <w:tcW w:w="489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编制单位：</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泉州玛塔生态科技有限公司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电话:</w:t>
            </w:r>
            <w:bookmarkStart w:id="1" w:name="联系电话"/>
            <w:r>
              <w:rPr>
                <w:rFonts w:hint="default" w:ascii="Times New Roman" w:hAnsi="Times New Roman" w:eastAsia="宋体" w:cs="Times New Roman"/>
                <w:color w:val="000000" w:themeColor="text1"/>
                <w:sz w:val="28"/>
                <w:lang w:val="en-US" w:eastAsia="zh-CN"/>
                <w14:textFill>
                  <w14:solidFill>
                    <w14:schemeClr w14:val="tx1"/>
                  </w14:solidFill>
                </w14:textFill>
              </w:rPr>
              <w:t>15559582999</w:t>
            </w:r>
            <w:bookmarkEnd w:id="1"/>
          </w:p>
        </w:tc>
        <w:tc>
          <w:tcPr>
            <w:tcW w:w="489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电话:</w:t>
            </w:r>
            <w:r>
              <w:rPr>
                <w:rFonts w:hint="default" w:ascii="Times New Roman" w:hAnsi="Times New Roman" w:eastAsia="宋体" w:cs="Times New Roman"/>
                <w:color w:val="000000" w:themeColor="text1"/>
                <w:sz w:val="28"/>
                <w:lang w:val="en-US" w:eastAsia="zh-CN"/>
                <w14:textFill>
                  <w14:solidFill>
                    <w14:schemeClr w14:val="tx1"/>
                  </w14:solidFill>
                </w14:textFill>
              </w:rPr>
              <w:t>15559582999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传真:     /</w:t>
            </w:r>
          </w:p>
        </w:tc>
        <w:tc>
          <w:tcPr>
            <w:tcW w:w="489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传真: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邮编:362101</w:t>
            </w:r>
          </w:p>
        </w:tc>
        <w:tc>
          <w:tcPr>
            <w:tcW w:w="489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邮编:362101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1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 xml:space="preserve">地址: </w:t>
            </w:r>
          </w:p>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福建省泉州市惠安县辋川镇轻工园区</w:t>
            </w:r>
          </w:p>
        </w:tc>
        <w:tc>
          <w:tcPr>
            <w:tcW w:w="489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 xml:space="preserve">地址: </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福建省泉州市惠安县辋川镇轻工园区</w:t>
            </w:r>
          </w:p>
        </w:tc>
      </w:tr>
    </w:tbl>
    <w:p>
      <w:pPr>
        <w:jc w:val="center"/>
        <w:rPr>
          <w:rFonts w:ascii="Times New Roman" w:hAnsi="Times New Roman" w:eastAsia="宋体" w:cs="Times New Roman"/>
          <w:color w:val="0000FF"/>
          <w:sz w:val="21"/>
          <w:szCs w:val="21"/>
        </w:rPr>
        <w:sectPr>
          <w:footerReference r:id="rId4" w:type="default"/>
          <w:pgSz w:w="11906" w:h="16838"/>
          <w:pgMar w:top="1440" w:right="1440" w:bottom="1440" w:left="1701" w:header="709" w:footer="709" w:gutter="0"/>
          <w:pgNumType w:start="1"/>
          <w:cols w:space="0" w:num="1"/>
          <w:docGrid w:linePitch="360" w:charSpace="0"/>
        </w:sectPr>
      </w:pPr>
    </w:p>
    <w:tbl>
      <w:tblPr>
        <w:tblStyle w:val="24"/>
        <w:tblpPr w:leftFromText="180" w:rightFromText="180" w:vertAnchor="page" w:horzAnchor="page" w:tblpX="1614" w:tblpY="1803"/>
        <w:tblOverlap w:val="never"/>
        <w:tblW w:w="892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11"/>
        <w:gridCol w:w="2085"/>
        <w:gridCol w:w="1755"/>
        <w:gridCol w:w="1273"/>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建设项目名称</w:t>
            </w:r>
          </w:p>
        </w:tc>
        <w:tc>
          <w:tcPr>
            <w:tcW w:w="6913"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惠安县牡蛎壳固废垃圾综合处理与利用项目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建设单位名称</w:t>
            </w:r>
          </w:p>
        </w:tc>
        <w:tc>
          <w:tcPr>
            <w:tcW w:w="6913"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泉州玛塔生态科技有限公司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建设项目性质</w:t>
            </w:r>
          </w:p>
        </w:tc>
        <w:tc>
          <w:tcPr>
            <w:tcW w:w="6913"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新</w:t>
            </w:r>
            <w:r>
              <w:rPr>
                <w:rFonts w:hint="default" w:ascii="Times New Roman" w:hAnsi="Times New Roman" w:eastAsia="宋体" w:cs="Times New Roman"/>
                <w:color w:val="auto"/>
                <w:sz w:val="21"/>
                <w:szCs w:val="21"/>
              </w:rPr>
              <w:t>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9"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建设地点</w:t>
            </w:r>
          </w:p>
        </w:tc>
        <w:tc>
          <w:tcPr>
            <w:tcW w:w="6913" w:type="dxa"/>
            <w:gridSpan w:val="5"/>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福建省泉州市惠安县辋川镇轻工园区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主要产品名称</w:t>
            </w:r>
          </w:p>
        </w:tc>
        <w:tc>
          <w:tcPr>
            <w:tcW w:w="6913" w:type="dxa"/>
            <w:gridSpan w:val="5"/>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土壤改良剂、重金属污染耕地修复剂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建设规模</w:t>
            </w:r>
          </w:p>
        </w:tc>
        <w:tc>
          <w:tcPr>
            <w:tcW w:w="6913"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年产</w:t>
            </w:r>
            <w:r>
              <w:rPr>
                <w:rFonts w:hint="eastAsia" w:ascii="Times New Roman" w:hAnsi="Times New Roman" w:eastAsia="宋体" w:cs="Times New Roman"/>
                <w:color w:val="auto"/>
                <w:sz w:val="21"/>
                <w:szCs w:val="21"/>
                <w:lang w:val="en-US" w:eastAsia="zh-CN"/>
              </w:rPr>
              <w:t>10万吨</w:t>
            </w:r>
            <w:r>
              <w:rPr>
                <w:rFonts w:hint="eastAsia" w:ascii="Times New Roman" w:hAnsi="Times New Roman" w:eastAsia="宋体" w:cs="Times New Roman"/>
                <w:color w:val="auto"/>
                <w:sz w:val="21"/>
                <w:szCs w:val="21"/>
                <w:lang w:eastAsia="zh-CN"/>
              </w:rPr>
              <w:t>牡蛎壳土壤改良剂、重金属污染耕地修复剂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trPr>
        <w:tc>
          <w:tcPr>
            <w:tcW w:w="2011" w:type="dxa"/>
            <w:vAlign w:val="center"/>
          </w:tcPr>
          <w:p>
            <w:pPr>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实际产能</w:t>
            </w:r>
          </w:p>
        </w:tc>
        <w:tc>
          <w:tcPr>
            <w:tcW w:w="6913" w:type="dxa"/>
            <w:gridSpan w:val="5"/>
            <w:vAlign w:val="center"/>
          </w:tcPr>
          <w:p>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年产</w:t>
            </w:r>
            <w:r>
              <w:rPr>
                <w:rFonts w:hint="eastAsia" w:ascii="Times New Roman" w:hAnsi="Times New Roman" w:eastAsia="宋体" w:cs="Times New Roman"/>
                <w:color w:val="auto"/>
                <w:sz w:val="21"/>
                <w:szCs w:val="21"/>
                <w:lang w:val="en-US" w:eastAsia="zh-CN"/>
              </w:rPr>
              <w:t>10万吨</w:t>
            </w:r>
            <w:r>
              <w:rPr>
                <w:rFonts w:hint="eastAsia" w:ascii="Times New Roman" w:hAnsi="Times New Roman" w:eastAsia="宋体" w:cs="Times New Roman"/>
                <w:color w:val="auto"/>
                <w:sz w:val="21"/>
                <w:szCs w:val="21"/>
                <w:lang w:eastAsia="zh-CN"/>
              </w:rPr>
              <w:t>牡蛎壳土壤改良剂、重金属污染耕地修复剂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建设项目环评时间</w:t>
            </w:r>
          </w:p>
        </w:tc>
        <w:tc>
          <w:tcPr>
            <w:tcW w:w="208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lang w:val="en-US" w:eastAsia="zh-CN"/>
              </w:rPr>
              <w:t>19</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10</w:t>
            </w:r>
            <w:r>
              <w:rPr>
                <w:rFonts w:ascii="Times New Roman" w:hAnsi="Times New Roman" w:eastAsia="宋体" w:cs="Times New Roman"/>
                <w:color w:val="auto"/>
                <w:sz w:val="21"/>
                <w:szCs w:val="21"/>
              </w:rPr>
              <w:t>月</w:t>
            </w:r>
          </w:p>
        </w:tc>
        <w:tc>
          <w:tcPr>
            <w:tcW w:w="1755"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开工建设时间</w:t>
            </w:r>
          </w:p>
        </w:tc>
        <w:tc>
          <w:tcPr>
            <w:tcW w:w="3073" w:type="dxa"/>
            <w:gridSpan w:val="3"/>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lang w:val="en-US" w:eastAsia="zh-CN"/>
              </w:rPr>
              <w:t>20</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竣工时间</w:t>
            </w:r>
          </w:p>
        </w:tc>
        <w:tc>
          <w:tcPr>
            <w:tcW w:w="2085" w:type="dxa"/>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2020年12月</w:t>
            </w:r>
          </w:p>
        </w:tc>
        <w:tc>
          <w:tcPr>
            <w:tcW w:w="1755"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验收现场监测</w:t>
            </w:r>
          </w:p>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时间</w:t>
            </w:r>
          </w:p>
        </w:tc>
        <w:tc>
          <w:tcPr>
            <w:tcW w:w="3073" w:type="dxa"/>
            <w:gridSpan w:val="3"/>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2021.03.09-2021.03.10</w:t>
            </w:r>
          </w:p>
          <w:p>
            <w:pPr>
              <w:jc w:val="center"/>
              <w:rPr>
                <w:rFonts w:hint="default"/>
                <w:lang w:val="en-US" w:eastAsia="zh-CN"/>
              </w:rPr>
            </w:pPr>
            <w:r>
              <w:rPr>
                <w:rFonts w:hint="eastAsia" w:ascii="Times New Roman" w:hAnsi="Times New Roman" w:eastAsia="宋体" w:cs="Times New Roman"/>
                <w:color w:val="auto"/>
                <w:sz w:val="21"/>
                <w:szCs w:val="21"/>
                <w:lang w:val="en-US" w:eastAsia="zh-CN"/>
              </w:rPr>
              <w:t>2021.05.11-2021.05.12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24" w:hRule="atLeast"/>
        </w:trPr>
        <w:tc>
          <w:tcPr>
            <w:tcW w:w="2011"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环评报告表</w:t>
            </w:r>
          </w:p>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审批部门</w:t>
            </w:r>
          </w:p>
        </w:tc>
        <w:tc>
          <w:tcPr>
            <w:tcW w:w="2085"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泉州市生态环境局</w:t>
            </w:r>
          </w:p>
        </w:tc>
        <w:tc>
          <w:tcPr>
            <w:tcW w:w="1755" w:type="dxa"/>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环评报告表</w:t>
            </w:r>
          </w:p>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编制单位</w:t>
            </w:r>
          </w:p>
        </w:tc>
        <w:tc>
          <w:tcPr>
            <w:tcW w:w="3073" w:type="dxa"/>
            <w:gridSpan w:val="3"/>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漳州源晟环保科技有限公司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59"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环保设施设计单位</w:t>
            </w:r>
          </w:p>
        </w:tc>
        <w:tc>
          <w:tcPr>
            <w:tcW w:w="208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自建</w:t>
            </w:r>
          </w:p>
        </w:tc>
        <w:tc>
          <w:tcPr>
            <w:tcW w:w="17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环保设施施工</w:t>
            </w:r>
          </w:p>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单位</w:t>
            </w:r>
          </w:p>
        </w:tc>
        <w:tc>
          <w:tcPr>
            <w:tcW w:w="3073" w:type="dxa"/>
            <w:gridSpan w:val="3"/>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自建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投资总概算</w:t>
            </w:r>
          </w:p>
        </w:tc>
        <w:tc>
          <w:tcPr>
            <w:tcW w:w="208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5000</w:t>
            </w:r>
            <w:r>
              <w:rPr>
                <w:rFonts w:ascii="Times New Roman" w:hAnsi="Times New Roman" w:eastAsia="宋体" w:cs="Times New Roman"/>
                <w:color w:val="000000" w:themeColor="text1"/>
                <w:sz w:val="21"/>
                <w:szCs w:val="21"/>
                <w14:textFill>
                  <w14:solidFill>
                    <w14:schemeClr w14:val="tx1"/>
                  </w14:solidFill>
                </w14:textFill>
              </w:rPr>
              <w:t>万元</w:t>
            </w:r>
          </w:p>
        </w:tc>
        <w:tc>
          <w:tcPr>
            <w:tcW w:w="17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环保投资总概算</w:t>
            </w:r>
          </w:p>
        </w:tc>
        <w:tc>
          <w:tcPr>
            <w:tcW w:w="1273"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55</w:t>
            </w:r>
            <w:r>
              <w:rPr>
                <w:rFonts w:ascii="Times New Roman" w:hAnsi="Times New Roman" w:eastAsia="宋体" w:cs="Times New Roman"/>
                <w:color w:val="000000" w:themeColor="text1"/>
                <w:sz w:val="21"/>
                <w:szCs w:val="21"/>
                <w14:textFill>
                  <w14:solidFill>
                    <w14:schemeClr w14:val="tx1"/>
                  </w14:solidFill>
                </w14:textFill>
              </w:rPr>
              <w:t>万元</w:t>
            </w:r>
          </w:p>
        </w:tc>
        <w:tc>
          <w:tcPr>
            <w:tcW w:w="76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实际总概算</w:t>
            </w:r>
          </w:p>
        </w:tc>
        <w:tc>
          <w:tcPr>
            <w:tcW w:w="208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5000</w:t>
            </w:r>
            <w:r>
              <w:rPr>
                <w:rFonts w:ascii="Times New Roman" w:hAnsi="Times New Roman" w:eastAsia="宋体" w:cs="Times New Roman"/>
                <w:color w:val="000000" w:themeColor="text1"/>
                <w:sz w:val="21"/>
                <w:szCs w:val="21"/>
                <w14:textFill>
                  <w14:solidFill>
                    <w14:schemeClr w14:val="tx1"/>
                  </w14:solidFill>
                </w14:textFill>
              </w:rPr>
              <w:t>万元</w:t>
            </w:r>
          </w:p>
        </w:tc>
        <w:tc>
          <w:tcPr>
            <w:tcW w:w="175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环保投资</w:t>
            </w:r>
          </w:p>
        </w:tc>
        <w:tc>
          <w:tcPr>
            <w:tcW w:w="1273"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55</w:t>
            </w:r>
            <w:r>
              <w:rPr>
                <w:rFonts w:ascii="Times New Roman" w:hAnsi="Times New Roman" w:eastAsia="宋体" w:cs="Times New Roman"/>
                <w:color w:val="000000" w:themeColor="text1"/>
                <w:sz w:val="21"/>
                <w:szCs w:val="21"/>
                <w14:textFill>
                  <w14:solidFill>
                    <w14:schemeClr w14:val="tx1"/>
                  </w14:solidFill>
                </w14:textFill>
              </w:rPr>
              <w:t>万元</w:t>
            </w:r>
          </w:p>
        </w:tc>
        <w:tc>
          <w:tcPr>
            <w:tcW w:w="76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r>
              <w:rPr>
                <w:rFonts w:ascii="Times New Roman" w:hAnsi="Times New Roman" w:eastAsia="宋体" w:cs="Times New Roman"/>
                <w:color w:val="000000" w:themeColor="text1"/>
                <w:sz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335"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验收监测依据</w:t>
            </w:r>
          </w:p>
        </w:tc>
        <w:tc>
          <w:tcPr>
            <w:tcW w:w="6913" w:type="dxa"/>
            <w:gridSpan w:val="5"/>
            <w:vAlign w:val="center"/>
          </w:tcPr>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1、《建设项目竣工环境保护验收暂行办法》国环规环评【2017】4号；</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2、《建设项目环境保护管理条例》修订（第682号令）；</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3、《建设项目竣工环境保护验收技术指南污染影响类》；</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4、《中华人民共和国环境保护法》，2014 年4 月24 日修订；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5、《中华人民共和国环境影响评价法》，201</w:t>
            </w:r>
            <w:r>
              <w:rPr>
                <w:rFonts w:hint="eastAsia" w:ascii="Times New Roman" w:hAnsi="Times New Roman" w:eastAsia="宋体" w:cs="Times New Roman"/>
                <w:color w:val="auto"/>
                <w:sz w:val="21"/>
                <w:szCs w:val="21"/>
                <w:lang w:val="en-US" w:eastAsia="zh-CN"/>
              </w:rPr>
              <w:t>8</w:t>
            </w:r>
            <w:r>
              <w:rPr>
                <w:rFonts w:ascii="Times New Roman" w:hAnsi="Times New Roman" w:eastAsia="宋体" w:cs="Times New Roman"/>
                <w:color w:val="auto"/>
                <w:sz w:val="21"/>
                <w:szCs w:val="21"/>
              </w:rPr>
              <w:t xml:space="preserve"> 年修订；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6、《中华人民共和国大气污染防治法》，201</w:t>
            </w:r>
            <w:r>
              <w:rPr>
                <w:rFonts w:hint="eastAsia" w:ascii="Times New Roman" w:hAnsi="Times New Roman" w:eastAsia="宋体" w:cs="Times New Roman"/>
                <w:color w:val="auto"/>
                <w:sz w:val="21"/>
                <w:szCs w:val="21"/>
                <w:lang w:val="en-US" w:eastAsia="zh-CN"/>
              </w:rPr>
              <w:t>8</w:t>
            </w:r>
            <w:r>
              <w:rPr>
                <w:rFonts w:ascii="Times New Roman" w:hAnsi="Times New Roman" w:eastAsia="宋体" w:cs="Times New Roman"/>
                <w:color w:val="auto"/>
                <w:sz w:val="21"/>
                <w:szCs w:val="21"/>
              </w:rPr>
              <w:t xml:space="preserve"> 年修订；</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7、《中华人民共和国环境噪声污染防治法》，</w:t>
            </w:r>
            <w:r>
              <w:rPr>
                <w:rFonts w:hint="eastAsia" w:ascii="Times New Roman" w:hAnsi="Times New Roman" w:eastAsia="宋体" w:cs="Times New Roman"/>
                <w:color w:val="auto"/>
                <w:sz w:val="21"/>
                <w:szCs w:val="21"/>
                <w:lang w:val="en-US" w:eastAsia="zh-CN"/>
              </w:rPr>
              <w:t>2018</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修订</w:t>
            </w:r>
            <w:r>
              <w:rPr>
                <w:rFonts w:ascii="Times New Roman" w:hAnsi="Times New Roman" w:eastAsia="宋体" w:cs="Times New Roman"/>
                <w:color w:val="auto"/>
                <w:sz w:val="21"/>
                <w:szCs w:val="21"/>
              </w:rPr>
              <w:t>；</w:t>
            </w:r>
          </w:p>
          <w:p>
            <w:pPr>
              <w:pStyle w:val="12"/>
              <w:rPr>
                <w:color w:val="auto"/>
              </w:rPr>
            </w:pPr>
            <w:r>
              <w:rPr>
                <w:rFonts w:hint="eastAsia" w:ascii="Times New Roman" w:hAnsi="Times New Roman" w:eastAsia="宋体" w:cs="Times New Roman"/>
                <w:color w:val="auto"/>
                <w:sz w:val="21"/>
                <w:szCs w:val="21"/>
                <w:lang w:val="en-US" w:eastAsia="zh-CN"/>
              </w:rPr>
              <w:t>8、</w:t>
            </w:r>
            <w:r>
              <w:rPr>
                <w:rFonts w:ascii="Times New Roman" w:hAnsi="Times New Roman" w:eastAsia="宋体" w:cs="Times New Roman"/>
                <w:color w:val="auto"/>
                <w:sz w:val="21"/>
                <w:szCs w:val="21"/>
              </w:rPr>
              <w:t>《中华人民共和国</w:t>
            </w:r>
            <w:r>
              <w:rPr>
                <w:rFonts w:hint="eastAsia" w:ascii="Times New Roman" w:hAnsi="Times New Roman" w:eastAsia="宋体" w:cs="Times New Roman"/>
                <w:color w:val="auto"/>
                <w:sz w:val="21"/>
                <w:szCs w:val="21"/>
                <w:lang w:val="en-US" w:eastAsia="zh-CN"/>
              </w:rPr>
              <w:t>水环境</w:t>
            </w:r>
            <w:r>
              <w:rPr>
                <w:rFonts w:ascii="Times New Roman" w:hAnsi="Times New Roman" w:eastAsia="宋体" w:cs="Times New Roman"/>
                <w:color w:val="auto"/>
                <w:sz w:val="21"/>
                <w:szCs w:val="21"/>
              </w:rPr>
              <w:t>污染防治法》，</w:t>
            </w:r>
            <w:r>
              <w:rPr>
                <w:rFonts w:hint="eastAsia" w:ascii="Times New Roman" w:hAnsi="Times New Roman" w:eastAsia="宋体" w:cs="Times New Roman"/>
                <w:color w:val="auto"/>
                <w:sz w:val="21"/>
                <w:szCs w:val="21"/>
                <w:lang w:val="en-US" w:eastAsia="zh-CN"/>
              </w:rPr>
              <w:t>2017</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lang w:val="en-US" w:eastAsia="zh-CN"/>
              </w:rPr>
              <w:t>修订</w:t>
            </w:r>
          </w:p>
          <w:p>
            <w:pPr>
              <w:ind w:left="420" w:hanging="420" w:hanging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9</w:t>
            </w:r>
            <w:r>
              <w:rPr>
                <w:rFonts w:ascii="Times New Roman" w:hAnsi="Times New Roman" w:eastAsia="宋体" w:cs="Times New Roman"/>
                <w:color w:val="auto"/>
                <w:sz w:val="21"/>
                <w:szCs w:val="21"/>
              </w:rPr>
              <w:t>、《中华人民共和国固体废物污染环境防治法》，</w:t>
            </w:r>
            <w:r>
              <w:rPr>
                <w:rFonts w:hint="eastAsia" w:ascii="Times New Roman" w:hAnsi="Times New Roman" w:eastAsia="宋体" w:cs="Times New Roman"/>
                <w:color w:val="auto"/>
                <w:sz w:val="21"/>
                <w:szCs w:val="21"/>
                <w:lang w:val="en-US" w:eastAsia="zh-CN"/>
              </w:rPr>
              <w:t>2020</w:t>
            </w:r>
            <w:r>
              <w:rPr>
                <w:rFonts w:ascii="Times New Roman" w:hAnsi="Times New Roman" w:eastAsia="宋体" w:cs="Times New Roman"/>
                <w:color w:val="auto"/>
                <w:sz w:val="21"/>
                <w:szCs w:val="21"/>
              </w:rPr>
              <w:t xml:space="preserve"> 年修订；</w:t>
            </w:r>
          </w:p>
          <w:p>
            <w:pPr>
              <w:ind w:left="420" w:hanging="420" w:hanging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r>
              <w:rPr>
                <w:rFonts w:ascii="Times New Roman" w:hAnsi="Times New Roman" w:eastAsia="宋体" w:cs="Times New Roman"/>
                <w:color w:val="auto"/>
                <w:sz w:val="21"/>
                <w:szCs w:val="21"/>
              </w:rPr>
              <w:t>、《中华人民共和国清洁生产促进法》，2012 年修正；</w:t>
            </w:r>
          </w:p>
          <w:p>
            <w:pPr>
              <w:ind w:left="420" w:hanging="420" w:hanging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1</w:t>
            </w:r>
            <w:r>
              <w:rPr>
                <w:rFonts w:ascii="Times New Roman" w:hAnsi="Times New Roman" w:eastAsia="宋体" w:cs="Times New Roman"/>
                <w:color w:val="auto"/>
                <w:sz w:val="21"/>
                <w:szCs w:val="21"/>
              </w:rPr>
              <w:t>、《产业结构调整指导目录（201</w:t>
            </w:r>
            <w:r>
              <w:rPr>
                <w:rFonts w:hint="eastAsia" w:ascii="Times New Roman" w:hAnsi="Times New Roman" w:eastAsia="宋体" w:cs="Times New Roman"/>
                <w:color w:val="auto"/>
                <w:sz w:val="21"/>
                <w:szCs w:val="21"/>
                <w:lang w:val="en-US" w:eastAsia="zh-CN"/>
              </w:rPr>
              <w:t>9</w:t>
            </w:r>
            <w:r>
              <w:rPr>
                <w:rFonts w:ascii="Times New Roman" w:hAnsi="Times New Roman" w:eastAsia="宋体" w:cs="Times New Roman"/>
                <w:color w:val="auto"/>
                <w:sz w:val="21"/>
                <w:szCs w:val="21"/>
              </w:rPr>
              <w:t>年本）》（201</w:t>
            </w:r>
            <w:r>
              <w:rPr>
                <w:rFonts w:hint="eastAsia" w:ascii="Times New Roman" w:hAnsi="Times New Roman" w:eastAsia="宋体" w:cs="Times New Roman"/>
                <w:color w:val="auto"/>
                <w:sz w:val="21"/>
                <w:szCs w:val="21"/>
                <w:lang w:val="en-US" w:eastAsia="zh-CN"/>
              </w:rPr>
              <w:t>9</w:t>
            </w:r>
            <w:r>
              <w:rPr>
                <w:rFonts w:ascii="Times New Roman" w:hAnsi="Times New Roman" w:eastAsia="宋体" w:cs="Times New Roman"/>
                <w:color w:val="auto"/>
                <w:sz w:val="21"/>
                <w:szCs w:val="21"/>
              </w:rPr>
              <w:t xml:space="preserve"> 年修正）；</w:t>
            </w:r>
          </w:p>
          <w:p>
            <w:pPr>
              <w:ind w:left="420" w:hanging="420" w:hangingChars="200"/>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2</w:t>
            </w:r>
            <w:r>
              <w:rPr>
                <w:rFonts w:ascii="Times New Roman" w:hAnsi="Times New Roman" w:eastAsia="宋体" w:cs="Times New Roman"/>
                <w:color w:val="auto"/>
                <w:sz w:val="21"/>
                <w:szCs w:val="21"/>
              </w:rPr>
              <w:t>、《福建</w:t>
            </w:r>
            <w:r>
              <w:rPr>
                <w:rFonts w:hint="eastAsia" w:ascii="Times New Roman" w:hAnsi="Times New Roman" w:eastAsia="宋体" w:cs="Times New Roman"/>
                <w:color w:val="auto"/>
                <w:sz w:val="21"/>
                <w:szCs w:val="21"/>
              </w:rPr>
              <w:t>省环境保护条例》，2012 年3 月31 日实施。</w:t>
            </w:r>
          </w:p>
          <w:p>
            <w:pPr>
              <w:ind w:left="420" w:hanging="420" w:hangingChars="200"/>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惠安县牡蛎壳固废垃圾综合处理与利用项目</w:t>
            </w:r>
            <w:r>
              <w:rPr>
                <w:rFonts w:hint="eastAsia" w:ascii="Times New Roman" w:hAnsi="Times New Roman" w:eastAsia="宋体" w:cs="Times New Roman"/>
                <w:color w:val="auto"/>
                <w:sz w:val="21"/>
                <w:szCs w:val="21"/>
              </w:rPr>
              <w:t>环境影响报告表》；</w:t>
            </w:r>
          </w:p>
          <w:p>
            <w:pPr>
              <w:ind w:left="420" w:hanging="420" w:hanging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4</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泉州市</w:t>
            </w:r>
            <w:r>
              <w:rPr>
                <w:rFonts w:hint="eastAsia" w:ascii="Times New Roman" w:hAnsi="Times New Roman" w:eastAsia="宋体" w:cs="Times New Roman"/>
                <w:color w:val="auto"/>
                <w:sz w:val="21"/>
                <w:szCs w:val="21"/>
              </w:rPr>
              <w:t>生态环境局《</w:t>
            </w:r>
            <w:r>
              <w:rPr>
                <w:rFonts w:hint="eastAsia" w:ascii="Times New Roman" w:hAnsi="Times New Roman" w:eastAsia="宋体" w:cs="Times New Roman"/>
                <w:color w:val="auto"/>
                <w:sz w:val="21"/>
                <w:szCs w:val="21"/>
                <w:lang w:eastAsia="zh-CN"/>
              </w:rPr>
              <w:t>惠安县牡蛎壳固废垃圾综合处理与利用项目</w:t>
            </w:r>
            <w:r>
              <w:rPr>
                <w:rFonts w:hint="eastAsia" w:ascii="Times New Roman" w:hAnsi="Times New Roman" w:eastAsia="宋体" w:cs="Times New Roman"/>
                <w:color w:val="auto"/>
                <w:sz w:val="21"/>
                <w:szCs w:val="21"/>
              </w:rPr>
              <w:t>环境影响评价报告表》的批复；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504" w:hRule="atLeast"/>
        </w:trPr>
        <w:tc>
          <w:tcPr>
            <w:tcW w:w="2011" w:type="dxa"/>
            <w:vAlign w:val="center"/>
          </w:tcPr>
          <w:p>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验收监测评价标准、标号、级别、限值</w:t>
            </w:r>
          </w:p>
        </w:tc>
        <w:tc>
          <w:tcPr>
            <w:tcW w:w="6913" w:type="dxa"/>
            <w:gridSpan w:val="5"/>
            <w:vAlign w:val="center"/>
          </w:tcPr>
          <w:p>
            <w:pPr>
              <w:pStyle w:val="23"/>
              <w:spacing w:after="60" w:line="240" w:lineRule="auto"/>
              <w:ind w:firstLine="0"/>
              <w:jc w:val="both"/>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val="en-US" w:eastAsia="zh-CN"/>
              </w:rPr>
              <w:t>《污水综合排放标准》（GB8978-1996）表4</w:t>
            </w:r>
            <w:r>
              <w:rPr>
                <w:rFonts w:hint="eastAsia" w:ascii="Times New Roman" w:hAnsi="Times New Roman" w:eastAsia="宋体" w:cs="Times New Roman"/>
                <w:color w:val="auto"/>
                <w:sz w:val="21"/>
                <w:szCs w:val="21"/>
                <w:lang w:val="en-US" w:eastAsia="zh-CN"/>
              </w:rPr>
              <w:t>三</w:t>
            </w:r>
            <w:r>
              <w:rPr>
                <w:rFonts w:hint="default" w:ascii="Times New Roman" w:hAnsi="Times New Roman" w:eastAsia="宋体" w:cs="Times New Roman"/>
                <w:color w:val="auto"/>
                <w:sz w:val="21"/>
                <w:szCs w:val="21"/>
                <w:lang w:val="en-US" w:eastAsia="zh-CN"/>
              </w:rPr>
              <w:t>级标准</w:t>
            </w:r>
            <w:r>
              <w:rPr>
                <w:rFonts w:hint="eastAsia" w:ascii="Times New Roman" w:hAnsi="Times New Roman" w:eastAsia="宋体" w:cs="Times New Roman"/>
                <w:color w:val="auto"/>
                <w:sz w:val="21"/>
                <w:szCs w:val="21"/>
                <w:lang w:val="en-US" w:eastAsia="zh-CN"/>
              </w:rPr>
              <w:t>；即：pH：6-9mg/L，COD≤500mg/L，总磷≤8mg/L，SS≤400mg/L，动植物油≤100mg/L，NH</w:t>
            </w:r>
            <w:r>
              <w:rPr>
                <w:rFonts w:hint="eastAsia" w:ascii="Times New Roman" w:hAnsi="Times New Roman" w:eastAsia="宋体" w:cs="Times New Roman"/>
                <w:color w:val="auto"/>
                <w:sz w:val="21"/>
                <w:szCs w:val="21"/>
                <w:vertAlign w:val="subscript"/>
                <w:lang w:val="en-US" w:eastAsia="zh-CN"/>
              </w:rPr>
              <w:t>3</w:t>
            </w:r>
            <w:r>
              <w:rPr>
                <w:rFonts w:hint="eastAsia" w:ascii="Times New Roman" w:hAnsi="Times New Roman" w:eastAsia="宋体" w:cs="Times New Roman"/>
                <w:color w:val="auto"/>
                <w:sz w:val="21"/>
                <w:szCs w:val="21"/>
                <w:lang w:val="en-US" w:eastAsia="zh-CN"/>
              </w:rPr>
              <w:t>-N≤45mg/L</w:t>
            </w:r>
          </w:p>
          <w:p>
            <w:pPr>
              <w:pStyle w:val="23"/>
              <w:spacing w:after="60" w:line="240" w:lineRule="auto"/>
              <w:ind w:firstLine="0"/>
              <w:jc w:val="both"/>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《大气污染物综合排放标准》（GB16297-1996）表</w:t>
            </w:r>
            <w:r>
              <w:rPr>
                <w:rFonts w:hint="eastAsia" w:ascii="Times New Roman" w:hAnsi="Times New Roman" w:eastAsia="宋体" w:cs="Times New Roman"/>
                <w:color w:val="auto"/>
                <w:sz w:val="21"/>
                <w:szCs w:val="21"/>
                <w:lang w:val="en-US" w:eastAsia="zh-CN"/>
              </w:rPr>
              <w:t>2标准</w:t>
            </w:r>
            <w:r>
              <w:rPr>
                <w:rFonts w:hint="default" w:ascii="Times New Roman" w:hAnsi="Times New Roman" w:eastAsia="宋体" w:cs="Times New Roman"/>
                <w:color w:val="auto"/>
                <w:sz w:val="21"/>
                <w:szCs w:val="21"/>
              </w:rPr>
              <w:t>无组织排放监控浓度限值</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即：颗粒物≤1.0mg/m</w:t>
            </w:r>
            <w:r>
              <w:rPr>
                <w:rFonts w:hint="eastAsia" w:ascii="Times New Roman" w:hAnsi="Times New Roman" w:eastAsia="宋体" w:cs="Times New Roman"/>
                <w:color w:val="auto"/>
                <w:sz w:val="21"/>
                <w:szCs w:val="21"/>
                <w:vertAlign w:val="superscript"/>
                <w:lang w:val="en-US" w:eastAsia="zh-CN"/>
              </w:rPr>
              <w:t>3</w:t>
            </w:r>
          </w:p>
          <w:p>
            <w:pPr>
              <w:pStyle w:val="12"/>
              <w:spacing w:before="27" w:line="360" w:lineRule="auto"/>
              <w:ind w:right="0"/>
              <w:jc w:val="left"/>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无机化学工业污染物排放标准</w:t>
            </w:r>
            <w:r>
              <w:rPr>
                <w:rFonts w:hint="default" w:ascii="Times New Roman" w:hAnsi="Times New Roman" w:eastAsia="宋体" w:cs="Times New Roman"/>
                <w:color w:val="auto"/>
                <w:sz w:val="21"/>
                <w:szCs w:val="21"/>
                <w:lang w:val="en-US" w:eastAsia="zh-CN"/>
              </w:rPr>
              <w:t>》（GB</w:t>
            </w:r>
            <w:r>
              <w:rPr>
                <w:rFonts w:hint="eastAsia" w:ascii="Times New Roman" w:hAnsi="Times New Roman" w:eastAsia="宋体" w:cs="Times New Roman"/>
                <w:color w:val="auto"/>
                <w:sz w:val="21"/>
                <w:szCs w:val="21"/>
                <w:lang w:val="en-US" w:eastAsia="zh-CN"/>
              </w:rPr>
              <w:t>31573-2015</w:t>
            </w:r>
            <w:r>
              <w:rPr>
                <w:rFonts w:hint="default" w:ascii="Times New Roman" w:hAnsi="Times New Roman" w:eastAsia="宋体" w:cs="Times New Roman"/>
                <w:color w:val="auto"/>
                <w:sz w:val="21"/>
                <w:szCs w:val="21"/>
                <w:lang w:val="en-US" w:eastAsia="zh-CN"/>
              </w:rPr>
              <w:t>）中表</w:t>
            </w:r>
            <w:r>
              <w:rPr>
                <w:rFonts w:hint="eastAsia" w:ascii="Times New Roman" w:hAnsi="Times New Roman" w:eastAsia="宋体" w:cs="Times New Roman"/>
                <w:color w:val="auto"/>
                <w:sz w:val="21"/>
                <w:szCs w:val="21"/>
                <w:lang w:val="en-US" w:eastAsia="zh-CN"/>
              </w:rPr>
              <w:t>3大气污染物排放限值，即：颗粒物≤30mg/m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；氮氧化物≤200mg/m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；二氧化硫≤100mg/m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；无组织排放：硫化氢</w:t>
            </w:r>
            <w:r>
              <w:rPr>
                <w:rFonts w:hint="eastAsia" w:ascii="Times New Roman" w:hAnsi="Times New Roman" w:eastAsia="宋体" w:cs="Times New Roman"/>
                <w:color w:val="auto"/>
                <w:sz w:val="21"/>
                <w:szCs w:val="21"/>
                <w:lang w:val="en-US" w:eastAsia="zh-CN"/>
              </w:rPr>
              <w:t>≤0.03mg/m</w:t>
            </w:r>
            <w:r>
              <w:rPr>
                <w:rFonts w:hint="eastAsia" w:ascii="Times New Roman" w:hAnsi="Times New Roman" w:eastAsia="宋体" w:cs="Times New Roman"/>
                <w:color w:val="auto"/>
                <w:sz w:val="21"/>
                <w:szCs w:val="21"/>
                <w:vertAlign w:val="superscript"/>
                <w:lang w:val="en-US" w:eastAsia="zh-CN"/>
              </w:rPr>
              <w:t>3</w:t>
            </w:r>
          </w:p>
          <w:p>
            <w:pPr>
              <w:pStyle w:val="23"/>
              <w:numPr>
                <w:ilvl w:val="0"/>
                <w:numId w:val="0"/>
              </w:numPr>
              <w:spacing w:after="60" w:line="360" w:lineRule="auto"/>
              <w:ind w:leftChars="0"/>
              <w:jc w:val="both"/>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pacing w:val="4"/>
                <w:sz w:val="21"/>
                <w:szCs w:val="21"/>
              </w:rPr>
              <w:t>《工业企业厂界环境噪声排放标准》（GB12348-2008）</w:t>
            </w:r>
            <w:r>
              <w:rPr>
                <w:rFonts w:hint="default" w:ascii="Times New Roman" w:hAnsi="Times New Roman" w:eastAsia="宋体" w:cs="Times New Roman"/>
                <w:color w:val="auto"/>
                <w:sz w:val="21"/>
                <w:szCs w:val="21"/>
                <w:lang w:val="en-US" w:eastAsia="zh-CN"/>
              </w:rPr>
              <w:t>3类标准，即：昼间≤65</w:t>
            </w:r>
            <w:r>
              <w:rPr>
                <w:rFonts w:hint="default" w:ascii="Times New Roman" w:hAnsi="Times New Roman" w:eastAsia="宋体" w:cs="Times New Roman"/>
                <w:color w:val="auto"/>
                <w:sz w:val="21"/>
                <w:szCs w:val="21"/>
              </w:rPr>
              <w:t>dB(A)</w:t>
            </w:r>
            <w:r>
              <w:rPr>
                <w:rFonts w:hint="default" w:ascii="Times New Roman" w:hAnsi="Times New Roman" w:eastAsia="宋体" w:cs="Times New Roman"/>
                <w:color w:val="auto"/>
                <w:sz w:val="21"/>
                <w:szCs w:val="21"/>
                <w:lang w:val="en-US" w:eastAsia="zh-CN"/>
              </w:rPr>
              <w:t>；夜间≤55</w:t>
            </w:r>
            <w:r>
              <w:rPr>
                <w:rFonts w:hint="default" w:ascii="Times New Roman" w:hAnsi="Times New Roman" w:eastAsia="宋体" w:cs="Times New Roman"/>
                <w:color w:val="auto"/>
                <w:sz w:val="21"/>
                <w:szCs w:val="21"/>
              </w:rPr>
              <w:t>dB(A)</w:t>
            </w:r>
          </w:p>
          <w:p>
            <w:pPr>
              <w:pStyle w:val="23"/>
              <w:numPr>
                <w:ilvl w:val="0"/>
                <w:numId w:val="0"/>
              </w:numPr>
              <w:spacing w:after="60" w:line="360" w:lineRule="auto"/>
              <w:ind w:leftChars="0"/>
              <w:jc w:val="both"/>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5、《恶臭污染物排放标准》(GB14554-1993)表1二级标准，臭气浓度≤20</w:t>
            </w:r>
          </w:p>
        </w:tc>
      </w:tr>
    </w:tbl>
    <w:p>
      <w:pPr>
        <w:outlineLvl w:val="0"/>
        <w:rPr>
          <w:rFonts w:ascii="Times New Roman" w:hAnsi="Times New Roman" w:eastAsia="宋体" w:cs="Times New Roman"/>
          <w:color w:val="auto"/>
          <w:sz w:val="21"/>
          <w:szCs w:val="21"/>
        </w:rPr>
        <w:sectPr>
          <w:footerReference r:id="rId5" w:type="default"/>
          <w:pgSz w:w="11906" w:h="16838"/>
          <w:pgMar w:top="1440" w:right="1440" w:bottom="1440" w:left="1701" w:header="709" w:footer="709" w:gutter="0"/>
          <w:pgNumType w:start="1"/>
          <w:cols w:space="0" w:num="1"/>
          <w:docGrid w:linePitch="360" w:charSpace="0"/>
        </w:sectPr>
      </w:pPr>
      <w:r>
        <w:rPr>
          <w:rFonts w:ascii="Times New Roman" w:hAnsi="Times New Roman" w:eastAsia="宋体" w:cs="Times New Roman"/>
          <w:b/>
          <w:color w:val="auto"/>
          <w:sz w:val="21"/>
          <w:szCs w:val="21"/>
        </w:rPr>
        <w:t>表一</w:t>
      </w: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表二</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9" w:hRule="atLeast"/>
        </w:trPr>
        <w:tc>
          <w:tcPr>
            <w:tcW w:w="5000" w:type="pct"/>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 xml:space="preserve">工程建设内容： </w:t>
            </w:r>
          </w:p>
          <w:p>
            <w:pPr>
              <w:widowControl/>
              <w:numPr>
                <w:ilvl w:val="0"/>
                <w:numId w:val="1"/>
              </w:numPr>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项目概况</w:t>
            </w:r>
          </w:p>
          <w:p>
            <w:pPr>
              <w:pStyle w:val="12"/>
              <w:keepNext w:val="0"/>
              <w:keepLines w:val="0"/>
              <w:pageBreakBefore w:val="0"/>
              <w:widowControl w:val="0"/>
              <w:kinsoku/>
              <w:wordWrap/>
              <w:overflowPunct/>
              <w:topLinePunct w:val="0"/>
              <w:autoSpaceDE/>
              <w:autoSpaceDN/>
              <w:bidi w:val="0"/>
              <w:adjustRightInd w:val="0"/>
              <w:snapToGrid w:val="0"/>
              <w:spacing w:line="360" w:lineRule="auto"/>
              <w:ind w:right="0" w:firstLine="448" w:firstLineChars="200"/>
              <w:jc w:val="left"/>
              <w:textAlignment w:val="auto"/>
              <w:rPr>
                <w:rFonts w:hint="default" w:ascii="Times New Roman" w:hAnsi="Times New Roman" w:eastAsia="宋体" w:cs="Times New Roman"/>
                <w:color w:val="auto"/>
                <w:spacing w:val="0"/>
                <w:sz w:val="24"/>
                <w:szCs w:val="24"/>
                <w:vertAlign w:val="baseline"/>
                <w:lang w:val="en-US" w:eastAsia="zh-CN" w:bidi="ar-SA"/>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泉州玛塔生态科技有限公司惠安县牡蛎壳固废垃圾综合处理与利用项目</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位于</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福建省泉州市惠安县辋川镇轻工园区</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 总</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占地面积23620</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，建筑面积</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18163</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，总投资</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000万元，主要从事</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土壤改良剂、重金属污染耕地修复剂。</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根据《中华人民共和国环境保护法》、《中华人民共和国环境影响评价法》和《建设项目环境保护管理条例》等有关环保法律、法规，</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泉州玛塔生态科技有限公司</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需进行环境影响评价</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于</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2019年10月</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委</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漳州源晟环保科技有限公司</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编制《</w:t>
            </w:r>
            <w:r>
              <w:rPr>
                <w:rFonts w:hint="eastAsia" w:ascii="Times New Roman" w:hAnsi="Times New Roman" w:eastAsia="宋体" w:cs="Times New Roman"/>
                <w:color w:val="auto"/>
                <w:sz w:val="24"/>
                <w:szCs w:val="24"/>
                <w:vertAlign w:val="baseline"/>
                <w:lang w:val="en-US" w:eastAsia="zh-CN"/>
              </w:rPr>
              <w:t>惠安县牡蛎壳固废垃圾综合处理与利用项目</w:t>
            </w:r>
            <w:r>
              <w:rPr>
                <w:rFonts w:hint="default" w:ascii="Times New Roman" w:hAnsi="Times New Roman" w:eastAsia="宋体" w:cs="Times New Roman"/>
                <w:color w:val="auto"/>
                <w:sz w:val="24"/>
                <w:szCs w:val="24"/>
                <w:vertAlign w:val="baseline"/>
                <w:lang w:val="en-US" w:eastAsia="zh-CN"/>
              </w:rPr>
              <w:t>环境影响报告表》，并于</w:t>
            </w:r>
            <w:r>
              <w:rPr>
                <w:rFonts w:hint="eastAsia" w:ascii="Times New Roman" w:hAnsi="Times New Roman" w:eastAsia="宋体" w:cs="Times New Roman"/>
                <w:color w:val="auto"/>
                <w:sz w:val="24"/>
                <w:szCs w:val="24"/>
                <w:vertAlign w:val="baseline"/>
                <w:lang w:val="en-US" w:eastAsia="zh-CN"/>
              </w:rPr>
              <w:t>2020年3月12日</w:t>
            </w:r>
            <w:r>
              <w:rPr>
                <w:rFonts w:hint="default" w:ascii="Times New Roman" w:hAnsi="Times New Roman" w:eastAsia="宋体" w:cs="Times New Roman"/>
                <w:color w:val="auto"/>
                <w:sz w:val="24"/>
                <w:szCs w:val="24"/>
                <w:vertAlign w:val="baseline"/>
                <w:lang w:val="en-US" w:eastAsia="zh-CN"/>
              </w:rPr>
              <w:t>通过</w:t>
            </w:r>
            <w:r>
              <w:rPr>
                <w:rFonts w:hint="eastAsia" w:ascii="Times New Roman" w:hAnsi="Times New Roman" w:eastAsia="宋体" w:cs="Times New Roman"/>
                <w:color w:val="auto"/>
                <w:sz w:val="24"/>
                <w:szCs w:val="24"/>
                <w:vertAlign w:val="baseline"/>
                <w:lang w:val="en-US" w:eastAsia="zh-CN"/>
              </w:rPr>
              <w:t>泉州市</w:t>
            </w:r>
            <w:r>
              <w:rPr>
                <w:rFonts w:hint="default" w:ascii="Times New Roman" w:hAnsi="Times New Roman" w:eastAsia="宋体" w:cs="Times New Roman"/>
                <w:color w:val="auto"/>
                <w:sz w:val="24"/>
                <w:szCs w:val="24"/>
                <w:vertAlign w:val="baseline"/>
                <w:lang w:val="en-US" w:eastAsia="zh-CN"/>
              </w:rPr>
              <w:t>生态环境局审批，批复编号为：</w:t>
            </w:r>
            <w:r>
              <w:rPr>
                <w:rFonts w:hint="eastAsia" w:ascii="Times New Roman" w:hAnsi="Times New Roman" w:eastAsia="宋体" w:cs="Times New Roman"/>
                <w:color w:val="auto"/>
                <w:sz w:val="24"/>
                <w:szCs w:val="24"/>
                <w:vertAlign w:val="baseline"/>
                <w:lang w:val="en-US" w:eastAsia="zh-CN"/>
              </w:rPr>
              <w:t>泉惠环评（2020）表3号</w:t>
            </w:r>
            <w:r>
              <w:rPr>
                <w:rFonts w:hint="default" w:ascii="Times New Roman" w:hAnsi="Times New Roman" w:eastAsia="宋体" w:cs="Times New Roman"/>
                <w:color w:val="auto"/>
                <w:sz w:val="24"/>
                <w:szCs w:val="24"/>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both"/>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auto"/>
                <w:sz w:val="24"/>
                <w:szCs w:val="24"/>
                <w:lang w:val="en-US" w:eastAsia="zh-CN"/>
              </w:rPr>
              <w:t>目前本项</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目主要生产土壤改良剂、重金属污染耕地修复剂，实际生产能力为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年产</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10万吨牡蛎壳土壤改良剂、重金属污染耕地修复剂，年工作天数300天，每天工作8小时。</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both"/>
              <w:textAlignment w:val="auto"/>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auto"/>
                <w:sz w:val="24"/>
                <w:szCs w:val="24"/>
                <w:lang w:val="en-US" w:eastAsia="zh-CN"/>
              </w:rPr>
              <w:t>本项目北侧为泉州拓展新材料公司，南侧为中铁公司，东侧、西侧均为工业用地（现状为空地）。</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both"/>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本项目于2020年3月开工建设，2020年12月建成，并已投入</w:t>
            </w:r>
            <w:r>
              <w:rPr>
                <w:rFonts w:hint="eastAsia" w:ascii="Times New Roman" w:hAnsi="Times New Roman" w:eastAsia="宋体" w:cs="Times New Roman"/>
                <w:color w:val="auto"/>
                <w:sz w:val="24"/>
                <w:szCs w:val="24"/>
              </w:rPr>
              <w:t>试生产。</w:t>
            </w:r>
            <w:r>
              <w:rPr>
                <w:rFonts w:ascii="Times New Roman" w:hAnsi="Times New Roman" w:eastAsia="宋体" w:cs="Times New Roman"/>
                <w:color w:val="auto"/>
                <w:sz w:val="24"/>
                <w:szCs w:val="24"/>
              </w:rPr>
              <w:t>根据</w:t>
            </w:r>
            <w:r>
              <w:rPr>
                <w:rFonts w:ascii="Times New Roman" w:hAnsi="Times New Roman" w:eastAsia="宋体" w:cs="Times New Roman"/>
                <w:color w:val="000000" w:themeColor="text1"/>
                <w:sz w:val="24"/>
                <w:szCs w:val="24"/>
                <w14:textFill>
                  <w14:solidFill>
                    <w14:schemeClr w14:val="tx1"/>
                  </w14:solidFill>
                </w14:textFill>
              </w:rPr>
              <w:t>《建设项目环境保护管理条例》和《建设项目竣工环境保护验收技术指南污染影响类》等法律法规文件的要求，公司依据国家有关法规文件、技术标准及经审批后的本项目环境影响报告表并结合</w:t>
            </w:r>
            <w:r>
              <w:rPr>
                <w:rFonts w:ascii="Times New Roman" w:hAnsi="Times New Roman" w:eastAsia="宋体" w:cs="Times New Roman"/>
                <w:color w:val="auto"/>
                <w:sz w:val="24"/>
                <w:szCs w:val="24"/>
              </w:rPr>
              <w:t>现场实际情况制定了本项目的环境保护验收监测方案，并委托</w:t>
            </w:r>
            <w:r>
              <w:rPr>
                <w:rFonts w:hint="eastAsia" w:ascii="Times New Roman" w:hAnsi="Times New Roman" w:eastAsia="宋体" w:cs="Times New Roman"/>
                <w:color w:val="auto"/>
                <w:sz w:val="24"/>
                <w:szCs w:val="24"/>
                <w:lang w:val="en-US" w:eastAsia="zh-CN"/>
              </w:rPr>
              <w:t>厦门威正检测技术有限公司</w:t>
            </w:r>
            <w:r>
              <w:rPr>
                <w:rFonts w:ascii="Times New Roman" w:hAnsi="Times New Roman" w:eastAsia="宋体" w:cs="Times New Roman"/>
                <w:color w:val="auto"/>
                <w:sz w:val="24"/>
                <w:szCs w:val="24"/>
              </w:rPr>
              <w:t>于202</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3</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9</w:t>
            </w:r>
            <w:r>
              <w:rPr>
                <w:rFonts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w:t>
            </w:r>
            <w:r>
              <w:rPr>
                <w:rFonts w:ascii="Times New Roman" w:hAnsi="Times New Roman" w:eastAsia="宋体" w:cs="Times New Roman"/>
                <w:color w:val="auto"/>
                <w:sz w:val="24"/>
                <w:szCs w:val="24"/>
              </w:rPr>
              <w:t>202</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3</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10</w:t>
            </w:r>
            <w:r>
              <w:rPr>
                <w:rFonts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以及</w:t>
            </w:r>
            <w:r>
              <w:rPr>
                <w:rFonts w:ascii="Times New Roman" w:hAnsi="Times New Roman" w:eastAsia="宋体" w:cs="Times New Roman"/>
                <w:color w:val="auto"/>
                <w:sz w:val="24"/>
                <w:szCs w:val="24"/>
              </w:rPr>
              <w:t>202</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5</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11</w:t>
            </w:r>
            <w:r>
              <w:rPr>
                <w:rFonts w:ascii="Times New Roman" w:hAnsi="Times New Roman" w:eastAsia="宋体" w:cs="Times New Roman"/>
                <w:color w:val="auto"/>
                <w:sz w:val="24"/>
                <w:szCs w:val="24"/>
              </w:rPr>
              <w:t>日</w:t>
            </w:r>
            <w:r>
              <w:rPr>
                <w:rFonts w:hint="eastAsia" w:ascii="Times New Roman" w:hAnsi="Times New Roman" w:eastAsia="宋体" w:cs="Times New Roman"/>
                <w:color w:val="auto"/>
                <w:sz w:val="24"/>
                <w:szCs w:val="24"/>
                <w:lang w:val="en-US" w:eastAsia="zh-CN"/>
              </w:rPr>
              <w:t>-</w:t>
            </w:r>
            <w:r>
              <w:rPr>
                <w:rFonts w:ascii="Times New Roman" w:hAnsi="Times New Roman" w:eastAsia="宋体" w:cs="Times New Roman"/>
                <w:color w:val="auto"/>
                <w:sz w:val="24"/>
                <w:szCs w:val="24"/>
              </w:rPr>
              <w:t>202</w:t>
            </w:r>
            <w:r>
              <w:rPr>
                <w:rFonts w:hint="eastAsia" w:ascii="Times New Roman" w:hAnsi="Times New Roman" w:eastAsia="宋体" w:cs="Times New Roman"/>
                <w:color w:val="auto"/>
                <w:sz w:val="24"/>
                <w:szCs w:val="24"/>
                <w:lang w:val="en-US" w:eastAsia="zh-CN"/>
              </w:rPr>
              <w:t>1</w:t>
            </w:r>
            <w:r>
              <w:rPr>
                <w:rFonts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5</w:t>
            </w:r>
            <w:r>
              <w:rPr>
                <w:rFonts w:ascii="Times New Roman" w:hAnsi="Times New Roman" w:eastAsia="宋体" w:cs="Times New Roman"/>
                <w:color w:val="auto"/>
                <w:sz w:val="24"/>
                <w:szCs w:val="24"/>
              </w:rPr>
              <w:t>月</w:t>
            </w:r>
            <w:r>
              <w:rPr>
                <w:rFonts w:hint="eastAsia" w:ascii="Times New Roman" w:hAnsi="Times New Roman" w:eastAsia="宋体" w:cs="Times New Roman"/>
                <w:color w:val="auto"/>
                <w:sz w:val="24"/>
                <w:szCs w:val="24"/>
                <w:lang w:val="en-US" w:eastAsia="zh-CN"/>
              </w:rPr>
              <w:t>12</w:t>
            </w:r>
            <w:r>
              <w:rPr>
                <w:rFonts w:ascii="Times New Roman" w:hAnsi="Times New Roman" w:eastAsia="宋体" w:cs="Times New Roman"/>
                <w:color w:val="auto"/>
                <w:sz w:val="24"/>
                <w:szCs w:val="24"/>
              </w:rPr>
              <w:t>日到本项目开展竣工环境保护验收监测，根据现场监测情况、样品监测分析结果及现场调查情况，编制本验收监测报告表。</w:t>
            </w:r>
          </w:p>
          <w:p>
            <w:pPr>
              <w:pStyle w:val="31"/>
              <w:spacing w:line="360" w:lineRule="auto"/>
              <w:ind w:firstLine="480" w:firstLineChars="200"/>
              <w:jc w:val="both"/>
              <w:rPr>
                <w:rFonts w:ascii="Times New Roman" w:hAnsi="Times New Roman" w:cs="Times New Roman"/>
                <w:color w:val="0000FF"/>
              </w:rPr>
            </w:pPr>
          </w:p>
          <w:p>
            <w:pPr>
              <w:pStyle w:val="31"/>
              <w:spacing w:line="360" w:lineRule="auto"/>
              <w:ind w:firstLine="480" w:firstLineChars="200"/>
              <w:jc w:val="both"/>
              <w:rPr>
                <w:rFonts w:ascii="Times New Roman" w:hAnsi="Times New Roman" w:cs="Times New Roman"/>
                <w:color w:val="0000FF"/>
              </w:rPr>
            </w:pPr>
          </w:p>
          <w:p>
            <w:pPr>
              <w:pStyle w:val="31"/>
              <w:spacing w:line="360" w:lineRule="auto"/>
              <w:ind w:firstLine="480" w:firstLineChars="200"/>
              <w:jc w:val="both"/>
              <w:rPr>
                <w:rFonts w:ascii="Times New Roman" w:hAnsi="Times New Roman" w:cs="Times New Roman"/>
                <w:color w:val="0000FF"/>
              </w:rPr>
            </w:pPr>
          </w:p>
          <w:p>
            <w:pPr>
              <w:pStyle w:val="31"/>
              <w:spacing w:line="360" w:lineRule="auto"/>
              <w:ind w:firstLine="480" w:firstLineChars="200"/>
              <w:jc w:val="both"/>
              <w:rPr>
                <w:rFonts w:ascii="Times New Roman" w:hAnsi="Times New Roman" w:cs="Times New Roman"/>
                <w:color w:val="0000FF"/>
              </w:rPr>
            </w:pPr>
          </w:p>
          <w:p>
            <w:pPr>
              <w:pStyle w:val="31"/>
              <w:spacing w:line="360" w:lineRule="auto"/>
              <w:ind w:firstLine="480" w:firstLineChars="200"/>
              <w:jc w:val="both"/>
              <w:rPr>
                <w:rFonts w:ascii="Times New Roman" w:hAnsi="Times New Roman" w:cs="Times New Roman"/>
                <w:color w:val="0000FF"/>
              </w:rPr>
            </w:pPr>
          </w:p>
          <w:p>
            <w:pPr>
              <w:pStyle w:val="31"/>
              <w:spacing w:line="360" w:lineRule="auto"/>
              <w:ind w:firstLine="480" w:firstLineChars="200"/>
              <w:jc w:val="both"/>
              <w:rPr>
                <w:rFonts w:ascii="Times New Roman" w:hAnsi="Times New Roman" w:cs="Times New Roman"/>
                <w:color w:val="0000FF"/>
              </w:rPr>
            </w:pPr>
          </w:p>
          <w:p>
            <w:pPr>
              <w:pStyle w:val="31"/>
              <w:spacing w:line="360" w:lineRule="auto"/>
              <w:ind w:firstLine="480" w:firstLineChars="200"/>
              <w:jc w:val="both"/>
              <w:rPr>
                <w:rFonts w:ascii="Times New Roman" w:hAnsi="Times New Roman" w:cs="Times New Roman"/>
                <w:color w:val="0000FF"/>
              </w:rPr>
            </w:pPr>
          </w:p>
          <w:p>
            <w:pPr>
              <w:pStyle w:val="31"/>
              <w:spacing w:line="360" w:lineRule="auto"/>
              <w:ind w:firstLine="480" w:firstLineChars="200"/>
              <w:jc w:val="both"/>
              <w:rPr>
                <w:rFonts w:ascii="Times New Roman" w:hAnsi="Times New Roman" w:cs="Times New Roman"/>
                <w:color w:val="0000FF"/>
              </w:rPr>
            </w:pPr>
          </w:p>
          <w:p>
            <w:pPr>
              <w:pStyle w:val="31"/>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具体建设内容见下表</w:t>
            </w:r>
            <w:r>
              <w:rPr>
                <w:rFonts w:hint="eastAsia" w:ascii="Times New Roman" w:hAnsi="Times New Roman" w:cs="Times New Roman"/>
                <w:color w:val="000000" w:themeColor="text1"/>
                <w14:textFill>
                  <w14:solidFill>
                    <w14:schemeClr w14:val="tx1"/>
                  </w14:solidFill>
                </w14:textFill>
              </w:rPr>
              <w:t>2-1</w:t>
            </w:r>
            <w:r>
              <w:rPr>
                <w:rFonts w:ascii="Times New Roman" w:hAnsi="Times New Roman" w:cs="Times New Roman"/>
                <w:color w:val="000000" w:themeColor="text1"/>
                <w14:textFill>
                  <w14:solidFill>
                    <w14:schemeClr w14:val="tx1"/>
                  </w14:solidFill>
                </w14:textFill>
              </w:rPr>
              <w:t>：</w:t>
            </w:r>
          </w:p>
          <w:p>
            <w:pPr>
              <w:widowControl/>
              <w:numPr>
                <w:ilvl w:val="0"/>
                <w:numId w:val="1"/>
              </w:numPr>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项目建设内容</w:t>
            </w:r>
          </w:p>
          <w:p>
            <w:pPr>
              <w:pStyle w:val="23"/>
              <w:widowControl w:val="0"/>
              <w:rPr>
                <w:rFonts w:hint="eastAsia" w:ascii="Times New Roman" w:hAnsi="Times New Roman" w:eastAsia="宋体" w:cs="Times New Roman"/>
                <w:b/>
                <w:bCs/>
                <w:color w:val="000000" w:themeColor="text1"/>
                <w:sz w:val="21"/>
                <w:szCs w:val="21"/>
                <w14:textFill>
                  <w14:solidFill>
                    <w14:schemeClr w14:val="tx1"/>
                  </w14:solidFill>
                </w14:textFill>
              </w:rPr>
            </w:pPr>
            <w:r>
              <w:rPr>
                <w:rFonts w:hint="eastAsia" w:ascii="Times New Roman" w:hAnsi="Times New Roman" w:eastAsia="宋体" w:cs="Times New Roman"/>
                <w:b/>
                <w:bCs/>
                <w:color w:val="000000" w:themeColor="text1"/>
                <w:sz w:val="21"/>
                <w:szCs w:val="21"/>
                <w14:textFill>
                  <w14:solidFill>
                    <w14:schemeClr w14:val="tx1"/>
                  </w14:solidFill>
                </w14:textFill>
              </w:rPr>
              <w:t xml:space="preserve">表2-1 </w:t>
            </w:r>
            <w:r>
              <w:rPr>
                <w:rFonts w:ascii="Times New Roman" w:hAnsi="Times New Roman" w:eastAsia="宋体" w:cs="Times New Roman"/>
                <w:b/>
                <w:bCs/>
                <w:color w:val="000000" w:themeColor="text1"/>
                <w:sz w:val="21"/>
                <w:szCs w:val="21"/>
                <w14:textFill>
                  <w14:solidFill>
                    <w14:schemeClr w14:val="tx1"/>
                  </w14:solidFill>
                </w14:textFill>
              </w:rPr>
              <w:t>项目建设内容</w:t>
            </w:r>
            <w:r>
              <w:rPr>
                <w:rFonts w:hint="eastAsia" w:ascii="Times New Roman" w:hAnsi="Times New Roman" w:eastAsia="宋体" w:cs="Times New Roman"/>
                <w:b/>
                <w:bCs/>
                <w:color w:val="000000" w:themeColor="text1"/>
                <w:sz w:val="21"/>
                <w:szCs w:val="21"/>
                <w14:textFill>
                  <w14:solidFill>
                    <w14:schemeClr w14:val="tx1"/>
                  </w14:solidFill>
                </w14:textFill>
              </w:rPr>
              <w:t>一览表</w:t>
            </w:r>
          </w:p>
          <w:tbl>
            <w:tblPr>
              <w:tblStyle w:val="24"/>
              <w:tblW w:w="49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641"/>
              <w:gridCol w:w="735"/>
              <w:gridCol w:w="1286"/>
              <w:gridCol w:w="3209"/>
              <w:gridCol w:w="2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42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工程类别</w:t>
                  </w:r>
                </w:p>
              </w:tc>
              <w:tc>
                <w:tcPr>
                  <w:tcW w:w="152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组成</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规模或内容</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42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主体工程</w:t>
                  </w:r>
                </w:p>
              </w:tc>
              <w:tc>
                <w:tcPr>
                  <w:tcW w:w="789"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牡蛎壳</w:t>
                  </w:r>
                  <w:r>
                    <w:rPr>
                      <w:rFonts w:hint="default" w:ascii="Times New Roman" w:hAnsi="Times New Roman" w:eastAsia="宋体" w:cs="Times New Roman"/>
                      <w:color w:val="000000"/>
                      <w:sz w:val="21"/>
                      <w:szCs w:val="21"/>
                      <w:lang w:eastAsia="zh-CN"/>
                    </w:rPr>
                    <w:t>土壤改良剂、重金属污染耕地修复剂</w:t>
                  </w:r>
                </w:p>
              </w:tc>
              <w:tc>
                <w:tcPr>
                  <w:tcW w:w="73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粉剂生产线</w:t>
                  </w:r>
                </w:p>
              </w:tc>
              <w:tc>
                <w:tcPr>
                  <w:tcW w:w="1842" w:type="pct"/>
                  <w:vMerge w:val="restart"/>
                  <w:noWrap w:val="0"/>
                  <w:vAlign w:val="center"/>
                </w:tcPr>
                <w:p>
                  <w:pPr>
                    <w:pStyle w:val="23"/>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用于牡蛎壳土壤改良剂生产，</w:t>
                  </w:r>
                </w:p>
                <w:p>
                  <w:pPr>
                    <w:pStyle w:val="23"/>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2"/>
                      <w:sz w:val="21"/>
                      <w:szCs w:val="21"/>
                      <w:lang w:val="en-US" w:eastAsia="zh-CN" w:bidi="ar-SA"/>
                    </w:rPr>
                    <w:t>占地面积4275m</w:t>
                  </w:r>
                  <w:r>
                    <w:rPr>
                      <w:rFonts w:hint="default" w:ascii="Times New Roman" w:hAnsi="Times New Roman" w:eastAsia="宋体" w:cs="Times New Roman"/>
                      <w:color w:val="000000"/>
                      <w:kern w:val="2"/>
                      <w:sz w:val="21"/>
                      <w:szCs w:val="21"/>
                      <w:vertAlign w:val="superscript"/>
                      <w:lang w:val="en-US" w:eastAsia="zh-CN" w:bidi="ar-SA"/>
                    </w:rPr>
                    <w:t>2</w:t>
                  </w:r>
                </w:p>
              </w:tc>
              <w:tc>
                <w:tcPr>
                  <w:tcW w:w="1203" w:type="pct"/>
                  <w:vMerge w:val="restart"/>
                  <w:noWrap w:val="0"/>
                  <w:vAlign w:val="center"/>
                </w:tcPr>
                <w:p>
                  <w:pPr>
                    <w:pStyle w:val="23"/>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5"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789"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73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颗粒生产线</w:t>
                  </w:r>
                </w:p>
              </w:tc>
              <w:tc>
                <w:tcPr>
                  <w:tcW w:w="1842" w:type="pct"/>
                  <w:vMerge w:val="continue"/>
                  <w:noWrap w:val="0"/>
                  <w:vAlign w:val="center"/>
                </w:tcPr>
                <w:p>
                  <w:pPr>
                    <w:pStyle w:val="23"/>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eastAsia="宋体" w:cs="Times New Roman"/>
                      <w:color w:val="000000"/>
                      <w:sz w:val="21"/>
                      <w:szCs w:val="21"/>
                    </w:rPr>
                  </w:pPr>
                </w:p>
              </w:tc>
              <w:tc>
                <w:tcPr>
                  <w:tcW w:w="1203" w:type="pct"/>
                  <w:vMerge w:val="continue"/>
                  <w:noWrap w:val="0"/>
                  <w:vAlign w:val="center"/>
                </w:tcPr>
                <w:p>
                  <w:pPr>
                    <w:pStyle w:val="23"/>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42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储运工程</w:t>
                  </w:r>
                </w:p>
              </w:tc>
              <w:tc>
                <w:tcPr>
                  <w:tcW w:w="152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成品仓库</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eastAsia="zh-CN"/>
                    </w:rPr>
                    <w:t>用于成品储存，建筑面积</w:t>
                  </w:r>
                  <w:r>
                    <w:rPr>
                      <w:rFonts w:hint="default" w:ascii="Times New Roman" w:hAnsi="Times New Roman" w:eastAsia="宋体" w:cs="Times New Roman"/>
                      <w:color w:val="000000"/>
                      <w:sz w:val="21"/>
                      <w:szCs w:val="21"/>
                      <w:lang w:val="en-US" w:eastAsia="zh-CN"/>
                    </w:rPr>
                    <w:t>2760</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7"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highlight w:val="none"/>
                      <w:lang w:eastAsia="zh-CN"/>
                    </w:rPr>
                  </w:pPr>
                </w:p>
              </w:tc>
              <w:tc>
                <w:tcPr>
                  <w:tcW w:w="152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原料仓库</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highlight w:val="none"/>
                      <w:lang w:eastAsia="zh-CN"/>
                    </w:rPr>
                    <w:t>用于原料存放，面积</w:t>
                  </w:r>
                  <w:r>
                    <w:rPr>
                      <w:rFonts w:hint="default" w:ascii="Times New Roman" w:hAnsi="Times New Roman" w:eastAsia="宋体" w:cs="Times New Roman"/>
                      <w:color w:val="000000"/>
                      <w:sz w:val="21"/>
                      <w:szCs w:val="21"/>
                      <w:highlight w:val="none"/>
                      <w:lang w:val="en-US" w:eastAsia="zh-CN"/>
                    </w:rPr>
                    <w:t>2100</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p>
              </w:tc>
              <w:tc>
                <w:tcPr>
                  <w:tcW w:w="1203" w:type="pct"/>
                  <w:noWrap w:val="0"/>
                  <w:vAlign w:val="center"/>
                </w:tcPr>
                <w:p>
                  <w:pPr>
                    <w:pStyle w:val="2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2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公用工程</w:t>
                  </w:r>
                </w:p>
              </w:tc>
              <w:tc>
                <w:tcPr>
                  <w:tcW w:w="152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给水系统</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由工业区自来水管网供应</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152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排水系统</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rPr>
                    <w:t>雨污分流，</w:t>
                  </w:r>
                  <w:r>
                    <w:rPr>
                      <w:rFonts w:hint="default" w:ascii="Times New Roman" w:hAnsi="Times New Roman" w:eastAsia="宋体" w:cs="Times New Roman"/>
                      <w:color w:val="000000"/>
                      <w:sz w:val="21"/>
                      <w:szCs w:val="21"/>
                      <w:highlight w:val="none"/>
                      <w:lang w:eastAsia="zh-CN"/>
                    </w:rPr>
                    <w:t>生活污水处理达标后进入</w:t>
                  </w:r>
                  <w:r>
                    <w:rPr>
                      <w:rFonts w:hint="default" w:ascii="Times New Roman" w:hAnsi="Times New Roman" w:eastAsia="宋体" w:cs="Times New Roman"/>
                      <w:bCs w:val="0"/>
                      <w:color w:val="000000"/>
                      <w:sz w:val="21"/>
                      <w:szCs w:val="21"/>
                    </w:rPr>
                    <w:t>惠安县污水处理厂</w:t>
                  </w:r>
                </w:p>
              </w:tc>
              <w:tc>
                <w:tcPr>
                  <w:tcW w:w="1203" w:type="pct"/>
                  <w:noWrap w:val="0"/>
                  <w:vAlign w:val="center"/>
                </w:tcPr>
                <w:p>
                  <w:pPr>
                    <w:pStyle w:val="2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152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电力</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工业区统一配电，厂区设配电房供应</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2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环保工程</w:t>
                  </w:r>
                </w:p>
              </w:tc>
              <w:tc>
                <w:tcPr>
                  <w:tcW w:w="152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rPr>
                    <w:t>三级化粪池</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367"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废气</w:t>
                  </w:r>
                </w:p>
              </w:tc>
              <w:tc>
                <w:tcPr>
                  <w:tcW w:w="1160"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烘干焙烧废气</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eastAsia="zh-CN"/>
                    </w:rPr>
                    <w:t>袋式除尘器</w:t>
                  </w:r>
                  <w:r>
                    <w:rPr>
                      <w:rFonts w:hint="default" w:ascii="Times New Roman" w:hAnsi="Times New Roman" w:eastAsia="宋体" w:cs="Times New Roman"/>
                      <w:color w:val="000000"/>
                      <w:sz w:val="21"/>
                      <w:szCs w:val="21"/>
                      <w:lang w:val="en-US" w:eastAsia="zh-CN"/>
                    </w:rPr>
                    <w:t>+碱液喷淋</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36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1160"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半成品输送及储存</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袋式除尘器</w:t>
                  </w:r>
                </w:p>
              </w:tc>
              <w:tc>
                <w:tcPr>
                  <w:tcW w:w="1203"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通过布袋除尘器收集后回用于生产，不外排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36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1160"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粉磨风选废气</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袋式除尘器</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通过布袋除尘器收集后回用于生产，不外排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8"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36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1160"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成品输送及储存</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袋式除尘器</w:t>
                  </w:r>
                </w:p>
              </w:tc>
              <w:tc>
                <w:tcPr>
                  <w:tcW w:w="1203" w:type="pct"/>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lang w:val="en-US" w:eastAsia="zh-CN"/>
                    </w:rPr>
                    <w:t>通过布袋除尘器收集后回用于生产，不外排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30"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36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1160"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造粒、烘干、冷却、筛分废气</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eastAsia="zh-CN"/>
                    </w:rPr>
                    <w:t>袋式除尘器</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造粒废气通过</w:t>
                  </w:r>
                  <w:r>
                    <w:rPr>
                      <w:rFonts w:hint="default" w:ascii="Times New Roman" w:hAnsi="Times New Roman" w:eastAsia="宋体" w:cs="Times New Roman"/>
                      <w:color w:val="000000"/>
                      <w:sz w:val="21"/>
                      <w:szCs w:val="21"/>
                      <w:lang w:eastAsia="zh-CN"/>
                    </w:rPr>
                    <w:t>袋式除尘器</w:t>
                  </w:r>
                  <w:r>
                    <w:rPr>
                      <w:rFonts w:hint="default" w:ascii="Times New Roman" w:hAnsi="Times New Roman" w:eastAsia="宋体" w:cs="Times New Roman"/>
                      <w:color w:val="000000"/>
                      <w:sz w:val="21"/>
                      <w:szCs w:val="21"/>
                      <w:lang w:val="en-US" w:eastAsia="zh-CN"/>
                    </w:rPr>
                    <w:t>+碱液喷淋</w:t>
                  </w:r>
                  <w:r>
                    <w:rPr>
                      <w:rFonts w:hint="eastAsia" w:ascii="Times New Roman" w:hAnsi="Times New Roman" w:eastAsia="宋体" w:cs="Times New Roman"/>
                      <w:color w:val="000000"/>
                      <w:sz w:val="21"/>
                      <w:szCs w:val="21"/>
                      <w:lang w:val="en-US" w:eastAsia="zh-CN"/>
                    </w:rPr>
                    <w:t>处理，烘干、冷却、筛分废气通过布袋除尘器收集后回用于生产，不外排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0"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36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1160"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包装废气</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eastAsia="zh-CN"/>
                    </w:rPr>
                    <w:t>袋式除尘器</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通过</w:t>
                  </w:r>
                  <w:r>
                    <w:rPr>
                      <w:rFonts w:hint="default" w:ascii="Times New Roman" w:hAnsi="Times New Roman" w:eastAsia="宋体" w:cs="Times New Roman"/>
                      <w:color w:val="000000"/>
                      <w:sz w:val="21"/>
                      <w:szCs w:val="21"/>
                      <w:lang w:eastAsia="zh-CN"/>
                    </w:rPr>
                    <w:t>袋式除尘器</w:t>
                  </w:r>
                  <w:r>
                    <w:rPr>
                      <w:rFonts w:hint="eastAsia" w:ascii="Times New Roman" w:hAnsi="Times New Roman" w:eastAsia="宋体" w:cs="Times New Roman"/>
                      <w:color w:val="000000"/>
                      <w:sz w:val="21"/>
                      <w:szCs w:val="21"/>
                      <w:lang w:val="en-US" w:eastAsia="zh-CN"/>
                    </w:rPr>
                    <w:t>收集后作为成品，不外排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9"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152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噪声</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减振、隔声</w:t>
                  </w:r>
                </w:p>
              </w:tc>
              <w:tc>
                <w:tcPr>
                  <w:tcW w:w="120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4" w:hRule="atLeast"/>
                <w:jc w:val="center"/>
              </w:trPr>
              <w:tc>
                <w:tcPr>
                  <w:tcW w:w="42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p>
              </w:tc>
              <w:tc>
                <w:tcPr>
                  <w:tcW w:w="1527"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固废</w:t>
                  </w:r>
                </w:p>
              </w:tc>
              <w:tc>
                <w:tcPr>
                  <w:tcW w:w="18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一般固废间</w:t>
                  </w:r>
                </w:p>
              </w:tc>
              <w:tc>
                <w:tcPr>
                  <w:tcW w:w="1203" w:type="pct"/>
                  <w:noWrap w:val="0"/>
                  <w:vAlign w:val="center"/>
                </w:tcPr>
                <w:p>
                  <w:pPr>
                    <w:pStyle w:val="2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lang w:val="en-US" w:eastAsia="zh-CN"/>
                    </w:rPr>
                    <w:t>与环评一致</w:t>
                  </w:r>
                </w:p>
              </w:tc>
            </w:tr>
          </w:tbl>
          <w:p>
            <w:pPr>
              <w:pStyle w:val="31"/>
              <w:jc w:val="center"/>
              <w:rPr>
                <w:rFonts w:hint="eastAsia" w:ascii="Times New Roman" w:hAnsi="Times New Roman" w:cs="Times New Roman"/>
                <w:b/>
                <w:bCs/>
                <w:color w:val="000000" w:themeColor="text1"/>
                <w:sz w:val="21"/>
                <w:szCs w:val="21"/>
                <w14:textFill>
                  <w14:solidFill>
                    <w14:schemeClr w14:val="tx1"/>
                  </w14:solidFill>
                </w14:textFill>
              </w:rPr>
            </w:pPr>
          </w:p>
          <w:p>
            <w:pPr>
              <w:pStyle w:val="31"/>
              <w:jc w:val="center"/>
              <w:rPr>
                <w:rFonts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 xml:space="preserve">表2-2 </w:t>
            </w:r>
            <w:r>
              <w:rPr>
                <w:rFonts w:ascii="Times New Roman" w:hAnsi="Times New Roman" w:cs="Times New Roman"/>
                <w:b/>
                <w:bCs/>
                <w:color w:val="000000" w:themeColor="text1"/>
                <w:sz w:val="21"/>
                <w:szCs w:val="21"/>
                <w14:textFill>
                  <w14:solidFill>
                    <w14:schemeClr w14:val="tx1"/>
                  </w14:solidFill>
                </w14:textFill>
              </w:rPr>
              <w:t>项目</w:t>
            </w:r>
            <w:r>
              <w:rPr>
                <w:rFonts w:hint="eastAsia" w:ascii="Times New Roman" w:hAnsi="Times New Roman" w:cs="Times New Roman"/>
                <w:b/>
                <w:bCs/>
                <w:color w:val="000000" w:themeColor="text1"/>
                <w:sz w:val="21"/>
                <w:szCs w:val="21"/>
                <w14:textFill>
                  <w14:solidFill>
                    <w14:schemeClr w14:val="tx1"/>
                  </w14:solidFill>
                </w14:textFill>
              </w:rPr>
              <w:t>产品方案</w:t>
            </w:r>
          </w:p>
          <w:tbl>
            <w:tblPr>
              <w:tblStyle w:val="24"/>
              <w:tblW w:w="8725" w:type="dxa"/>
              <w:jc w:val="center"/>
              <w:tblLayout w:type="fixed"/>
              <w:tblCellMar>
                <w:top w:w="0" w:type="dxa"/>
                <w:left w:w="108" w:type="dxa"/>
                <w:bottom w:w="0" w:type="dxa"/>
                <w:right w:w="108" w:type="dxa"/>
              </w:tblCellMar>
            </w:tblPr>
            <w:tblGrid>
              <w:gridCol w:w="1735"/>
              <w:gridCol w:w="2310"/>
              <w:gridCol w:w="2295"/>
              <w:gridCol w:w="2385"/>
            </w:tblGrid>
            <w:tr>
              <w:tblPrEx>
                <w:tblCellMar>
                  <w:top w:w="0" w:type="dxa"/>
                  <w:left w:w="108" w:type="dxa"/>
                  <w:bottom w:w="0" w:type="dxa"/>
                  <w:right w:w="108" w:type="dxa"/>
                </w:tblCellMar>
              </w:tblPrEx>
              <w:trPr>
                <w:trHeight w:val="312" w:hRule="atLeast"/>
                <w:jc w:val="center"/>
              </w:trPr>
              <w:tc>
                <w:tcPr>
                  <w:tcW w:w="1735" w:type="dxa"/>
                  <w:vMerge w:val="restart"/>
                  <w:tcBorders>
                    <w:top w:val="single" w:color="000000" w:sz="4" w:space="0"/>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产品名称</w:t>
                  </w:r>
                </w:p>
              </w:tc>
              <w:tc>
                <w:tcPr>
                  <w:tcW w:w="2310" w:type="dxa"/>
                  <w:vMerge w:val="restart"/>
                  <w:tcBorders>
                    <w:top w:val="single" w:color="000000" w:sz="4" w:space="0"/>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原辅材料名称</w:t>
                  </w:r>
                </w:p>
              </w:tc>
              <w:tc>
                <w:tcPr>
                  <w:tcW w:w="2295" w:type="dxa"/>
                  <w:vMerge w:val="restart"/>
                  <w:tcBorders>
                    <w:top w:val="single" w:color="000000" w:sz="4" w:space="0"/>
                    <w:left w:val="single" w:color="auto"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环评设计用量</w:t>
                  </w:r>
                </w:p>
              </w:tc>
              <w:tc>
                <w:tcPr>
                  <w:tcW w:w="2385" w:type="dxa"/>
                  <w:vMerge w:val="restart"/>
                  <w:tcBorders>
                    <w:top w:val="single" w:color="000000" w:sz="4" w:space="0"/>
                    <w:left w:val="single" w:color="auto"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实际用量</w:t>
                  </w:r>
                </w:p>
              </w:tc>
            </w:tr>
            <w:tr>
              <w:tblPrEx>
                <w:tblCellMar>
                  <w:top w:w="0" w:type="dxa"/>
                  <w:left w:w="108" w:type="dxa"/>
                  <w:bottom w:w="0" w:type="dxa"/>
                  <w:right w:w="108" w:type="dxa"/>
                </w:tblCellMar>
              </w:tblPrEx>
              <w:trPr>
                <w:trHeight w:val="312" w:hRule="atLeast"/>
                <w:jc w:val="center"/>
              </w:trPr>
              <w:tc>
                <w:tcPr>
                  <w:tcW w:w="1735" w:type="dxa"/>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310" w:type="dxa"/>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295" w:type="dxa"/>
                  <w:vMerge w:val="continue"/>
                  <w:tcBorders>
                    <w:left w:val="single" w:color="auto" w:sz="4" w:space="0"/>
                    <w:bottom w:val="single" w:color="auto"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2385" w:type="dxa"/>
                  <w:vMerge w:val="continue"/>
                  <w:tcBorders>
                    <w:left w:val="single" w:color="auto" w:sz="4" w:space="0"/>
                    <w:bottom w:val="single" w:color="auto"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r>
            <w:tr>
              <w:tblPrEx>
                <w:tblCellMar>
                  <w:top w:w="0" w:type="dxa"/>
                  <w:left w:w="108" w:type="dxa"/>
                  <w:bottom w:w="0" w:type="dxa"/>
                  <w:right w:w="108" w:type="dxa"/>
                </w:tblCellMar>
              </w:tblPrEx>
              <w:trPr>
                <w:trHeight w:val="274" w:hRule="atLeast"/>
                <w:jc w:val="center"/>
              </w:trPr>
              <w:tc>
                <w:tcPr>
                  <w:tcW w:w="1735" w:type="dxa"/>
                  <w:vMerge w:val="restart"/>
                  <w:tcBorders>
                    <w:top w:val="single" w:color="auto" w:sz="4" w:space="0"/>
                    <w:left w:val="single" w:color="auto" w:sz="4" w:space="0"/>
                    <w:right w:val="single" w:color="auto" w:sz="4" w:space="0"/>
                  </w:tcBorders>
                  <w:noWrap w:val="0"/>
                  <w:vAlign w:val="center"/>
                </w:tcPr>
                <w:p>
                  <w:pPr>
                    <w:pStyle w:val="20"/>
                    <w:pageBreakBefore w:val="0"/>
                    <w:kinsoku/>
                    <w:wordWrap/>
                    <w:overflowPunct/>
                    <w:topLinePunct w:val="0"/>
                    <w:bidi w:val="0"/>
                    <w:adjustRightInd w:val="0"/>
                    <w:snapToGrid w:val="0"/>
                    <w:ind w:left="0" w:leftChars="0" w:firstLine="0" w:firstLineChars="0"/>
                    <w:jc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t>牡蛎壳</w:t>
                  </w:r>
                  <w: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t>土壤改良剂</w:t>
                  </w:r>
                </w:p>
              </w:tc>
              <w:tc>
                <w:tcPr>
                  <w:tcW w:w="2310" w:type="dxa"/>
                  <w:vMerge w:val="restart"/>
                  <w:tcBorders>
                    <w:top w:val="single" w:color="auto" w:sz="4" w:space="0"/>
                    <w:left w:val="single" w:color="auto" w:sz="4" w:space="0"/>
                    <w:right w:val="single" w:color="auto" w:sz="4" w:space="0"/>
                  </w:tcBorders>
                  <w:noWrap w:val="0"/>
                  <w:vAlign w:val="center"/>
                </w:tcPr>
                <w:p>
                  <w:pPr>
                    <w:pStyle w:val="20"/>
                    <w:pageBreakBefore w:val="0"/>
                    <w:kinsoku/>
                    <w:wordWrap/>
                    <w:overflowPunct/>
                    <w:topLinePunct w:val="0"/>
                    <w:bidi w:val="0"/>
                    <w:adjustRightInd w:val="0"/>
                    <w:snapToGrid w:val="0"/>
                    <w:ind w:left="0" w:leftChars="0" w:firstLine="0" w:firstLineChars="0"/>
                    <w:jc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t>颗粒</w:t>
                  </w:r>
                </w:p>
              </w:tc>
              <w:tc>
                <w:tcPr>
                  <w:tcW w:w="229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cs="Times New Roman"/>
                      <w:color w:val="000000"/>
                      <w:kern w:val="28"/>
                      <w:sz w:val="21"/>
                      <w:szCs w:val="21"/>
                      <w:lang w:val="en-US" w:eastAsia="zh-CN"/>
                    </w:rPr>
                    <w:t>6</w:t>
                  </w:r>
                  <w:r>
                    <w:rPr>
                      <w:rFonts w:hint="eastAsia" w:ascii="Times New Roman" w:hAnsi="Times New Roman" w:eastAsia="宋体" w:cs="Times New Roman"/>
                      <w:color w:val="000000"/>
                      <w:kern w:val="28"/>
                      <w:sz w:val="21"/>
                      <w:szCs w:val="21"/>
                      <w:lang w:val="en-US" w:eastAsia="zh-CN"/>
                    </w:rPr>
                    <w:t>万</w:t>
                  </w:r>
                  <w:r>
                    <w:rPr>
                      <w:rFonts w:hint="eastAsia" w:ascii="Times New Roman" w:hAnsi="Times New Roman" w:cs="Times New Roman"/>
                      <w:color w:val="000000"/>
                      <w:sz w:val="21"/>
                      <w:szCs w:val="21"/>
                      <w:lang w:val="en-US" w:eastAsia="zh-CN"/>
                    </w:rPr>
                    <w:t>t</w:t>
                  </w:r>
                  <w:r>
                    <w:rPr>
                      <w:rFonts w:hint="default" w:ascii="Times New Roman" w:hAnsi="Times New Roman" w:cs="Times New Roman"/>
                      <w:color w:val="000000"/>
                      <w:sz w:val="21"/>
                      <w:szCs w:val="21"/>
                    </w:rPr>
                    <w:t>/a</w:t>
                  </w:r>
                </w:p>
              </w:tc>
              <w:tc>
                <w:tcPr>
                  <w:tcW w:w="23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cs="Times New Roman"/>
                      <w:color w:val="000000"/>
                      <w:kern w:val="28"/>
                      <w:sz w:val="21"/>
                      <w:szCs w:val="21"/>
                      <w:lang w:val="en-US" w:eastAsia="zh-CN"/>
                    </w:rPr>
                    <w:t>6</w:t>
                  </w:r>
                  <w:r>
                    <w:rPr>
                      <w:rFonts w:hint="eastAsia" w:ascii="Times New Roman" w:hAnsi="Times New Roman" w:eastAsia="宋体" w:cs="Times New Roman"/>
                      <w:color w:val="000000"/>
                      <w:kern w:val="28"/>
                      <w:sz w:val="21"/>
                      <w:szCs w:val="21"/>
                      <w:lang w:val="en-US" w:eastAsia="zh-CN"/>
                    </w:rPr>
                    <w:t>万</w:t>
                  </w:r>
                  <w:r>
                    <w:rPr>
                      <w:rFonts w:hint="eastAsia" w:ascii="Times New Roman" w:hAnsi="Times New Roman" w:cs="Times New Roman"/>
                      <w:color w:val="000000"/>
                      <w:sz w:val="21"/>
                      <w:szCs w:val="21"/>
                      <w:lang w:val="en-US" w:eastAsia="zh-CN"/>
                    </w:rPr>
                    <w:t>t</w:t>
                  </w:r>
                  <w:r>
                    <w:rPr>
                      <w:rFonts w:hint="default" w:ascii="Times New Roman" w:hAnsi="Times New Roman" w:cs="Times New Roman"/>
                      <w:color w:val="000000"/>
                      <w:sz w:val="21"/>
                      <w:szCs w:val="21"/>
                    </w:rPr>
                    <w:t>/a</w:t>
                  </w:r>
                </w:p>
              </w:tc>
            </w:tr>
            <w:tr>
              <w:tblPrEx>
                <w:tblCellMar>
                  <w:top w:w="0" w:type="dxa"/>
                  <w:left w:w="108" w:type="dxa"/>
                  <w:bottom w:w="0" w:type="dxa"/>
                  <w:right w:w="108" w:type="dxa"/>
                </w:tblCellMar>
              </w:tblPrEx>
              <w:trPr>
                <w:trHeight w:val="90" w:hRule="atLeast"/>
                <w:jc w:val="center"/>
              </w:trPr>
              <w:tc>
                <w:tcPr>
                  <w:tcW w:w="1735" w:type="dxa"/>
                  <w:vMerge w:val="continue"/>
                  <w:tcBorders>
                    <w:left w:val="single" w:color="auto" w:sz="4" w:space="0"/>
                    <w:right w:val="single" w:color="auto" w:sz="4" w:space="0"/>
                  </w:tcBorders>
                  <w:noWrap w:val="0"/>
                  <w:vAlign w:val="center"/>
                </w:tcPr>
                <w:p>
                  <w:pPr>
                    <w:pStyle w:val="20"/>
                    <w:pageBreakBefore w:val="0"/>
                    <w:kinsoku/>
                    <w:wordWrap/>
                    <w:overflowPunct/>
                    <w:topLinePunct w:val="0"/>
                    <w:bidi w:val="0"/>
                    <w:adjustRightInd w:val="0"/>
                    <w:snapToGrid w:val="0"/>
                    <w:ind w:left="0" w:leftChars="0" w:firstLine="0" w:firstLineChars="0"/>
                    <w:jc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p>
              </w:tc>
              <w:tc>
                <w:tcPr>
                  <w:tcW w:w="2310" w:type="dxa"/>
                  <w:vMerge w:val="continue"/>
                  <w:tcBorders>
                    <w:left w:val="single" w:color="auto" w:sz="4" w:space="0"/>
                    <w:bottom w:val="single" w:color="000000" w:sz="4" w:space="0"/>
                    <w:right w:val="single" w:color="auto" w:sz="4" w:space="0"/>
                  </w:tcBorders>
                  <w:noWrap w:val="0"/>
                  <w:vAlign w:val="center"/>
                </w:tcPr>
                <w:p>
                  <w:pPr>
                    <w:pStyle w:val="20"/>
                    <w:pageBreakBefore w:val="0"/>
                    <w:kinsoku/>
                    <w:wordWrap/>
                    <w:overflowPunct/>
                    <w:topLinePunct w:val="0"/>
                    <w:bidi w:val="0"/>
                    <w:adjustRightInd w:val="0"/>
                    <w:snapToGrid w:val="0"/>
                    <w:ind w:left="0" w:leftChars="0" w:firstLine="0" w:firstLineChars="0"/>
                    <w:jc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p>
              </w:tc>
              <w:tc>
                <w:tcPr>
                  <w:tcW w:w="2295" w:type="dxa"/>
                  <w:tcBorders>
                    <w:top w:val="single" w:color="000000" w:sz="4" w:space="0"/>
                    <w:left w:val="single" w:color="auto" w:sz="4" w:space="0"/>
                    <w:bottom w:val="single" w:color="000000"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cs="Times New Roman"/>
                      <w:color w:val="000000"/>
                      <w:kern w:val="28"/>
                      <w:sz w:val="21"/>
                      <w:szCs w:val="21"/>
                      <w:lang w:val="en-US" w:eastAsia="zh-CN"/>
                    </w:rPr>
                    <w:t>6</w:t>
                  </w:r>
                  <w:r>
                    <w:rPr>
                      <w:rFonts w:hint="eastAsia" w:ascii="Times New Roman" w:hAnsi="Times New Roman" w:eastAsia="宋体" w:cs="Times New Roman"/>
                      <w:color w:val="000000"/>
                      <w:kern w:val="28"/>
                      <w:sz w:val="21"/>
                      <w:szCs w:val="21"/>
                      <w:lang w:val="en-US" w:eastAsia="zh-CN"/>
                    </w:rPr>
                    <w:t>万</w:t>
                  </w:r>
                  <w:r>
                    <w:rPr>
                      <w:rFonts w:hint="eastAsia" w:ascii="Times New Roman" w:hAnsi="Times New Roman" w:cs="Times New Roman"/>
                      <w:color w:val="000000"/>
                      <w:sz w:val="21"/>
                      <w:szCs w:val="21"/>
                      <w:lang w:val="en-US" w:eastAsia="zh-CN"/>
                    </w:rPr>
                    <w:t>t</w:t>
                  </w:r>
                  <w:r>
                    <w:rPr>
                      <w:rFonts w:hint="default" w:ascii="Times New Roman" w:hAnsi="Times New Roman" w:cs="Times New Roman"/>
                      <w:color w:val="000000"/>
                      <w:sz w:val="21"/>
                      <w:szCs w:val="21"/>
                    </w:rPr>
                    <w:t>/a</w:t>
                  </w:r>
                </w:p>
              </w:tc>
              <w:tc>
                <w:tcPr>
                  <w:tcW w:w="2385" w:type="dxa"/>
                  <w:tcBorders>
                    <w:top w:val="single" w:color="000000" w:sz="4" w:space="0"/>
                    <w:left w:val="single" w:color="auto" w:sz="4" w:space="0"/>
                    <w:bottom w:val="single" w:color="000000"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cs="Times New Roman"/>
                      <w:color w:val="000000"/>
                      <w:kern w:val="28"/>
                      <w:sz w:val="21"/>
                      <w:szCs w:val="21"/>
                      <w:lang w:val="en-US" w:eastAsia="zh-CN"/>
                    </w:rPr>
                    <w:t>6</w:t>
                  </w:r>
                  <w:r>
                    <w:rPr>
                      <w:rFonts w:hint="eastAsia" w:ascii="Times New Roman" w:hAnsi="Times New Roman" w:eastAsia="宋体" w:cs="Times New Roman"/>
                      <w:color w:val="000000"/>
                      <w:kern w:val="28"/>
                      <w:sz w:val="21"/>
                      <w:szCs w:val="21"/>
                      <w:lang w:val="en-US" w:eastAsia="zh-CN"/>
                    </w:rPr>
                    <w:t>万</w:t>
                  </w:r>
                  <w:r>
                    <w:rPr>
                      <w:rFonts w:hint="eastAsia" w:ascii="Times New Roman" w:hAnsi="Times New Roman" w:cs="Times New Roman"/>
                      <w:color w:val="000000"/>
                      <w:sz w:val="21"/>
                      <w:szCs w:val="21"/>
                      <w:lang w:val="en-US" w:eastAsia="zh-CN"/>
                    </w:rPr>
                    <w:t>t</w:t>
                  </w:r>
                  <w:r>
                    <w:rPr>
                      <w:rFonts w:hint="default" w:ascii="Times New Roman" w:hAnsi="Times New Roman" w:cs="Times New Roman"/>
                      <w:color w:val="000000"/>
                      <w:sz w:val="21"/>
                      <w:szCs w:val="21"/>
                    </w:rPr>
                    <w:t>/a</w:t>
                  </w:r>
                </w:p>
              </w:tc>
            </w:tr>
            <w:tr>
              <w:tblPrEx>
                <w:tblCellMar>
                  <w:top w:w="0" w:type="dxa"/>
                  <w:left w:w="108" w:type="dxa"/>
                  <w:bottom w:w="0" w:type="dxa"/>
                  <w:right w:w="108" w:type="dxa"/>
                </w:tblCellMar>
              </w:tblPrEx>
              <w:trPr>
                <w:trHeight w:val="90" w:hRule="atLeast"/>
                <w:jc w:val="center"/>
              </w:trPr>
              <w:tc>
                <w:tcPr>
                  <w:tcW w:w="1735" w:type="dxa"/>
                  <w:vMerge w:val="continue"/>
                  <w:tcBorders>
                    <w:left w:val="single" w:color="auto" w:sz="4" w:space="0"/>
                    <w:bottom w:val="single" w:color="auto" w:sz="4" w:space="0"/>
                    <w:right w:val="single" w:color="auto" w:sz="4" w:space="0"/>
                  </w:tcBorders>
                  <w:noWrap w:val="0"/>
                  <w:vAlign w:val="center"/>
                </w:tcPr>
                <w:p>
                  <w:pPr>
                    <w:pStyle w:val="20"/>
                    <w:pageBreakBefore w:val="0"/>
                    <w:kinsoku/>
                    <w:wordWrap/>
                    <w:overflowPunct/>
                    <w:topLinePunct w:val="0"/>
                    <w:bidi w:val="0"/>
                    <w:adjustRightInd w:val="0"/>
                    <w:snapToGrid w:val="0"/>
                    <w:ind w:left="0" w:leftChars="0" w:firstLine="0" w:firstLineChars="0"/>
                    <w:jc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p>
              </w:tc>
              <w:tc>
                <w:tcPr>
                  <w:tcW w:w="2310" w:type="dxa"/>
                  <w:tcBorders>
                    <w:top w:val="single" w:color="000000" w:sz="4" w:space="0"/>
                    <w:left w:val="single" w:color="auto" w:sz="4" w:space="0"/>
                    <w:bottom w:val="single" w:color="000000" w:sz="4" w:space="0"/>
                    <w:right w:val="single" w:color="auto" w:sz="4" w:space="0"/>
                  </w:tcBorders>
                  <w:noWrap w:val="0"/>
                  <w:vAlign w:val="center"/>
                </w:tcPr>
                <w:p>
                  <w:pPr>
                    <w:pStyle w:val="20"/>
                    <w:pageBreakBefore w:val="0"/>
                    <w:kinsoku/>
                    <w:wordWrap/>
                    <w:overflowPunct/>
                    <w:topLinePunct w:val="0"/>
                    <w:bidi w:val="0"/>
                    <w:adjustRightInd w:val="0"/>
                    <w:snapToGrid w:val="0"/>
                    <w:ind w:left="0" w:leftChars="0" w:firstLine="0" w:firstLineChars="0"/>
                    <w:jc w:val="cente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t>粉剂</w:t>
                  </w:r>
                </w:p>
              </w:tc>
              <w:tc>
                <w:tcPr>
                  <w:tcW w:w="2295" w:type="dxa"/>
                  <w:tcBorders>
                    <w:top w:val="single" w:color="000000" w:sz="4" w:space="0"/>
                    <w:left w:val="single" w:color="auto" w:sz="4" w:space="0"/>
                    <w:bottom w:val="single" w:color="000000" w:sz="4" w:space="0"/>
                    <w:right w:val="single" w:color="auto" w:sz="4" w:space="0"/>
                  </w:tcBorders>
                  <w:noWrap w:val="0"/>
                  <w:vAlign w:val="center"/>
                </w:tcPr>
                <w:p>
                  <w:pPr>
                    <w:jc w:val="cente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cs="Times New Roman"/>
                      <w:color w:val="000000"/>
                      <w:sz w:val="21"/>
                      <w:szCs w:val="21"/>
                      <w:lang w:val="en-US" w:eastAsia="zh-CN"/>
                    </w:rPr>
                    <w:t>30</w:t>
                  </w:r>
                  <w:r>
                    <w:rPr>
                      <w:rFonts w:hint="default" w:ascii="Times New Roman" w:hAnsi="Times New Roman" w:cs="Times New Roman"/>
                      <w:color w:val="000000"/>
                      <w:sz w:val="21"/>
                      <w:szCs w:val="21"/>
                    </w:rPr>
                    <w:t>t/a</w:t>
                  </w:r>
                </w:p>
              </w:tc>
              <w:tc>
                <w:tcPr>
                  <w:tcW w:w="2385" w:type="dxa"/>
                  <w:tcBorders>
                    <w:top w:val="single" w:color="000000" w:sz="4" w:space="0"/>
                    <w:left w:val="single" w:color="auto" w:sz="4" w:space="0"/>
                    <w:bottom w:val="single" w:color="000000" w:sz="4" w:space="0"/>
                    <w:right w:val="single" w:color="auto" w:sz="4" w:space="0"/>
                  </w:tcBorders>
                  <w:noWrap w:val="0"/>
                  <w:vAlign w:val="center"/>
                </w:tcPr>
                <w:p>
                  <w:pPr>
                    <w:jc w:val="cente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cs="Times New Roman"/>
                      <w:color w:val="000000"/>
                      <w:sz w:val="21"/>
                      <w:szCs w:val="21"/>
                      <w:lang w:val="en-US" w:eastAsia="zh-CN"/>
                    </w:rPr>
                    <w:t>30</w:t>
                  </w:r>
                  <w:r>
                    <w:rPr>
                      <w:rFonts w:hint="default" w:ascii="Times New Roman" w:hAnsi="Times New Roman" w:cs="Times New Roman"/>
                      <w:color w:val="000000"/>
                      <w:sz w:val="21"/>
                      <w:szCs w:val="21"/>
                    </w:rPr>
                    <w:t>t/a</w:t>
                  </w:r>
                </w:p>
              </w:tc>
            </w:tr>
          </w:tbl>
          <w:p>
            <w:pPr>
              <w:pStyle w:val="31"/>
              <w:jc w:val="center"/>
              <w:rPr>
                <w:rFonts w:hint="eastAsia" w:ascii="Times New Roman" w:hAnsi="Times New Roman" w:cs="Times New Roman"/>
                <w:b/>
                <w:bCs/>
                <w:color w:val="0000FF"/>
                <w:sz w:val="21"/>
                <w:szCs w:val="21"/>
              </w:rPr>
            </w:pPr>
          </w:p>
          <w:p>
            <w:pPr>
              <w:pStyle w:val="31"/>
              <w:jc w:val="center"/>
              <w:rPr>
                <w:rFonts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表2-3 主要生产设备一览表</w:t>
            </w:r>
          </w:p>
          <w:tbl>
            <w:tblPr>
              <w:tblStyle w:val="24"/>
              <w:tblW w:w="8694"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796"/>
              <w:gridCol w:w="2906"/>
              <w:gridCol w:w="1788"/>
              <w:gridCol w:w="1545"/>
              <w:gridCol w:w="1659"/>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645"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设备名称</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eastAsia="zh-CN"/>
                    </w:rPr>
                    <w:t>型号</w:t>
                  </w:r>
                  <w:r>
                    <w:rPr>
                      <w:rFonts w:hint="default" w:ascii="Times New Roman" w:hAnsi="Times New Roman" w:eastAsia="宋体" w:cs="Times New Roman"/>
                      <w:color w:val="000000"/>
                      <w:sz w:val="21"/>
                      <w:szCs w:val="21"/>
                      <w:lang w:val="en-US" w:eastAsia="zh-CN"/>
                    </w:rPr>
                    <w:t>/规格</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设计</w:t>
                  </w:r>
                  <w:r>
                    <w:rPr>
                      <w:rFonts w:hint="default" w:ascii="Times New Roman" w:hAnsi="Times New Roman" w:eastAsia="宋体" w:cs="Times New Roman"/>
                      <w:color w:val="000000"/>
                      <w:sz w:val="21"/>
                      <w:szCs w:val="21"/>
                    </w:rPr>
                    <w:t>数量</w:t>
                  </w:r>
                </w:p>
              </w:tc>
              <w:tc>
                <w:tcPr>
                  <w:tcW w:w="954"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实际数量</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34" w:hRule="atLeast"/>
                <w:jc w:val="center"/>
              </w:trPr>
              <w:tc>
                <w:tcPr>
                  <w:tcW w:w="457" w:type="pct"/>
                  <w:vMerge w:val="restar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1671" w:type="pct"/>
                  <w:vMerge w:val="restar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皮带给料机</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B650x1500</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1套</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1套</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34" w:hRule="atLeast"/>
                <w:jc w:val="center"/>
              </w:trPr>
              <w:tc>
                <w:tcPr>
                  <w:tcW w:w="457"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sz w:val="21"/>
                      <w:szCs w:val="21"/>
                      <w:lang w:val="en-US" w:eastAsia="zh-CN"/>
                    </w:rPr>
                  </w:pPr>
                </w:p>
              </w:tc>
              <w:tc>
                <w:tcPr>
                  <w:tcW w:w="1671"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jc w:val="center"/>
                    <w:textAlignment w:val="auto"/>
                    <w:rPr>
                      <w:rFonts w:hint="default" w:ascii="Times New Roman" w:hAnsi="Times New Roman" w:eastAsia="宋体" w:cs="Times New Roman"/>
                      <w:color w:val="000000"/>
                      <w:sz w:val="21"/>
                      <w:szCs w:val="21"/>
                      <w:lang w:eastAsia="zh-CN"/>
                    </w:rPr>
                  </w:pP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B500×1250</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1套</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1套</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2</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对辊挤压破碎机</w:t>
                  </w:r>
                </w:p>
              </w:tc>
              <w:tc>
                <w:tcPr>
                  <w:tcW w:w="102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2PG400X450</w:t>
                  </w:r>
                </w:p>
              </w:tc>
              <w:tc>
                <w:tcPr>
                  <w:tcW w:w="88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1台</w:t>
                  </w:r>
                </w:p>
              </w:tc>
              <w:tc>
                <w:tcPr>
                  <w:tcW w:w="1659" w:type="dxa"/>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vMerge w:val="restar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w:t>
                  </w:r>
                </w:p>
              </w:tc>
              <w:tc>
                <w:tcPr>
                  <w:tcW w:w="1671" w:type="pct"/>
                  <w:vMerge w:val="restar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皮带输送机</w:t>
                  </w:r>
                </w:p>
              </w:tc>
              <w:tc>
                <w:tcPr>
                  <w:tcW w:w="102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B500×25m</w:t>
                  </w:r>
                </w:p>
              </w:tc>
              <w:tc>
                <w:tcPr>
                  <w:tcW w:w="88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1套</w:t>
                  </w:r>
                </w:p>
              </w:tc>
              <w:tc>
                <w:tcPr>
                  <w:tcW w:w="1659" w:type="dxa"/>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1套</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p>
              </w:tc>
              <w:tc>
                <w:tcPr>
                  <w:tcW w:w="1671"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p>
              </w:tc>
              <w:tc>
                <w:tcPr>
                  <w:tcW w:w="102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B500×16.8m</w:t>
                  </w:r>
                </w:p>
              </w:tc>
              <w:tc>
                <w:tcPr>
                  <w:tcW w:w="88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1套</w:t>
                  </w:r>
                </w:p>
              </w:tc>
              <w:tc>
                <w:tcPr>
                  <w:tcW w:w="1659" w:type="dxa"/>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1套</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p>
              </w:tc>
              <w:tc>
                <w:tcPr>
                  <w:tcW w:w="1671"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p>
              </w:tc>
              <w:tc>
                <w:tcPr>
                  <w:tcW w:w="102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B500×12.5m</w:t>
                  </w:r>
                </w:p>
              </w:tc>
              <w:tc>
                <w:tcPr>
                  <w:tcW w:w="88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1套</w:t>
                  </w:r>
                </w:p>
              </w:tc>
              <w:tc>
                <w:tcPr>
                  <w:tcW w:w="1659" w:type="dxa"/>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1套</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p>
              </w:tc>
              <w:tc>
                <w:tcPr>
                  <w:tcW w:w="1671"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p>
              </w:tc>
              <w:tc>
                <w:tcPr>
                  <w:tcW w:w="102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B650×14.2m</w:t>
                  </w:r>
                </w:p>
              </w:tc>
              <w:tc>
                <w:tcPr>
                  <w:tcW w:w="888" w:type="pct"/>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1套</w:t>
                  </w:r>
                </w:p>
              </w:tc>
              <w:tc>
                <w:tcPr>
                  <w:tcW w:w="1659" w:type="dxa"/>
                  <w:tcBorders>
                    <w:tl2br w:val="nil"/>
                    <w:tr2bl w:val="nil"/>
                  </w:tcBorders>
                  <w:noWrap w:val="0"/>
                  <w:vAlign w:val="center"/>
                </w:tcPr>
                <w:p>
                  <w:pPr>
                    <w:pStyle w:val="52"/>
                    <w:pageBreakBefore w:val="0"/>
                    <w:widowControl w:val="0"/>
                    <w:kinsoku/>
                    <w:wordWrap/>
                    <w:overflowPunct/>
                    <w:topLinePunct w:val="0"/>
                    <w:autoSpaceDE/>
                    <w:autoSpaceDN/>
                    <w:bidi w:val="0"/>
                    <w:snapToGrid/>
                    <w:spacing w:before="0" w:beforeLines="0" w:after="0" w:afterLines="0" w:line="260" w:lineRule="exact"/>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1套</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4</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滚筒烘干机</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φ2.6×20m</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vMerge w:val="restar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1671" w:type="pct"/>
                  <w:vMerge w:val="restar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板链式提升机</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15m</w:t>
                  </w:r>
                  <w:r>
                    <w:rPr>
                      <w:rFonts w:hint="default" w:ascii="Times New Roman" w:hAnsi="Times New Roman" w:eastAsia="宋体" w:cs="Times New Roman"/>
                      <w:color w:val="000000"/>
                      <w:sz w:val="21"/>
                      <w:szCs w:val="21"/>
                      <w:vertAlign w:val="superscript"/>
                      <w:lang w:val="en-US" w:eastAsia="zh-CN"/>
                    </w:rPr>
                    <w:t>3</w:t>
                  </w:r>
                  <w:r>
                    <w:rPr>
                      <w:rFonts w:hint="default" w:ascii="Times New Roman" w:hAnsi="Times New Roman" w:eastAsia="宋体" w:cs="Times New Roman"/>
                      <w:color w:val="000000"/>
                      <w:sz w:val="21"/>
                      <w:szCs w:val="21"/>
                      <w:lang w:val="en-US" w:eastAsia="zh-CN"/>
                    </w:rPr>
                    <w:t>/h</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rPr>
                  </w:pPr>
                </w:p>
              </w:tc>
              <w:tc>
                <w:tcPr>
                  <w:tcW w:w="1671"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30m</w:t>
                  </w:r>
                  <w:r>
                    <w:rPr>
                      <w:rFonts w:hint="default" w:ascii="Times New Roman" w:hAnsi="Times New Roman" w:eastAsia="宋体" w:cs="Times New Roman"/>
                      <w:color w:val="000000"/>
                      <w:sz w:val="21"/>
                      <w:szCs w:val="21"/>
                      <w:vertAlign w:val="superscript"/>
                      <w:lang w:val="en-US" w:eastAsia="zh-CN"/>
                    </w:rPr>
                    <w:t>3</w:t>
                  </w:r>
                  <w:r>
                    <w:rPr>
                      <w:rFonts w:hint="default" w:ascii="Times New Roman" w:hAnsi="Times New Roman" w:eastAsia="宋体" w:cs="Times New Roman"/>
                      <w:color w:val="000000"/>
                      <w:sz w:val="21"/>
                      <w:szCs w:val="21"/>
                      <w:lang w:val="en-US" w:eastAsia="zh-CN"/>
                    </w:rPr>
                    <w:t>/h</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rPr>
                  </w:pPr>
                </w:p>
              </w:tc>
              <w:tc>
                <w:tcPr>
                  <w:tcW w:w="1671" w:type="pct"/>
                  <w:vMerge w:val="continue"/>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60m</w:t>
                  </w:r>
                  <w:r>
                    <w:rPr>
                      <w:rFonts w:hint="default" w:ascii="Times New Roman" w:hAnsi="Times New Roman" w:eastAsia="宋体" w:cs="Times New Roman"/>
                      <w:color w:val="000000"/>
                      <w:sz w:val="21"/>
                      <w:szCs w:val="21"/>
                      <w:vertAlign w:val="superscript"/>
                      <w:lang w:val="en-US" w:eastAsia="zh-CN"/>
                    </w:rPr>
                    <w:t>3</w:t>
                  </w:r>
                  <w:r>
                    <w:rPr>
                      <w:rFonts w:hint="default" w:ascii="Times New Roman" w:hAnsi="Times New Roman" w:eastAsia="宋体" w:cs="Times New Roman"/>
                      <w:color w:val="000000"/>
                      <w:sz w:val="21"/>
                      <w:szCs w:val="21"/>
                      <w:lang w:val="en-US" w:eastAsia="zh-CN"/>
                    </w:rPr>
                    <w:t>/h</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空气输送斜槽</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B315×8.5m</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1套</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1套</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单管螺旋输送机</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φ300×4.5m</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8</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lang w:eastAsia="zh-CN"/>
                    </w:rPr>
                  </w:pPr>
                  <w:r>
                    <w:rPr>
                      <w:rFonts w:hint="default" w:ascii="Times New Roman" w:hAnsi="Times New Roman" w:eastAsia="宋体" w:cs="Times New Roman"/>
                      <w:color w:val="000000"/>
                      <w:lang w:eastAsia="zh-CN"/>
                    </w:rPr>
                    <w:t>电子定量包装称</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DCS-50</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冲击式破碎机</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PC400×300</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10</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包装机</w:t>
                  </w:r>
                </w:p>
              </w:tc>
              <w:tc>
                <w:tcPr>
                  <w:tcW w:w="10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11</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空压机</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GA-30HP</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12</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热风炉（沸腾炉）</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eastAsia="zh-CN"/>
                    </w:rPr>
                    <w:t>——</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13</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造粒机</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35000×600</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19"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14</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筛分机</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1600×60000</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1台</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43" w:hRule="atLeast"/>
                <w:jc w:val="center"/>
              </w:trPr>
              <w:tc>
                <w:tcPr>
                  <w:tcW w:w="457"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15</w:t>
                  </w:r>
                </w:p>
              </w:tc>
              <w:tc>
                <w:tcPr>
                  <w:tcW w:w="1671"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冷却机</w:t>
                  </w:r>
                </w:p>
              </w:tc>
              <w:tc>
                <w:tcPr>
                  <w:tcW w:w="102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2000×20000</w:t>
                  </w:r>
                </w:p>
              </w:tc>
              <w:tc>
                <w:tcPr>
                  <w:tcW w:w="888" w:type="pct"/>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1台</w:t>
                  </w:r>
                </w:p>
              </w:tc>
              <w:tc>
                <w:tcPr>
                  <w:tcW w:w="1659" w:type="dxa"/>
                  <w:tcBorders>
                    <w:tl2br w:val="nil"/>
                    <w:tr2bl w:val="nil"/>
                  </w:tcBorders>
                  <w:noWrap w:val="0"/>
                  <w:vAlign w:val="center"/>
                </w:tcPr>
                <w:p>
                  <w:pPr>
                    <w:pageBreakBefore w:val="0"/>
                    <w:widowControl w:val="0"/>
                    <w:kinsoku/>
                    <w:wordWrap/>
                    <w:overflowPunct/>
                    <w:topLinePunct w:val="0"/>
                    <w:autoSpaceDE/>
                    <w:autoSpaceDN/>
                    <w:bidi w:val="0"/>
                    <w:adjustRightInd w:val="0"/>
                    <w:snapToGrid/>
                    <w:spacing w:line="260" w:lineRule="exact"/>
                    <w:contextualSpacing/>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1台</w:t>
                  </w:r>
                </w:p>
              </w:tc>
            </w:tr>
          </w:tbl>
          <w:p>
            <w:pPr>
              <w:pStyle w:val="31"/>
              <w:spacing w:before="200" w:line="360" w:lineRule="auto"/>
              <w:ind w:left="440" w:left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3、验收范围</w:t>
            </w:r>
          </w:p>
          <w:p>
            <w:pPr>
              <w:pStyle w:val="31"/>
              <w:spacing w:line="360" w:lineRule="auto"/>
              <w:ind w:firstLine="480" w:firstLineChars="200"/>
              <w:jc w:val="both"/>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泉州玛塔生态科技有限公司惠安县牡蛎壳固废垃圾综合处理与利用项目选址于福建省泉州市惠安县辋川镇轻工园区，</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目前</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本</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项目</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已建成并投入试生产</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故本次验收针对泉州玛塔生态科技有限公司惠安县牡蛎壳固废垃圾综合处理与利用项目进行整体验收</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w:t>
            </w:r>
          </w:p>
          <w:p>
            <w:pPr>
              <w:pStyle w:val="31"/>
              <w:spacing w:line="360" w:lineRule="auto"/>
              <w:ind w:firstLine="482" w:firstLineChars="200"/>
              <w:jc w:val="left"/>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4、工程变动情况</w:t>
            </w:r>
          </w:p>
          <w:p>
            <w:pPr>
              <w:widowControl w:val="0"/>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根据《中华人民共和国环境影响评价法》和《建设项目环境保护管理条例》有关规定：“建设项目的环境影响评价文件经批准后，建设项目的性质、规模、地点、采用的生产工艺或者防治污染、防止生态破坏的措施发生重大变动的，建设单位应当重新报批建设项目的环境影响评价文件”。根据环境保护部办公厅文件</w:t>
            </w:r>
            <w:r>
              <w:rPr>
                <w:rFonts w:ascii="Times New Roman" w:hAnsi="Times New Roman" w:eastAsia="宋体" w:cs="Times New Roman"/>
                <w:b w:val="0"/>
                <w:bCs w:val="0"/>
                <w:color w:val="auto"/>
                <w:sz w:val="24"/>
              </w:rPr>
              <w:t>《污染影响类建设项目重大变动清单（试行）》</w:t>
            </w:r>
            <w:r>
              <w:rPr>
                <w:rFonts w:hint="eastAsia" w:ascii="Times New Roman" w:hAnsi="Times New Roman" w:eastAsia="宋体" w:cs="Times New Roman"/>
                <w:b w:val="0"/>
                <w:bCs w:val="0"/>
                <w:color w:val="auto"/>
                <w:sz w:val="24"/>
              </w:rPr>
              <w:t>（环办环评函[2020]688号）</w:t>
            </w:r>
            <w:r>
              <w:rPr>
                <w:rFonts w:ascii="Times New Roman" w:hAnsi="Times New Roman" w:eastAsia="宋体" w:cs="Times New Roman"/>
                <w:color w:val="000000" w:themeColor="text1"/>
                <w:sz w:val="24"/>
                <w:szCs w:val="24"/>
                <w14:textFill>
                  <w14:solidFill>
                    <w14:schemeClr w14:val="tx1"/>
                  </w14:solidFill>
                </w14:textFill>
              </w:rPr>
              <w:t>，建设项目的性质、规模、地点、生产工艺和环境保护措施五个因素中的一项或一项以上发生重大变动，且可能导致环境影响显著变化（特别是不利环境影响加重）的，界定为重大变动。</w:t>
            </w:r>
          </w:p>
          <w:p>
            <w:pPr>
              <w:widowControl/>
              <w:numPr>
                <w:ilvl w:val="0"/>
                <w:numId w:val="0"/>
              </w:numPr>
              <w:spacing w:line="360" w:lineRule="auto"/>
              <w:ind w:firstLine="480" w:firstLineChars="200"/>
              <w:jc w:val="both"/>
              <w:rPr>
                <w:rFonts w:hint="eastAsia" w:ascii="Times New Roman" w:hAnsi="Times New Roman" w:eastAsia="宋体" w:cs="Times New Roman"/>
                <w:snapToGrid w:val="0"/>
                <w:color w:val="auto"/>
                <w:sz w:val="24"/>
                <w:szCs w:val="24"/>
                <w:lang w:val="en-US" w:eastAsia="zh-CN" w:bidi="ar-SA"/>
              </w:rPr>
            </w:pPr>
            <w:r>
              <w:rPr>
                <w:rFonts w:hint="eastAsia" w:ascii="Times New Roman" w:hAnsi="Times New Roman" w:eastAsia="宋体" w:cs="Times New Roman"/>
                <w:snapToGrid w:val="0"/>
                <w:color w:val="auto"/>
                <w:sz w:val="24"/>
                <w:szCs w:val="24"/>
                <w:lang w:val="en-US" w:eastAsia="zh-CN" w:bidi="ar-SA"/>
              </w:rPr>
              <w:t>本项目环评设计：烘干焙烧废气通过袋式除尘器+碱液喷淋处理后通过排气筒高空排放；半成品输送及储存通过袋式除尘器通过排气筒高空排放；粉磨风选废气通过袋式除尘器通过排气筒高空排放；成品输送及储存通过袋式除尘器通过排气筒高空排放；造粒、烘干、冷却、筛分废气通过袋式除尘器通过排气筒高空排放；包装废气通过袋式除尘器通过排气筒高空排放。</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snapToGrid w:val="0"/>
                <w:color w:val="auto"/>
                <w:sz w:val="24"/>
                <w:szCs w:val="24"/>
                <w:lang w:val="en-US" w:eastAsia="zh-CN" w:bidi="ar-SA"/>
              </w:rPr>
              <w:t>实际情况：烘干废气通过袋式除尘器+碱液喷淋处理后通过15m高排气筒排放；造粒废气</w:t>
            </w:r>
            <w:r>
              <w:rPr>
                <w:rFonts w:hint="eastAsia" w:ascii="Times New Roman" w:hAnsi="Times New Roman" w:eastAsia="宋体" w:cs="Times New Roman"/>
                <w:color w:val="auto"/>
                <w:sz w:val="24"/>
                <w:szCs w:val="24"/>
                <w:lang w:val="en-US" w:eastAsia="zh-CN" w:bidi="ar-SA"/>
              </w:rPr>
              <w:t>通过袋式除尘器+碱液喷淋处理后通过15m高排气筒排放；半成品输送及储存废气、粉磨风选废气、成品输送及储存、冷却、筛分废气、包装废气通过袋式除尘器收集后回用于生产或作为成品，不外排。</w:t>
            </w:r>
          </w:p>
          <w:p>
            <w:pPr>
              <w:pStyle w:val="2"/>
              <w:rPr>
                <w:rFonts w:hint="default"/>
                <w:lang w:val="en-US" w:eastAsia="zh-CN"/>
              </w:rPr>
            </w:pPr>
            <w:r>
              <w:rPr>
                <w:rFonts w:hint="eastAsia" w:ascii="Times New Roman" w:hAnsi="Times New Roman" w:eastAsia="宋体" w:cs="Times New Roman"/>
                <w:color w:val="auto"/>
                <w:sz w:val="24"/>
                <w:szCs w:val="24"/>
                <w:lang w:val="en-US" w:eastAsia="zh-CN" w:bidi="ar-SA"/>
              </w:rPr>
              <w:t>本项目不存在重大变动情况。</w:t>
            </w:r>
          </w:p>
          <w:p>
            <w:pPr>
              <w:pStyle w:val="31"/>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5、水平衡：</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目前本项目生产过程中产生的废水主要为原料溶解用水和员工生活污水。</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经核实</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①原料溶解用水</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项目颗粒土壤改良剂生产过程中需使用黄腐酸钾，外购的黄腐酸钾为颗粒状，使用过程中需加水进行溶解，原料用水量约为300t /a，该部分用水全部进入产品，没有废水产生。</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②脱硫除尘用水</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烘干焙烧废气脱硫除尘水循环水量为12t/h，这部分水经沉淀后回用，损耗量约20%，补充新鲜水量约2.4t/d（即720 t/a）。</w:t>
            </w:r>
          </w:p>
          <w:p>
            <w:pPr>
              <w:widowControl w:val="0"/>
              <w:snapToGrid w:val="0"/>
              <w:spacing w:line="360" w:lineRule="auto"/>
              <w:ind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③生活用水</w:t>
            </w:r>
          </w:p>
          <w:p>
            <w:pPr>
              <w:widowControl w:val="0"/>
              <w:snapToGrid w:val="0"/>
              <w:spacing w:line="360" w:lineRule="auto"/>
              <w:ind w:firstLine="480" w:firstLineChars="200"/>
              <w:jc w:val="both"/>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项目员工30人，</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15人</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住厂</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项目职工生活用水量为</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3.0</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t/d（</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900</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t/a），污水排放量为</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2.4</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t/d（</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720</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t/a）。</w:t>
            </w:r>
          </w:p>
          <w:p>
            <w:pPr>
              <w:widowControl w:val="0"/>
              <w:snapToGrid w:val="0"/>
              <w:spacing w:line="360" w:lineRule="auto"/>
              <w:ind w:firstLine="440" w:firstLineChars="200"/>
              <w:jc w:val="both"/>
              <w:rPr>
                <w:rFonts w:hint="default" w:ascii="Times New Roman" w:hAnsi="Times New Roman" w:eastAsia="宋体" w:cs="Times New Roman"/>
                <w:color w:val="0000FF"/>
                <w:sz w:val="24"/>
                <w:szCs w:val="24"/>
                <w:lang w:val="zh-CN" w:eastAsia="zh-CN" w:bidi="ar-SA"/>
              </w:rPr>
            </w:pPr>
            <w:r>
              <w:drawing>
                <wp:inline distT="0" distB="0" distL="114300" distR="114300">
                  <wp:extent cx="5057775" cy="3038475"/>
                  <wp:effectExtent l="0" t="0" r="9525"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5057775" cy="3038475"/>
                          </a:xfrm>
                          <a:prstGeom prst="rect">
                            <a:avLst/>
                          </a:prstGeom>
                          <a:noFill/>
                          <a:ln>
                            <a:noFill/>
                          </a:ln>
                        </pic:spPr>
                      </pic:pic>
                    </a:graphicData>
                  </a:graphic>
                </wp:inline>
              </w:drawing>
            </w:r>
          </w:p>
          <w:p>
            <w:pPr>
              <w:pStyle w:val="3"/>
              <w:widowControl w:val="0"/>
              <w:jc w:val="center"/>
              <w:rPr>
                <w:rFonts w:hint="eastAsia"/>
                <w:color w:val="auto"/>
                <w:lang w:val="en-US" w:eastAsia="zh-CN"/>
              </w:rPr>
            </w:pPr>
            <w:r>
              <w:rPr>
                <w:rFonts w:hint="default" w:ascii="Times New Roman" w:hAnsi="Times New Roman" w:eastAsia="宋体" w:cs="Times New Roman"/>
                <w:b/>
                <w:color w:val="auto"/>
                <w:sz w:val="21"/>
                <w:szCs w:val="18"/>
                <w:lang w:val="zh-CN"/>
              </w:rPr>
              <w:t>图</w:t>
            </w:r>
            <w:r>
              <w:rPr>
                <w:rFonts w:hint="eastAsia" w:ascii="Times New Roman" w:hAnsi="Times New Roman" w:eastAsia="宋体" w:cs="Times New Roman"/>
                <w:b/>
                <w:color w:val="auto"/>
                <w:sz w:val="21"/>
                <w:szCs w:val="18"/>
                <w:lang w:val="en-US" w:eastAsia="zh-CN"/>
              </w:rPr>
              <w:t>1</w:t>
            </w:r>
            <w:r>
              <w:rPr>
                <w:rFonts w:hint="default" w:ascii="Times New Roman" w:hAnsi="Times New Roman" w:eastAsia="宋体" w:cs="Times New Roman"/>
                <w:b/>
                <w:color w:val="auto"/>
                <w:sz w:val="21"/>
                <w:szCs w:val="18"/>
                <w:lang w:val="en-US" w:eastAsia="zh-CN"/>
              </w:rPr>
              <w:t xml:space="preserve"> </w:t>
            </w:r>
            <w:r>
              <w:rPr>
                <w:rFonts w:hint="eastAsia" w:ascii="Times New Roman" w:hAnsi="Times New Roman" w:eastAsia="宋体" w:cs="Times New Roman"/>
                <w:b/>
                <w:color w:val="auto"/>
                <w:sz w:val="21"/>
                <w:szCs w:val="18"/>
                <w:lang w:val="en-US" w:eastAsia="zh-CN"/>
              </w:rPr>
              <w:t>水平衡图（t/a）</w:t>
            </w:r>
          </w:p>
          <w:p>
            <w:pPr>
              <w:pStyle w:val="22"/>
              <w:widowControl w:val="0"/>
              <w:ind w:firstLine="450" w:firstLineChars="200"/>
              <w:jc w:val="both"/>
              <w:rPr>
                <w:rFonts w:ascii="Times New Roman" w:hAnsi="Times New Roman" w:eastAsia="宋体" w:cs="Times New Roman"/>
                <w:b/>
                <w:bCs/>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6、主要工艺流程及产污环节</w:t>
            </w:r>
          </w:p>
          <w:p>
            <w:pPr>
              <w:pStyle w:val="22"/>
              <w:widowControl w:val="0"/>
              <w:ind w:firstLine="0" w:firstLineChars="0"/>
              <w:jc w:val="left"/>
              <w:rPr>
                <w:rFonts w:ascii="Times New Roman" w:hAnsi="Times New Roman" w:eastAsia="宋体" w:cs="Times New Roman"/>
                <w:b/>
                <w:bCs/>
                <w:color w:val="000000" w:themeColor="text1"/>
                <w:sz w:val="21"/>
                <w:szCs w:val="21"/>
                <w14:textFill>
                  <w14:solidFill>
                    <w14:schemeClr w14:val="tx1"/>
                  </w14:solidFill>
                </w14:textFill>
              </w:rPr>
            </w:pPr>
          </w:p>
          <w:p>
            <w:pPr>
              <w:keepNext/>
              <w:keepLines/>
              <w:pageBreakBefore w:val="0"/>
              <w:widowControl/>
              <w:kinsoku/>
              <w:wordWrap/>
              <w:overflowPunct/>
              <w:topLinePunct w:val="0"/>
              <w:autoSpaceDE/>
              <w:autoSpaceDN/>
              <w:bidi w:val="0"/>
              <w:adjustRightInd/>
              <w:snapToGrid/>
              <w:spacing w:before="0" w:beforeLines="0" w:after="0" w:afterLines="0" w:line="360" w:lineRule="auto"/>
              <w:ind w:firstLine="480" w:firstLineChars="200"/>
              <w:jc w:val="both"/>
              <w:textAlignment w:val="auto"/>
              <w:outlineLvl w:val="9"/>
              <w:rPr>
                <w:rFonts w:hint="default" w:ascii="Times New Roman" w:hAnsi="Times New Roman" w:eastAsia="宋体" w:cs="Times New Roman"/>
                <w:color w:val="000000" w:themeColor="text1"/>
                <w:sz w:val="24"/>
                <w:szCs w:val="24"/>
                <w:lang w:eastAsia="zh-CN"/>
                <w14:textFill>
                  <w14:solidFill>
                    <w14:schemeClr w14:val="tx1"/>
                  </w14:solidFill>
                </w14:textFill>
              </w:rPr>
            </w:pPr>
            <w:bookmarkStart w:id="2" w:name="_Toc29387767"/>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lang w:eastAsia="zh-CN"/>
                <w14:textFill>
                  <w14:solidFill>
                    <w14:schemeClr w14:val="tx1"/>
                  </w14:solidFill>
                </w14:textFill>
              </w:rPr>
              <w:t>）牡蛎钙</w:t>
            </w:r>
            <w:r>
              <w:rPr>
                <w:rFonts w:hint="eastAsia" w:ascii="Times New Roman" w:hAnsi="Times New Roman" w:eastAsia="宋体" w:cs="Times New Roman"/>
                <w:color w:val="000000" w:themeColor="text1"/>
                <w:sz w:val="24"/>
                <w:szCs w:val="24"/>
                <w:lang w:eastAsia="zh-CN"/>
                <w14:textFill>
                  <w14:solidFill>
                    <w14:schemeClr w14:val="tx1"/>
                  </w14:solidFill>
                </w14:textFill>
              </w:rPr>
              <w:t>土壤改良剂</w:t>
            </w:r>
            <w:r>
              <w:rPr>
                <w:rFonts w:hint="default" w:ascii="Times New Roman" w:hAnsi="Times New Roman" w:eastAsia="宋体" w:cs="Times New Roman"/>
                <w:color w:val="000000" w:themeColor="text1"/>
                <w:sz w:val="24"/>
                <w:szCs w:val="24"/>
                <w:lang w:eastAsia="zh-CN"/>
                <w14:textFill>
                  <w14:solidFill>
                    <w14:schemeClr w14:val="tx1"/>
                  </w14:solidFill>
                </w14:textFill>
              </w:rPr>
              <w:t>生产工艺流程及产污环节</w:t>
            </w:r>
          </w:p>
          <w:p>
            <w:pPr>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457825" cy="375285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tretch>
                            <a:fillRect/>
                          </a:stretch>
                        </pic:blipFill>
                        <pic:spPr>
                          <a:xfrm>
                            <a:off x="0" y="0"/>
                            <a:ext cx="5457825" cy="3752850"/>
                          </a:xfrm>
                          <a:prstGeom prst="rect">
                            <a:avLst/>
                          </a:prstGeom>
                          <a:noFill/>
                          <a:ln>
                            <a:noFill/>
                          </a:ln>
                        </pic:spPr>
                      </pic:pic>
                    </a:graphicData>
                  </a:graphic>
                </wp:inline>
              </w:drawing>
            </w:r>
          </w:p>
          <w:p>
            <w:pPr>
              <w:pageBreakBefore w:val="0"/>
              <w:widowControl w:val="0"/>
              <w:kinsoku/>
              <w:wordWrap/>
              <w:overflowPunct/>
              <w:topLinePunct w:val="0"/>
              <w:bidi w:val="0"/>
              <w:adjustRightInd w:val="0"/>
              <w:snapToGrid w:val="0"/>
              <w:spacing w:line="360" w:lineRule="auto"/>
              <w:jc w:val="center"/>
              <w:rPr>
                <w:rFonts w:hint="default" w:ascii="Times New Roman" w:hAnsi="Times New Roman" w:eastAsia="宋体" w:cs="Times New Roman"/>
                <w:b/>
                <w:color w:val="000000" w:themeColor="text1"/>
                <w:sz w:val="21"/>
                <w:szCs w:val="18"/>
                <w:lang w:val="en-US" w:eastAsia="zh-CN"/>
                <w14:textFill>
                  <w14:solidFill>
                    <w14:schemeClr w14:val="tx1"/>
                  </w14:solidFill>
                </w14:textFill>
              </w:rPr>
            </w:pPr>
            <w:r>
              <w:rPr>
                <w:rFonts w:hint="default" w:ascii="Times New Roman" w:hAnsi="Times New Roman" w:eastAsia="宋体" w:cs="Times New Roman"/>
                <w:b/>
                <w:color w:val="000000" w:themeColor="text1"/>
                <w:sz w:val="21"/>
                <w:szCs w:val="18"/>
                <w:lang w:val="zh-CN"/>
                <w14:textFill>
                  <w14:solidFill>
                    <w14:schemeClr w14:val="tx1"/>
                  </w14:solidFill>
                </w14:textFill>
              </w:rPr>
              <w:t>图</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2</w:t>
            </w:r>
            <w:r>
              <w:rPr>
                <w:rFonts w:hint="default" w:ascii="Times New Roman" w:hAnsi="Times New Roman" w:eastAsia="宋体" w:cs="Times New Roman"/>
                <w:b/>
                <w:color w:val="000000" w:themeColor="text1"/>
                <w:sz w:val="21"/>
                <w:szCs w:val="18"/>
                <w:lang w:val="en-US" w:eastAsia="zh-CN"/>
                <w14:textFill>
                  <w14:solidFill>
                    <w14:schemeClr w14:val="tx1"/>
                  </w14:solidFill>
                </w14:textFill>
              </w:rPr>
              <w:t xml:space="preserve"> 牡蛎钙</w:t>
            </w:r>
            <w:r>
              <w:rPr>
                <w:rFonts w:hint="eastAsia" w:ascii="Times New Roman" w:hAnsi="Times New Roman" w:eastAsia="宋体" w:cs="Times New Roman"/>
                <w:b/>
                <w:color w:val="000000" w:themeColor="text1"/>
                <w:sz w:val="21"/>
                <w:szCs w:val="18"/>
                <w:lang w:val="en-US" w:eastAsia="zh-CN"/>
                <w14:textFill>
                  <w14:solidFill>
                    <w14:schemeClr w14:val="tx1"/>
                  </w14:solidFill>
                </w14:textFill>
              </w:rPr>
              <w:t>土壤改良剂</w:t>
            </w:r>
            <w:r>
              <w:rPr>
                <w:rFonts w:hint="default" w:ascii="Times New Roman" w:hAnsi="Times New Roman" w:eastAsia="宋体" w:cs="Times New Roman"/>
                <w:b/>
                <w:color w:val="000000" w:themeColor="text1"/>
                <w:sz w:val="21"/>
                <w:szCs w:val="18"/>
                <w:lang w:val="en-US" w:eastAsia="zh-CN"/>
                <w14:textFill>
                  <w14:solidFill>
                    <w14:schemeClr w14:val="tx1"/>
                  </w14:solidFill>
                </w14:textFill>
              </w:rPr>
              <w:t>生产工艺流程及产污环节</w:t>
            </w:r>
          </w:p>
          <w:p>
            <w:pPr>
              <w:pStyle w:val="12"/>
              <w:keepNext w:val="0"/>
              <w:keepLines w:val="0"/>
              <w:pageBreakBefore w:val="0"/>
              <w:widowControl/>
              <w:kinsoku/>
              <w:wordWrap/>
              <w:overflowPunct/>
              <w:topLinePunct w:val="0"/>
              <w:autoSpaceDE/>
              <w:autoSpaceDN/>
              <w:bidi w:val="0"/>
              <w:adjustRightInd w:val="0"/>
              <w:snapToGrid w:val="0"/>
              <w:spacing w:line="360" w:lineRule="auto"/>
              <w:ind w:left="0" w:right="0" w:firstLine="482" w:firstLineChars="200"/>
              <w:jc w:val="left"/>
              <w:textAlignment w:val="auto"/>
              <w:rPr>
                <w:rFonts w:hint="default" w:ascii="Times New Roman" w:hAnsi="Times New Roman" w:eastAsia="宋体" w:cs="Times New Roman"/>
                <w:color w:val="000000" w:themeColor="text1"/>
                <w:spacing w:val="0"/>
                <w:sz w:val="24"/>
                <w:szCs w:val="22"/>
                <w:lang w:val="en-US" w:eastAsia="zh-CN" w:bidi="ar-SA"/>
                <w14:textFill>
                  <w14:solidFill>
                    <w14:schemeClr w14:val="tx1"/>
                  </w14:solidFill>
                </w14:textFill>
              </w:rPr>
            </w:pPr>
            <w:r>
              <w:rPr>
                <w:rFonts w:hint="default" w:ascii="Times New Roman" w:hAnsi="Times New Roman" w:eastAsia="宋体" w:cs="Times New Roman"/>
                <w:b/>
                <w:bCs/>
                <w:color w:val="000000" w:themeColor="text1"/>
                <w:spacing w:val="0"/>
                <w:sz w:val="24"/>
                <w:szCs w:val="22"/>
                <w:lang w:val="en-US" w:eastAsia="zh-CN" w:bidi="ar-SA"/>
                <w14:textFill>
                  <w14:solidFill>
                    <w14:schemeClr w14:val="tx1"/>
                  </w14:solidFill>
                </w14:textFill>
              </w:rPr>
              <w:t xml:space="preserve">工艺简介: </w:t>
            </w:r>
            <w:r>
              <w:rPr>
                <w:rFonts w:hint="eastAsia" w:ascii="Times New Roman" w:hAnsi="Times New Roman" w:eastAsia="宋体" w:cs="Times New Roman"/>
                <w:b w:val="0"/>
                <w:color w:val="000000" w:themeColor="text1"/>
                <w:spacing w:val="0"/>
                <w:sz w:val="24"/>
                <w:szCs w:val="22"/>
                <w:lang w:val="en-US" w:eastAsia="zh-CN" w:bidi="ar-SA"/>
                <w14:textFill>
                  <w14:solidFill>
                    <w14:schemeClr w14:val="tx1"/>
                  </w14:solidFill>
                </w14:textFill>
              </w:rPr>
              <w:t>人工将掺杂在牡蛎壳中的绳子及其他杂质进行第一分选处理；挑选后的牡蛎壳投入辊压破碎机进行破碎，再进行第二道杂质挑除，皮带输送机安装有除铁器及金属探测器，去除金属杂质后的物料提升进入烘干机，将烘焙后的牡蛎壳提升至半成品再进行粉磨破碎，通过分级风选得到细度至≤500um（30目筛通过了≥90%）的牡蛎壳粉，牡蛎壳粉经空气输送槽、提升机送入成品仓，经包装后即为粉剂成品；颗粒产品则需将粉磨破碎后的粉料添加糖液后进行圆盘造粒，再将烘干、冷却后的颗粒进行筛分，包装后即为成品。冷却后的粒状成品通过提升机进入到平面回转分级筛中，完成三级分筛，中间合格的成品进入成品仓中，筛下粉状物重新进入制粒机中进行制粒，上层筛上物（主要为由于干燥不到位粘在一起的物料）重新返回冷却干燥系统进行冷却干燥处理。进入成品仓中的成品经过振动筛分级后打包入库</w:t>
            </w:r>
            <w:r>
              <w:rPr>
                <w:rFonts w:hint="default" w:ascii="Times New Roman" w:hAnsi="Times New Roman" w:eastAsia="宋体" w:cs="Times New Roman"/>
                <w:b w:val="0"/>
                <w:color w:val="000000" w:themeColor="text1"/>
                <w:spacing w:val="0"/>
                <w:sz w:val="24"/>
                <w:szCs w:val="22"/>
                <w:lang w:val="en-US" w:eastAsia="zh-CN" w:bidi="ar-SA"/>
                <w14:textFill>
                  <w14:solidFill>
                    <w14:schemeClr w14:val="tx1"/>
                  </w14:solidFill>
                </w14:textFill>
              </w:rPr>
              <w:t>。</w:t>
            </w:r>
          </w:p>
          <w:p>
            <w:pPr>
              <w:pStyle w:val="6"/>
              <w:keepNext w:val="0"/>
              <w:keepLines w:val="0"/>
              <w:pageBreakBefore w:val="0"/>
              <w:widowControl/>
              <w:kinsoku/>
              <w:wordWrap/>
              <w:overflowPunct/>
              <w:topLinePunct w:val="0"/>
              <w:autoSpaceDE/>
              <w:autoSpaceDN/>
              <w:bidi w:val="0"/>
              <w:adjustRightInd w:val="0"/>
              <w:snapToGrid w:val="0"/>
              <w:spacing w:before="0" w:line="360" w:lineRule="auto"/>
              <w:ind w:left="0" w:right="0" w:firstLine="482" w:firstLineChars="200"/>
              <w:jc w:val="left"/>
              <w:textAlignment w:val="auto"/>
              <w:rPr>
                <w:rFonts w:hint="default" w:ascii="Times New Roman" w:hAnsi="Times New Roman" w:eastAsia="宋体" w:cs="Times New Roman"/>
                <w:color w:val="000000" w:themeColor="text1"/>
                <w:spacing w:val="0"/>
                <w:sz w:val="24"/>
                <w:szCs w:val="22"/>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sz w:val="24"/>
                <w:szCs w:val="22"/>
                <w:lang w:val="en-US" w:eastAsia="zh-CN" w:bidi="ar-SA"/>
                <w14:textFill>
                  <w14:solidFill>
                    <w14:schemeClr w14:val="tx1"/>
                  </w14:solidFill>
                </w14:textFill>
              </w:rPr>
              <w:t>产污环节:</w:t>
            </w:r>
          </w:p>
          <w:p>
            <w:pPr>
              <w:pStyle w:val="47"/>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textAlignment w:val="auto"/>
              <w:outlineLvl w:val="9"/>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废水：</w:t>
            </w: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项目原料为收集分散养殖户牡蛎壳，企业要求养殖户牡蛎壳在堆放过程中（运往厂区之前）采用网袋包装并且存放地点须有防雨设施，根据</w:t>
            </w:r>
            <w:bookmarkStart w:id="3" w:name="建设单位"/>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福建玛塔生态科技有限公司</w:t>
            </w:r>
            <w:bookmarkEnd w:id="3"/>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（该公司成立于位2015年，位于</w:t>
            </w:r>
            <w:bookmarkStart w:id="4" w:name="地址"/>
            <w:bookmarkStart w:id="5" w:name="建设地点"/>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福建省漳州市诏安县金都工业集中区</w:t>
            </w:r>
            <w:bookmarkEnd w:id="4"/>
            <w:bookmarkEnd w:id="5"/>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年产牡蛎壳生物改良材料25万吨）多年运行经验，原料含水率约18-20%，在原料仓库为半密闭式仓库，具有防雨功能，故原料在存放过程中没有渗滤液产生；项目运行过程中废水主要为脱硫废气处理废水员工生活污水。</w:t>
            </w:r>
          </w:p>
          <w:p>
            <w:pPr>
              <w:pStyle w:val="47"/>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textAlignment w:val="auto"/>
              <w:outlineLvl w:val="9"/>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废气：</w:t>
            </w: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项目运行过程中主要废气污染源为原料堆场产生的异味（恶臭），烘干焙烧工序产生的尾气，原料输送及储存工序产生的粉尘，粉磨风选工序产生的粉尘，造粒、烘干、冷却机筛分产生的粉尘，成品输送及储存工序产生的粉尘，包装工序产生的粉尘；</w:t>
            </w:r>
          </w:p>
          <w:p>
            <w:pPr>
              <w:pStyle w:val="47"/>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textAlignment w:val="auto"/>
              <w:outlineLvl w:val="9"/>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噪声：</w:t>
            </w: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生产车间产生设备噪声，主要来自破碎机、提升机、烘干机等产生的设备噪声</w:t>
            </w:r>
            <w:r>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360" w:lineRule="auto"/>
              <w:ind w:left="0" w:right="0" w:firstLine="480" w:firstLineChars="200"/>
              <w:jc w:val="both"/>
              <w:textAlignment w:val="auto"/>
              <w:rPr>
                <w:rFonts w:hint="default" w:ascii="Times New Roman" w:hAnsi="Times New Roman" w:eastAsia="宋体" w:cs="Times New Roman"/>
                <w:b w:val="0"/>
                <w:color w:val="000000" w:themeColor="text1"/>
                <w:sz w:val="24"/>
                <w:szCs w:val="22"/>
                <w:lang w:val="en-US" w:eastAsia="zh-CN" w:bidi="ar-SA"/>
                <w14:textFill>
                  <w14:solidFill>
                    <w14:schemeClr w14:val="tx1"/>
                  </w14:solidFill>
                </w14:textFill>
              </w:rPr>
            </w:pPr>
            <w:r>
              <w:rPr>
                <w:rFonts w:hint="eastAsia" w:ascii="Times New Roman" w:hAnsi="Times New Roman" w:eastAsia="宋体" w:cs="Times New Roman"/>
                <w:b w:val="0"/>
                <w:color w:val="000000" w:themeColor="text1"/>
                <w:sz w:val="24"/>
                <w:szCs w:val="22"/>
                <w:lang w:val="en-US" w:eastAsia="zh-CN" w:bidi="ar-SA"/>
                <w14:textFill>
                  <w14:solidFill>
                    <w14:schemeClr w14:val="tx1"/>
                  </w14:solidFill>
                </w14:textFill>
              </w:rPr>
              <w:t>固废：人工分选工序产生的杂质；除铁工序产生的杂质；热风炉炉产生的炉渣；除尘器收集的粉尘以及废气脱硫产生的泥渣。</w:t>
            </w:r>
          </w:p>
          <w:p>
            <w:pPr>
              <w:pStyle w:val="4"/>
              <w:widowControl w:val="0"/>
              <w:spacing w:line="415" w:lineRule="auto"/>
              <w:ind w:firstLine="450" w:firstLineChars="200"/>
              <w:jc w:val="both"/>
              <w:outlineLvl w:val="1"/>
              <w:rPr>
                <w:rFonts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spacing w:val="-8"/>
                <w:kern w:val="0"/>
                <w:sz w:val="24"/>
                <w:szCs w:val="24"/>
                <w14:textFill>
                  <w14:solidFill>
                    <w14:schemeClr w14:val="tx1"/>
                  </w14:solidFill>
                </w14:textFill>
              </w:rPr>
              <w:t>7、</w:t>
            </w:r>
            <w:r>
              <w:rPr>
                <w:rFonts w:ascii="Times New Roman" w:hAnsi="Times New Roman" w:eastAsia="宋体" w:cs="Times New Roman"/>
                <w:color w:val="000000" w:themeColor="text1"/>
                <w:spacing w:val="-8"/>
                <w:kern w:val="0"/>
                <w:sz w:val="24"/>
                <w:szCs w:val="24"/>
                <w14:textFill>
                  <w14:solidFill>
                    <w14:schemeClr w14:val="tx1"/>
                  </w14:solidFill>
                </w14:textFill>
              </w:rPr>
              <w:t>不符合验收情形统计</w:t>
            </w:r>
            <w:bookmarkEnd w:id="2"/>
          </w:p>
          <w:p>
            <w:pPr>
              <w:pStyle w:val="4"/>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outlineLvl w:val="1"/>
              <w:rPr>
                <w:rFonts w:ascii="Times New Roman" w:hAnsi="Times New Roman" w:eastAsia="宋体" w:cs="Times New Roman"/>
                <w:b w:val="0"/>
                <w:bCs w:val="0"/>
                <w:color w:val="000000" w:themeColor="text1"/>
                <w:sz w:val="24"/>
                <w14:textFill>
                  <w14:solidFill>
                    <w14:schemeClr w14:val="tx1"/>
                  </w14:solidFill>
                </w14:textFill>
              </w:rPr>
            </w:pPr>
            <w:r>
              <w:rPr>
                <w:rFonts w:ascii="Times New Roman" w:hAnsi="Times New Roman" w:eastAsia="宋体" w:cs="Times New Roman"/>
                <w:b w:val="0"/>
                <w:bCs w:val="0"/>
                <w:color w:val="000000" w:themeColor="text1"/>
                <w:sz w:val="24"/>
                <w14:textFill>
                  <w14:solidFill>
                    <w14:schemeClr w14:val="tx1"/>
                  </w14:solidFill>
                </w14:textFill>
              </w:rPr>
              <w:t>根据项目实际建设情况，经过与《污染影响类建设项目重大变动清单（试行）》</w:t>
            </w:r>
            <w:r>
              <w:rPr>
                <w:rFonts w:hint="eastAsia" w:ascii="Times New Roman" w:hAnsi="Times New Roman" w:eastAsia="宋体" w:cs="Times New Roman"/>
                <w:b w:val="0"/>
                <w:bCs w:val="0"/>
                <w:color w:val="000000" w:themeColor="text1"/>
                <w:sz w:val="24"/>
                <w14:textFill>
                  <w14:solidFill>
                    <w14:schemeClr w14:val="tx1"/>
                  </w14:solidFill>
                </w14:textFill>
              </w:rPr>
              <w:t>（环办环评函[2020]688号）</w:t>
            </w:r>
            <w:r>
              <w:rPr>
                <w:rFonts w:ascii="Times New Roman" w:hAnsi="Times New Roman" w:eastAsia="宋体" w:cs="Times New Roman"/>
                <w:b w:val="0"/>
                <w:bCs w:val="0"/>
                <w:color w:val="000000" w:themeColor="text1"/>
                <w:sz w:val="24"/>
                <w14:textFill>
                  <w14:solidFill>
                    <w14:schemeClr w14:val="tx1"/>
                  </w14:solidFill>
                </w14:textFill>
              </w:rPr>
              <w:t>的</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十三条内容逐一对照</w:t>
            </w:r>
            <w:r>
              <w:rPr>
                <w:rFonts w:ascii="Times New Roman" w:hAnsi="Times New Roman" w:eastAsia="宋体" w:cs="Times New Roman"/>
                <w:b w:val="0"/>
                <w:bCs w:val="0"/>
                <w:color w:val="000000" w:themeColor="text1"/>
                <w:sz w:val="24"/>
                <w14:textFill>
                  <w14:solidFill>
                    <w14:schemeClr w14:val="tx1"/>
                  </w14:solidFill>
                </w14:textFill>
              </w:rPr>
              <w:t>，最终得出结论：本项目不存在《污染影响类建设项目重大变动清单（试行）》</w:t>
            </w:r>
            <w:r>
              <w:rPr>
                <w:rFonts w:hint="eastAsia" w:ascii="Times New Roman" w:hAnsi="Times New Roman" w:eastAsia="宋体" w:cs="Times New Roman"/>
                <w:b w:val="0"/>
                <w:bCs w:val="0"/>
                <w:color w:val="000000" w:themeColor="text1"/>
                <w:sz w:val="24"/>
                <w14:textFill>
                  <w14:solidFill>
                    <w14:schemeClr w14:val="tx1"/>
                  </w14:solidFill>
                </w14:textFill>
              </w:rPr>
              <w:t>（环办环评函[2020]688号）</w:t>
            </w:r>
            <w:r>
              <w:rPr>
                <w:rFonts w:ascii="Times New Roman" w:hAnsi="Times New Roman" w:eastAsia="宋体" w:cs="Times New Roman"/>
                <w:b w:val="0"/>
                <w:bCs w:val="0"/>
                <w:color w:val="000000" w:themeColor="text1"/>
                <w:sz w:val="24"/>
                <w14:textFill>
                  <w14:solidFill>
                    <w14:schemeClr w14:val="tx1"/>
                  </w14:solidFill>
                </w14:textFill>
              </w:rPr>
              <w:t>的</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十三条内容的</w:t>
            </w:r>
            <w:r>
              <w:rPr>
                <w:rFonts w:ascii="Times New Roman" w:hAnsi="Times New Roman" w:eastAsia="宋体" w:cs="Times New Roman"/>
                <w:b w:val="0"/>
                <w:bCs w:val="0"/>
                <w:color w:val="000000" w:themeColor="text1"/>
                <w:sz w:val="24"/>
                <w14:textFill>
                  <w14:solidFill>
                    <w14:schemeClr w14:val="tx1"/>
                  </w14:solidFill>
                </w14:textFill>
              </w:rPr>
              <w:t>验收不合格情形。本项目实际建设情况与《污染影响类建设项目重大变动清单（试行）》</w:t>
            </w:r>
            <w:r>
              <w:rPr>
                <w:rFonts w:hint="eastAsia" w:ascii="Times New Roman" w:hAnsi="Times New Roman" w:eastAsia="宋体" w:cs="Times New Roman"/>
                <w:b w:val="0"/>
                <w:bCs w:val="0"/>
                <w:color w:val="000000" w:themeColor="text1"/>
                <w:sz w:val="24"/>
                <w14:textFill>
                  <w14:solidFill>
                    <w14:schemeClr w14:val="tx1"/>
                  </w14:solidFill>
                </w14:textFill>
              </w:rPr>
              <w:t>（环办环评函[2020]688号）</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十三条内容</w:t>
            </w:r>
            <w:r>
              <w:rPr>
                <w:rFonts w:ascii="Times New Roman" w:hAnsi="Times New Roman" w:eastAsia="宋体" w:cs="Times New Roman"/>
                <w:b w:val="0"/>
                <w:bCs w:val="0"/>
                <w:color w:val="000000" w:themeColor="text1"/>
                <w:sz w:val="24"/>
                <w14:textFill>
                  <w14:solidFill>
                    <w14:schemeClr w14:val="tx1"/>
                  </w14:solidFill>
                </w14:textFill>
              </w:rPr>
              <w:t>详细对比情况见下表</w:t>
            </w:r>
            <w:r>
              <w:rPr>
                <w:rFonts w:hint="eastAsia" w:ascii="Times New Roman" w:hAnsi="Times New Roman" w:eastAsia="宋体" w:cs="Times New Roman"/>
                <w:b w:val="0"/>
                <w:bCs w:val="0"/>
                <w:color w:val="000000" w:themeColor="text1"/>
                <w:sz w:val="24"/>
                <w14:textFill>
                  <w14:solidFill>
                    <w14:schemeClr w14:val="tx1"/>
                  </w14:solidFill>
                </w14:textFill>
              </w:rPr>
              <w:t>2-5</w:t>
            </w:r>
            <w:r>
              <w:rPr>
                <w:rFonts w:ascii="Times New Roman" w:hAnsi="Times New Roman" w:eastAsia="宋体" w:cs="Times New Roman"/>
                <w:b w:val="0"/>
                <w:bCs w:val="0"/>
                <w:color w:val="000000" w:themeColor="text1"/>
                <w:sz w:val="24"/>
                <w14:textFill>
                  <w14:solidFill>
                    <w14:schemeClr w14:val="tx1"/>
                  </w14:solidFill>
                </w14:textFill>
              </w:rPr>
              <w:t>。</w:t>
            </w:r>
          </w:p>
          <w:p>
            <w:pPr>
              <w:pStyle w:val="47"/>
              <w:widowControl w:val="0"/>
              <w:spacing w:beforeLines="0" w:afterLines="0"/>
              <w:ind w:firstLine="422" w:firstLineChars="200"/>
              <w:jc w:val="center"/>
              <w:rPr>
                <w:rFonts w:ascii="Times New Roman" w:hAnsi="Times New Roman" w:eastAsia="宋体" w:cs="Times New Roman"/>
                <w:color w:val="000000" w:themeColor="text1"/>
                <w:sz w:val="21"/>
                <w:szCs w:val="21"/>
                <w14:textFill>
                  <w14:solidFill>
                    <w14:schemeClr w14:val="tx1"/>
                  </w14:solidFill>
                </w14:textFill>
              </w:rPr>
            </w:pPr>
          </w:p>
          <w:p>
            <w:pPr>
              <w:pStyle w:val="47"/>
              <w:widowControl w:val="0"/>
              <w:spacing w:beforeLines="0" w:afterLines="0"/>
              <w:ind w:firstLine="422" w:firstLineChars="200"/>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表</w:t>
            </w:r>
            <w:r>
              <w:rPr>
                <w:rFonts w:hint="eastAsia" w:ascii="Times New Roman" w:hAnsi="Times New Roman" w:eastAsia="宋体" w:cs="Times New Roman"/>
                <w:color w:val="000000" w:themeColor="text1"/>
                <w:sz w:val="21"/>
                <w:szCs w:val="21"/>
                <w14:textFill>
                  <w14:solidFill>
                    <w14:schemeClr w14:val="tx1"/>
                  </w14:solidFill>
                </w14:textFill>
              </w:rPr>
              <w:t>2-</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r>
              <w:rPr>
                <w:rFonts w:ascii="Times New Roman" w:hAnsi="Times New Roman" w:eastAsia="宋体" w:cs="Times New Roman"/>
                <w:color w:val="000000" w:themeColor="text1"/>
                <w:sz w:val="21"/>
                <w:szCs w:val="21"/>
                <w14:textFill>
                  <w14:solidFill>
                    <w14:schemeClr w14:val="tx1"/>
                  </w14:solidFill>
                </w14:textFill>
              </w:rPr>
              <w:t xml:space="preserve"> 项目与《污染影响类建设项目重大变动清单（试行）》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十三条内容</w:t>
            </w:r>
            <w:r>
              <w:rPr>
                <w:rFonts w:ascii="Times New Roman" w:hAnsi="Times New Roman" w:eastAsia="宋体" w:cs="Times New Roman"/>
                <w:color w:val="000000" w:themeColor="text1"/>
                <w:sz w:val="21"/>
                <w:szCs w:val="21"/>
                <w14:textFill>
                  <w14:solidFill>
                    <w14:schemeClr w14:val="tx1"/>
                  </w14:solidFill>
                </w14:textFill>
              </w:rPr>
              <w:t>对照情况一览表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5"/>
              <w:gridCol w:w="4276"/>
              <w:gridCol w:w="2794"/>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序号</w:t>
                  </w:r>
                </w:p>
              </w:tc>
              <w:tc>
                <w:tcPr>
                  <w:tcW w:w="2442"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《办法》规定不得提出验收合格意见的情形</w:t>
                  </w:r>
                </w:p>
              </w:tc>
              <w:tc>
                <w:tcPr>
                  <w:tcW w:w="1595"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本项目实际建设情况</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是否存在不符合验收情形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1</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建设项目开发、使用功能发生变化的。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项目开发、使用功能均与环评时期一致，未发生变化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2</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生产、处置或储存能力增大30%及以上的。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项目生产、处置或储存能力均与环评时期一致，未发生变化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3</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生产、处置或储存能力增大，导致废水第一类污染物排放量增加的。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厂区无第一类污染物排放</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4</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项目位于达标区，生产、处置或储存均与环评时期一致，未发生变化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5</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重新选址；在原厂址附近调整（包括总平面布置变化）导致环境防护距离范围变化且新增敏感点的。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项目建设地点与环评时期一致，未发生变化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6</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新增产品品种或生产工艺（含主要生产装置、设备及配套设施）、主要原辅材料、燃料变化，导致以下情形之一：</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（1）新增排放污染物种类的（毒性、挥发性降低的除外）；</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（2）位于环境质量不达标区的建设项目相应污染物排放量增加的；</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（3）废水第一类污染物排放量增加的；</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（4）其他污染物排放量增加10%及以上的。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项目无新增产品品种或生产工艺、主要原辅材料、燃料变化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物料运输、装卸、贮存方式变化，导致大气污染物无组织排放量增加10%及以上的。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物料运输、装卸、贮存方式均与环评时期一致，未发生变化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8</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废气、废水污染防治措施变化，导致第6条中所列情形之一（废气无组织排放改为有组织排放、污染防治措施强化或改进的除外）或大气污染物无组织排放量增加10%及以上的。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废水污染防治措施与环评时期一致，未发生变化；烘干废气通过袋式除尘器+碱液喷淋处理后通过15m高排气筒排放；造粒废气通过袋式除尘器+碱液喷淋处理后通过15m高排气筒排放。半成品输送及储存废气、粉磨风选废气、成品输送及储存、冷却、筛分废气、包装废气通过袋式除尘器收集后回用于生产，不外排。不存在重大变动。</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4"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9</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新增废水直接排放口；废水由间接排放改为直接排放；废水直接排放口位置变化，导致不利环境影响加重的。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废水排放口位置与环评时期一致，未发生变化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新增废气主要排放口（废气无组织排放改为有组织排放的除外）；主要排放口排气筒高度降低10%及以上的。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无新增废气排放口，主要排放口排气筒高度与环评时期一致，未发生变化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噪声、土壤或地下水污染防治措施变化，导致不利环境影响加重的。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噪声、土壤或地下水污染防治措施与环评时期一致，未发生变化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固体废物利用处置方式由委托外单位利用处置改为自行利用处置的（自行利用处置设施单独开展环境影响评价的除外）；固体废物自行处置方式变化，导致不利环境影响加重的。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不存在此情形</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w:t>
                  </w:r>
                </w:p>
              </w:tc>
              <w:tc>
                <w:tcPr>
                  <w:tcW w:w="2442" w:type="pct"/>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事故废水暂存能力或拦截设施变化，导致环境风险防范能力弱化或降低的。</w:t>
                  </w:r>
                </w:p>
              </w:tc>
              <w:tc>
                <w:tcPr>
                  <w:tcW w:w="1595"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事故废水暂存能力或拦截设施与环评时期一致，未发生变化</w:t>
                  </w:r>
                </w:p>
              </w:tc>
              <w:tc>
                <w:tcPr>
                  <w:tcW w:w="668" w:type="pct"/>
                  <w:vAlign w:val="center"/>
                </w:tcPr>
                <w:p>
                  <w:pPr>
                    <w:spacing w:line="240" w:lineRule="auto"/>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否</w:t>
                  </w:r>
                </w:p>
              </w:tc>
            </w:tr>
          </w:tbl>
          <w:p>
            <w:pPr>
              <w:pStyle w:val="23"/>
              <w:widowControl w:val="0"/>
              <w:jc w:val="left"/>
              <w:rPr>
                <w:color w:val="0000FF"/>
              </w:rPr>
            </w:pPr>
          </w:p>
        </w:tc>
      </w:tr>
    </w:tbl>
    <w:p>
      <w:pPr>
        <w:spacing w:line="360" w:lineRule="auto"/>
        <w:outlineLvl w:val="0"/>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表三</w:t>
      </w:r>
    </w:p>
    <w:tbl>
      <w:tblPr>
        <w:tblStyle w:val="2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2" w:hRule="atLeast"/>
        </w:trPr>
        <w:tc>
          <w:tcPr>
            <w:tcW w:w="8522" w:type="dxa"/>
          </w:tcPr>
          <w:p>
            <w:pPr>
              <w:widowControl/>
              <w:numPr>
                <w:ilvl w:val="255"/>
                <w:numId w:val="0"/>
              </w:numPr>
              <w:spacing w:line="360" w:lineRule="auto"/>
              <w:jc w:val="left"/>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主要污染源、污染物处理和排放：</w:t>
            </w:r>
          </w:p>
          <w:p>
            <w:pPr>
              <w:widowControl/>
              <w:numPr>
                <w:ilvl w:val="0"/>
                <w:numId w:val="2"/>
              </w:numPr>
              <w:spacing w:line="360" w:lineRule="auto"/>
              <w:ind w:left="0" w:leftChars="0" w:firstLine="480" w:firstLineChars="200"/>
              <w:jc w:val="both"/>
              <w:rPr>
                <w:rFonts w:hint="eastAsia" w:ascii="Times New Roman" w:hAnsi="Times New Roman" w:eastAsia="宋体" w:cs="Times New Roman"/>
                <w:color w:val="auto"/>
                <w:sz w:val="24"/>
                <w:szCs w:val="24"/>
                <w:lang w:val="zh-CN" w:eastAsia="zh-CN" w:bidi="ar-SA"/>
              </w:rPr>
            </w:pPr>
            <w:r>
              <w:rPr>
                <w:rFonts w:hint="eastAsia" w:ascii="Times New Roman" w:hAnsi="Times New Roman" w:eastAsia="宋体" w:cs="Times New Roman"/>
                <w:color w:val="auto"/>
                <w:sz w:val="24"/>
              </w:rPr>
              <w:t>废水：</w:t>
            </w:r>
            <w:r>
              <w:rPr>
                <w:rFonts w:hint="eastAsia" w:ascii="Times New Roman" w:hAnsi="Times New Roman" w:eastAsia="宋体" w:cs="Times New Roman"/>
                <w:color w:val="auto"/>
                <w:sz w:val="24"/>
                <w:lang w:val="en-US" w:eastAsia="zh-CN"/>
              </w:rPr>
              <w:t>本</w:t>
            </w:r>
            <w:r>
              <w:rPr>
                <w:rFonts w:hint="eastAsia" w:ascii="Times New Roman" w:hAnsi="Times New Roman" w:eastAsia="宋体" w:cs="Times New Roman"/>
                <w:color w:val="auto"/>
                <w:sz w:val="24"/>
                <w:szCs w:val="24"/>
                <w:lang w:val="zh-CN" w:eastAsia="zh-CN" w:bidi="ar-SA"/>
              </w:rPr>
              <w:t>项目</w:t>
            </w:r>
            <w:r>
              <w:rPr>
                <w:rFonts w:hint="eastAsia" w:ascii="Times New Roman" w:hAnsi="Times New Roman" w:eastAsia="宋体" w:cs="Times New Roman"/>
                <w:color w:val="auto"/>
                <w:sz w:val="24"/>
                <w:szCs w:val="24"/>
                <w:lang w:val="en-US" w:eastAsia="zh-CN" w:bidi="ar-SA"/>
              </w:rPr>
              <w:t>产生的废水主要为原料溶解用水和员工生活污水</w:t>
            </w:r>
            <w:r>
              <w:rPr>
                <w:rFonts w:hint="eastAsia" w:ascii="Times New Roman" w:hAnsi="Times New Roman" w:eastAsia="宋体" w:cs="Times New Roman"/>
                <w:color w:val="auto"/>
                <w:sz w:val="24"/>
                <w:szCs w:val="24"/>
                <w:lang w:val="zh-CN" w:eastAsia="zh-CN" w:bidi="ar-SA"/>
              </w:rPr>
              <w:t>。</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项目颗粒土壤改良剂生产过程中需使用黄腐酸钾，外购的黄腐酸钾为颗粒状，使用过程中需加水进行溶解，该部分用水全部进入产品，没有废水产生。</w:t>
            </w:r>
          </w:p>
          <w:p>
            <w:pPr>
              <w:widowControl/>
              <w:numPr>
                <w:ilvl w:val="0"/>
                <w:numId w:val="0"/>
              </w:numPr>
              <w:spacing w:line="360" w:lineRule="auto"/>
              <w:ind w:left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烘干焙烧废气脱硫除尘水经沉淀后回用，不外排，及时补充已损失量。</w:t>
            </w:r>
          </w:p>
          <w:p>
            <w:pPr>
              <w:widowControl/>
              <w:numPr>
                <w:ilvl w:val="0"/>
                <w:numId w:val="0"/>
              </w:numPr>
              <w:spacing w:line="360" w:lineRule="auto"/>
              <w:ind w:leftChars="200"/>
              <w:jc w:val="both"/>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生活污水经三级化粪池处理后排入惠安污水处理厂处理。</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lang w:val="en-US" w:eastAsia="zh-CN"/>
              </w:rPr>
              <w:t>2、废气：本</w:t>
            </w:r>
            <w:r>
              <w:rPr>
                <w:rFonts w:hint="default" w:ascii="Times New Roman" w:hAnsi="Times New Roman" w:eastAsia="宋体" w:cs="Times New Roman"/>
                <w:color w:val="auto"/>
                <w:sz w:val="24"/>
                <w:lang w:val="en-US" w:eastAsia="zh-CN"/>
              </w:rPr>
              <w:t>项目</w:t>
            </w:r>
            <w:r>
              <w:rPr>
                <w:rFonts w:hint="default" w:ascii="Times New Roman" w:hAnsi="Times New Roman" w:eastAsia="宋体" w:cs="Times New Roman"/>
                <w:color w:val="auto"/>
                <w:sz w:val="24"/>
                <w:szCs w:val="24"/>
                <w:lang w:val="en-US" w:eastAsia="zh-CN" w:bidi="ar-SA"/>
              </w:rPr>
              <w:t>有机废气主要</w:t>
            </w:r>
            <w:r>
              <w:rPr>
                <w:rFonts w:hint="eastAsia" w:ascii="Times New Roman" w:hAnsi="Times New Roman" w:eastAsia="宋体" w:cs="Times New Roman"/>
                <w:color w:val="auto"/>
                <w:sz w:val="24"/>
                <w:szCs w:val="24"/>
                <w:lang w:val="en-US" w:eastAsia="zh-CN" w:bidi="ar-SA"/>
              </w:rPr>
              <w:t>为堆场异味、</w:t>
            </w:r>
            <w:r>
              <w:rPr>
                <w:rFonts w:hint="default" w:ascii="Times New Roman" w:hAnsi="Times New Roman" w:eastAsia="宋体" w:cs="Times New Roman"/>
                <w:color w:val="auto"/>
                <w:sz w:val="24"/>
                <w:szCs w:val="24"/>
                <w:lang w:val="en-US" w:eastAsia="zh-CN" w:bidi="ar-SA"/>
              </w:rPr>
              <w:t>烘干废气</w:t>
            </w:r>
            <w:r>
              <w:rPr>
                <w:rFonts w:hint="eastAsia" w:ascii="Times New Roman" w:hAnsi="Times New Roman" w:eastAsia="宋体" w:cs="Times New Roman"/>
                <w:color w:val="auto"/>
                <w:sz w:val="24"/>
                <w:szCs w:val="24"/>
                <w:lang w:val="en-US" w:eastAsia="zh-CN" w:bidi="ar-SA"/>
              </w:rPr>
              <w:t>、半成品输送及储存废气、粉磨风选废气、成品输送及储存废气、造粒、烘干、冷却及筛分废气、包装废气。</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堆场异味</w:t>
            </w:r>
            <w:r>
              <w:rPr>
                <w:rFonts w:hint="default" w:ascii="Times New Roman" w:hAnsi="Times New Roman" w:eastAsia="宋体" w:cs="Times New Roman"/>
                <w:color w:val="auto"/>
                <w:sz w:val="24"/>
                <w:szCs w:val="24"/>
                <w:lang w:val="en-US" w:eastAsia="zh-CN" w:bidi="ar-SA"/>
              </w:rPr>
              <w:t>废气为无组织排放，原料堆场地面做硬化、堆场上方</w:t>
            </w:r>
            <w:r>
              <w:rPr>
                <w:rFonts w:hint="eastAsia" w:ascii="Times New Roman" w:hAnsi="Times New Roman" w:eastAsia="宋体" w:cs="Times New Roman"/>
                <w:color w:val="auto"/>
                <w:sz w:val="24"/>
                <w:szCs w:val="24"/>
                <w:lang w:val="en-US" w:eastAsia="zh-CN" w:bidi="ar-SA"/>
              </w:rPr>
              <w:t>及周边</w:t>
            </w:r>
            <w:r>
              <w:rPr>
                <w:rFonts w:hint="default" w:ascii="Times New Roman" w:hAnsi="Times New Roman" w:eastAsia="宋体" w:cs="Times New Roman"/>
                <w:color w:val="auto"/>
                <w:sz w:val="24"/>
                <w:szCs w:val="24"/>
                <w:lang w:val="en-US" w:eastAsia="zh-CN" w:bidi="ar-SA"/>
              </w:rPr>
              <w:t>搭建防雨棚，</w:t>
            </w:r>
            <w:r>
              <w:rPr>
                <w:rFonts w:hint="eastAsia" w:ascii="Times New Roman" w:hAnsi="Times New Roman" w:eastAsia="宋体" w:cs="Times New Roman"/>
                <w:color w:val="auto"/>
                <w:sz w:val="24"/>
                <w:szCs w:val="24"/>
                <w:lang w:val="en-US" w:eastAsia="zh-CN" w:bidi="ar-SA"/>
              </w:rPr>
              <w:t>做好防雨、防渗及防漏等措施</w:t>
            </w:r>
            <w:r>
              <w:rPr>
                <w:rFonts w:hint="default" w:ascii="Times New Roman" w:hAnsi="Times New Roman" w:eastAsia="宋体" w:cs="Times New Roman"/>
                <w:color w:val="auto"/>
                <w:sz w:val="24"/>
                <w:szCs w:val="24"/>
                <w:lang w:val="en-US" w:eastAsia="zh-CN" w:bidi="ar-SA"/>
              </w:rPr>
              <w:t>并定期喷洒除臭剂</w:t>
            </w:r>
            <w:r>
              <w:rPr>
                <w:rFonts w:hint="eastAsia" w:ascii="Times New Roman" w:hAnsi="Times New Roman" w:eastAsia="宋体" w:cs="Times New Roman"/>
                <w:color w:val="auto"/>
                <w:sz w:val="24"/>
                <w:szCs w:val="24"/>
                <w:lang w:val="en-US" w:eastAsia="zh-CN" w:bidi="ar-SA"/>
              </w:rPr>
              <w:t>。</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烘干废气通过袋式除尘器+碱液喷淋处理后通过15m高排气筒排放。</w:t>
            </w:r>
          </w:p>
          <w:p>
            <w:pPr>
              <w:pStyle w:val="2"/>
              <w:rPr>
                <w:rFonts w:hint="default"/>
                <w:lang w:val="en-US" w:eastAsia="zh-CN"/>
              </w:rPr>
            </w:pPr>
            <w:r>
              <w:rPr>
                <w:rFonts w:hint="eastAsia" w:ascii="Times New Roman" w:hAnsi="Times New Roman" w:eastAsia="宋体" w:cs="Times New Roman"/>
                <w:color w:val="auto"/>
                <w:sz w:val="24"/>
                <w:szCs w:val="24"/>
                <w:lang w:val="en-US" w:eastAsia="zh-CN" w:bidi="ar-SA"/>
              </w:rPr>
              <w:t>造粒废气通过袋式除尘器+碱液喷淋处理后通过15m高排气筒排放。</w:t>
            </w:r>
          </w:p>
          <w:p>
            <w:pPr>
              <w:widowControl/>
              <w:numPr>
                <w:ilvl w:val="0"/>
                <w:numId w:val="0"/>
              </w:numPr>
              <w:spacing w:line="360" w:lineRule="auto"/>
              <w:ind w:firstLine="480" w:firstLineChars="200"/>
              <w:jc w:val="both"/>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半成品输送及储存废气、粉磨风选废气、成品输送及储存、冷却、筛分废气、包装废气通过袋式除尘器收集后回用于生产或作为成品，不外排。</w: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噪声：本项目主要噪声污染源主要来自机台设备运行时产生的噪声，主要通过合理布局，使高噪声设备远离厂界；对噪声值较高的设备基座底部安装减振垫等；定期检查并调整好运动机器部件的静平衡与动平衡的动力，加强设备维护，使其处于良好运行状态，以此来降低环境噪声污染。</w:t>
            </w:r>
          </w:p>
          <w:p>
            <w:pPr>
              <w:pStyle w:val="40"/>
              <w:pageBreakBefore w:val="0"/>
              <w:kinsoku/>
              <w:wordWrap/>
              <w:overflowPunct/>
              <w:topLinePunct w:val="0"/>
              <w:bidi w:val="0"/>
              <w:ind w:firstLine="480"/>
              <w:jc w:val="both"/>
              <w:rPr>
                <w:rFonts w:hint="default"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sz w:val="24"/>
                <w:lang w:val="en-US" w:eastAsia="zh-CN"/>
              </w:rPr>
              <w:t>4、固（液）体废物：</w:t>
            </w:r>
            <w:r>
              <w:rPr>
                <w:rFonts w:hint="default" w:ascii="Times New Roman" w:hAnsi="Times New Roman" w:eastAsia="宋体" w:cs="Times New Roman"/>
                <w:bCs/>
                <w:color w:val="auto"/>
                <w:kern w:val="0"/>
              </w:rPr>
              <w:t>本项目</w:t>
            </w:r>
            <w:r>
              <w:rPr>
                <w:rFonts w:hint="eastAsia" w:ascii="Times New Roman" w:hAnsi="Times New Roman" w:eastAsia="宋体" w:cs="Times New Roman"/>
                <w:bCs/>
                <w:color w:val="auto"/>
                <w:kern w:val="0"/>
                <w:lang w:val="en-US" w:eastAsia="zh-CN"/>
              </w:rPr>
              <w:t>产生的固体废物主要为</w:t>
            </w:r>
            <w:r>
              <w:rPr>
                <w:rFonts w:hint="eastAsia" w:ascii="Times New Roman" w:hAnsi="Times New Roman" w:eastAsia="宋体" w:cs="Times New Roman"/>
                <w:color w:val="auto"/>
                <w:kern w:val="0"/>
                <w:sz w:val="24"/>
                <w:szCs w:val="22"/>
                <w:lang w:val="en-US" w:eastAsia="zh-CN" w:bidi="ar-SA"/>
              </w:rPr>
              <w:t>分选杂质、除铁杂质、</w:t>
            </w:r>
            <w:r>
              <w:rPr>
                <w:rFonts w:hint="default" w:ascii="Times New Roman" w:hAnsi="Times New Roman" w:eastAsia="宋体" w:cs="Times New Roman"/>
                <w:color w:val="auto"/>
                <w:kern w:val="0"/>
                <w:sz w:val="24"/>
                <w:szCs w:val="22"/>
                <w:lang w:val="en-US" w:eastAsia="zh-CN" w:bidi="ar-SA"/>
              </w:rPr>
              <w:t>除尘器收集的粉尘、</w:t>
            </w:r>
            <w:r>
              <w:rPr>
                <w:rFonts w:hint="eastAsia" w:ascii="Times New Roman" w:hAnsi="Times New Roman" w:eastAsia="宋体" w:cs="Times New Roman"/>
                <w:color w:val="auto"/>
                <w:kern w:val="0"/>
                <w:sz w:val="24"/>
                <w:szCs w:val="22"/>
                <w:lang w:val="en-US" w:eastAsia="zh-CN" w:bidi="ar-SA"/>
              </w:rPr>
              <w:t>热风炉燃料</w:t>
            </w:r>
            <w:r>
              <w:rPr>
                <w:rFonts w:hint="default" w:ascii="Times New Roman" w:hAnsi="Times New Roman" w:eastAsia="宋体" w:cs="Times New Roman"/>
                <w:color w:val="auto"/>
                <w:kern w:val="0"/>
                <w:sz w:val="24"/>
                <w:szCs w:val="22"/>
                <w:lang w:val="en-US" w:eastAsia="zh-CN" w:bidi="ar-SA"/>
              </w:rPr>
              <w:t>炉渣</w:t>
            </w:r>
            <w:r>
              <w:rPr>
                <w:rFonts w:hint="eastAsia" w:ascii="Times New Roman" w:hAnsi="Times New Roman" w:eastAsia="宋体" w:cs="Times New Roman"/>
                <w:color w:val="auto"/>
                <w:kern w:val="0"/>
                <w:sz w:val="24"/>
                <w:szCs w:val="22"/>
                <w:lang w:val="en-US" w:eastAsia="zh-CN" w:bidi="ar-SA"/>
              </w:rPr>
              <w:t>及员工生活垃圾</w:t>
            </w:r>
            <w:r>
              <w:rPr>
                <w:rFonts w:hint="default" w:ascii="Times New Roman" w:hAnsi="Times New Roman" w:eastAsia="宋体" w:cs="Times New Roman"/>
                <w:color w:val="auto"/>
                <w:kern w:val="0"/>
                <w:sz w:val="24"/>
                <w:szCs w:val="22"/>
                <w:lang w:val="en-US" w:eastAsia="zh-CN" w:bidi="ar-SA"/>
              </w:rPr>
              <w:t>。</w:t>
            </w:r>
          </w:p>
          <w:p>
            <w:pPr>
              <w:pStyle w:val="54"/>
              <w:keepNext w:val="0"/>
              <w:keepLines w:val="0"/>
              <w:pageBreakBefore w:val="0"/>
              <w:widowControl w:val="0"/>
              <w:kinsoku/>
              <w:wordWrap/>
              <w:overflowPunct/>
              <w:topLinePunct w:val="0"/>
              <w:autoSpaceDE/>
              <w:autoSpaceDN/>
              <w:bidi w:val="0"/>
              <w:adjustRightInd/>
              <w:snapToGrid w:val="0"/>
              <w:jc w:val="both"/>
              <w:textAlignment w:val="auto"/>
              <w:rPr>
                <w:rFonts w:hint="eastAsia" w:ascii="Times New Roman" w:hAnsi="Times New Roman" w:eastAsia="宋体" w:cs="Times New Roman"/>
                <w:color w:val="auto"/>
                <w:kern w:val="0"/>
                <w:sz w:val="24"/>
                <w:szCs w:val="22"/>
                <w:lang w:val="en-US" w:eastAsia="zh-CN" w:bidi="ar-SA"/>
              </w:rPr>
            </w:pPr>
            <w:r>
              <w:rPr>
                <w:rFonts w:hint="default" w:ascii="Times New Roman" w:hAnsi="Times New Roman" w:eastAsia="宋体" w:cs="Times New Roman"/>
                <w:color w:val="auto"/>
                <w:kern w:val="0"/>
                <w:sz w:val="24"/>
                <w:szCs w:val="22"/>
                <w:lang w:val="en-US" w:eastAsia="zh-CN" w:bidi="ar-SA"/>
              </w:rPr>
              <w:t>分选杂质：项目分选原材料时产生的杂质为</w:t>
            </w:r>
            <w:r>
              <w:rPr>
                <w:rFonts w:hint="eastAsia" w:ascii="Times New Roman" w:hAnsi="Times New Roman" w:eastAsia="宋体" w:cs="Times New Roman"/>
                <w:color w:val="auto"/>
                <w:kern w:val="0"/>
                <w:sz w:val="24"/>
                <w:szCs w:val="22"/>
                <w:lang w:val="en-US" w:eastAsia="zh-CN" w:bidi="ar-SA"/>
              </w:rPr>
              <w:t>15</w:t>
            </w:r>
            <w:r>
              <w:rPr>
                <w:rFonts w:hint="default" w:ascii="Times New Roman" w:hAnsi="Times New Roman" w:eastAsia="宋体" w:cs="Times New Roman"/>
                <w:color w:val="auto"/>
                <w:kern w:val="0"/>
                <w:sz w:val="24"/>
                <w:szCs w:val="22"/>
                <w:lang w:val="en-US" w:eastAsia="zh-CN" w:bidi="ar-SA"/>
              </w:rPr>
              <w:t>t/a，集中收集后由环卫部门及时清运处理</w:t>
            </w:r>
            <w:r>
              <w:rPr>
                <w:rFonts w:hint="eastAsia" w:ascii="Times New Roman" w:hAnsi="Times New Roman" w:eastAsia="宋体" w:cs="Times New Roman"/>
                <w:color w:val="auto"/>
                <w:kern w:val="0"/>
                <w:sz w:val="24"/>
                <w:szCs w:val="22"/>
                <w:lang w:val="en-US" w:eastAsia="zh-CN" w:bidi="ar-SA"/>
              </w:rPr>
              <w:t>。</w:t>
            </w:r>
          </w:p>
          <w:p>
            <w:pPr>
              <w:pStyle w:val="54"/>
              <w:keepNext w:val="0"/>
              <w:keepLines w:val="0"/>
              <w:pageBreakBefore w:val="0"/>
              <w:widowControl w:val="0"/>
              <w:kinsoku/>
              <w:wordWrap/>
              <w:overflowPunct/>
              <w:topLinePunct w:val="0"/>
              <w:autoSpaceDE/>
              <w:autoSpaceDN/>
              <w:bidi w:val="0"/>
              <w:adjustRightInd/>
              <w:snapToGrid w:val="0"/>
              <w:jc w:val="both"/>
              <w:textAlignment w:val="auto"/>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除铁杂质：原料除铁工序有金属异物产生，产量为3</w:t>
            </w:r>
            <w:r>
              <w:rPr>
                <w:rFonts w:hint="default" w:ascii="Times New Roman" w:hAnsi="Times New Roman" w:eastAsia="宋体" w:cs="Times New Roman"/>
                <w:color w:val="auto"/>
                <w:kern w:val="0"/>
                <w:sz w:val="24"/>
                <w:szCs w:val="22"/>
                <w:lang w:val="en-US" w:eastAsia="zh-CN" w:bidi="ar-SA"/>
              </w:rPr>
              <w:t>t/a</w:t>
            </w:r>
            <w:r>
              <w:rPr>
                <w:rFonts w:hint="eastAsia" w:ascii="Times New Roman" w:hAnsi="Times New Roman" w:eastAsia="宋体" w:cs="Times New Roman"/>
                <w:color w:val="auto"/>
                <w:kern w:val="0"/>
                <w:sz w:val="24"/>
                <w:szCs w:val="22"/>
                <w:lang w:val="en-US" w:eastAsia="zh-CN" w:bidi="ar-SA"/>
              </w:rPr>
              <w:t>，统一收集后由环卫部门统一清运。</w:t>
            </w:r>
          </w:p>
          <w:p>
            <w:pPr>
              <w:pStyle w:val="54"/>
              <w:keepNext w:val="0"/>
              <w:keepLines w:val="0"/>
              <w:pageBreakBefore w:val="0"/>
              <w:widowControl w:val="0"/>
              <w:kinsoku/>
              <w:wordWrap/>
              <w:overflowPunct/>
              <w:topLinePunct w:val="0"/>
              <w:autoSpaceDE/>
              <w:autoSpaceDN/>
              <w:bidi w:val="0"/>
              <w:adjustRightInd/>
              <w:snapToGrid w:val="0"/>
              <w:jc w:val="both"/>
              <w:textAlignment w:val="auto"/>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热风炉</w:t>
            </w:r>
            <w:r>
              <w:rPr>
                <w:rFonts w:hint="default" w:ascii="Times New Roman" w:hAnsi="Times New Roman" w:eastAsia="宋体" w:cs="Times New Roman"/>
                <w:color w:val="auto"/>
                <w:kern w:val="0"/>
                <w:sz w:val="24"/>
                <w:szCs w:val="22"/>
                <w:lang w:val="en-US" w:eastAsia="zh-CN" w:bidi="ar-SA"/>
              </w:rPr>
              <w:t>炉渣：项目</w:t>
            </w:r>
            <w:r>
              <w:rPr>
                <w:rFonts w:hint="eastAsia" w:ascii="Times New Roman" w:hAnsi="Times New Roman" w:eastAsia="宋体" w:cs="Times New Roman"/>
                <w:color w:val="auto"/>
                <w:kern w:val="0"/>
                <w:sz w:val="24"/>
                <w:szCs w:val="22"/>
                <w:lang w:val="en-US" w:eastAsia="zh-CN" w:bidi="ar-SA"/>
              </w:rPr>
              <w:t>热风炉</w:t>
            </w:r>
            <w:r>
              <w:rPr>
                <w:rFonts w:hint="default" w:ascii="Times New Roman" w:hAnsi="Times New Roman" w:eastAsia="宋体" w:cs="Times New Roman"/>
                <w:color w:val="auto"/>
                <w:kern w:val="0"/>
                <w:sz w:val="24"/>
                <w:szCs w:val="22"/>
                <w:lang w:val="en-US" w:eastAsia="zh-CN" w:bidi="ar-SA"/>
              </w:rPr>
              <w:t>炉渣产生量为</w:t>
            </w:r>
            <w:r>
              <w:rPr>
                <w:rFonts w:hint="eastAsia" w:ascii="Times New Roman" w:hAnsi="Times New Roman" w:eastAsia="宋体" w:cs="Times New Roman"/>
                <w:color w:val="auto"/>
                <w:kern w:val="0"/>
                <w:sz w:val="24"/>
                <w:szCs w:val="22"/>
                <w:lang w:val="en-US" w:eastAsia="zh-CN" w:bidi="ar-SA"/>
              </w:rPr>
              <w:t>75t/a，</w:t>
            </w:r>
            <w:r>
              <w:rPr>
                <w:rFonts w:hint="default" w:ascii="Times New Roman" w:hAnsi="Times New Roman" w:eastAsia="宋体" w:cs="Times New Roman"/>
                <w:color w:val="auto"/>
                <w:kern w:val="0"/>
                <w:sz w:val="24"/>
                <w:szCs w:val="22"/>
                <w:lang w:val="en-US" w:eastAsia="zh-CN" w:bidi="ar-SA"/>
              </w:rPr>
              <w:t>集中收集后</w:t>
            </w:r>
            <w:r>
              <w:rPr>
                <w:rFonts w:hint="eastAsia" w:ascii="Times New Roman" w:hAnsi="Times New Roman" w:eastAsia="宋体" w:cs="Times New Roman"/>
                <w:color w:val="auto"/>
                <w:kern w:val="0"/>
                <w:sz w:val="24"/>
                <w:szCs w:val="22"/>
                <w:lang w:val="en-US" w:eastAsia="zh-CN" w:bidi="ar-SA"/>
              </w:rPr>
              <w:t>由周边农户回收利用，不外排。</w:t>
            </w:r>
          </w:p>
          <w:p>
            <w:pPr>
              <w:pStyle w:val="54"/>
              <w:keepNext w:val="0"/>
              <w:keepLines w:val="0"/>
              <w:pageBreakBefore w:val="0"/>
              <w:widowControl w:val="0"/>
              <w:kinsoku/>
              <w:wordWrap/>
              <w:overflowPunct/>
              <w:topLinePunct w:val="0"/>
              <w:autoSpaceDE/>
              <w:autoSpaceDN/>
              <w:bidi w:val="0"/>
              <w:adjustRightInd/>
              <w:snapToGrid w:val="0"/>
              <w:jc w:val="both"/>
              <w:textAlignment w:val="auto"/>
              <w:rPr>
                <w:rFonts w:hint="eastAsia" w:ascii="Times New Roman" w:hAnsi="Times New Roman" w:eastAsia="宋体" w:cs="Times New Roman"/>
                <w:color w:val="auto"/>
                <w:kern w:val="0"/>
                <w:sz w:val="24"/>
                <w:szCs w:val="22"/>
                <w:lang w:val="en-US" w:eastAsia="zh-CN" w:bidi="ar-SA"/>
              </w:rPr>
            </w:pPr>
            <w:r>
              <w:rPr>
                <w:rFonts w:hint="default" w:ascii="Times New Roman" w:hAnsi="Times New Roman" w:eastAsia="宋体" w:cs="Times New Roman"/>
                <w:color w:val="auto"/>
                <w:kern w:val="0"/>
                <w:sz w:val="24"/>
                <w:szCs w:val="22"/>
                <w:lang w:val="en-US" w:eastAsia="zh-CN" w:bidi="ar-SA"/>
              </w:rPr>
              <w:t>除尘器收集的粉尘：项目除尘器收集的粉尘量为</w:t>
            </w:r>
            <w:r>
              <w:rPr>
                <w:rFonts w:hint="eastAsia" w:ascii="Times New Roman" w:hAnsi="Times New Roman" w:eastAsia="宋体" w:cs="Times New Roman"/>
                <w:color w:val="auto"/>
                <w:kern w:val="0"/>
                <w:sz w:val="24"/>
                <w:szCs w:val="22"/>
                <w:lang w:val="en-US" w:eastAsia="zh-CN" w:bidi="ar-SA"/>
              </w:rPr>
              <w:t>130</w:t>
            </w:r>
            <w:r>
              <w:rPr>
                <w:rFonts w:hint="default" w:ascii="Times New Roman" w:hAnsi="Times New Roman" w:eastAsia="宋体" w:cs="Times New Roman"/>
                <w:color w:val="auto"/>
                <w:kern w:val="0"/>
                <w:sz w:val="24"/>
                <w:szCs w:val="22"/>
                <w:lang w:val="en-US" w:eastAsia="zh-CN" w:bidi="ar-SA"/>
              </w:rPr>
              <w:t>t/a，集中收集后回用于生产</w:t>
            </w:r>
            <w:r>
              <w:rPr>
                <w:rFonts w:hint="eastAsia" w:ascii="Times New Roman" w:hAnsi="Times New Roman" w:eastAsia="宋体" w:cs="Times New Roman"/>
                <w:color w:val="auto"/>
                <w:kern w:val="0"/>
                <w:sz w:val="24"/>
                <w:szCs w:val="22"/>
                <w:lang w:val="en-US" w:eastAsia="zh-CN" w:bidi="ar-SA"/>
              </w:rPr>
              <w:t>。</w:t>
            </w:r>
          </w:p>
          <w:p>
            <w:pPr>
              <w:pStyle w:val="14"/>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jc w:val="both"/>
              <w:textAlignment w:val="auto"/>
              <w:rPr>
                <w:rFonts w:hint="eastAsia" w:ascii="Times New Roman" w:hAnsi="Times New Roman" w:eastAsia="宋体" w:cs="Times New Roman"/>
                <w:color w:val="auto"/>
                <w:kern w:val="0"/>
                <w:sz w:val="24"/>
                <w:szCs w:val="22"/>
                <w:lang w:val="en-GB" w:eastAsia="zh-CN" w:bidi="ar-SA"/>
              </w:rPr>
            </w:pPr>
            <w:r>
              <w:rPr>
                <w:rFonts w:hint="eastAsia" w:ascii="Times New Roman" w:hAnsi="Times New Roman" w:eastAsia="宋体" w:cs="Times New Roman"/>
                <w:color w:val="auto"/>
                <w:kern w:val="0"/>
                <w:sz w:val="24"/>
                <w:szCs w:val="22"/>
                <w:lang w:val="en-GB" w:eastAsia="zh-CN" w:bidi="ar-SA"/>
              </w:rPr>
              <w:t>脱硫废气泥渣：项目烘干机废气采用湿法脱硫除尘进行处理，泥渣产生量</w:t>
            </w:r>
            <w:r>
              <w:rPr>
                <w:rFonts w:hint="eastAsia" w:ascii="Times New Roman" w:hAnsi="Times New Roman" w:eastAsia="宋体" w:cs="Times New Roman"/>
                <w:color w:val="auto"/>
                <w:kern w:val="0"/>
                <w:sz w:val="24"/>
                <w:szCs w:val="22"/>
                <w:lang w:val="en-US" w:eastAsia="zh-CN" w:bidi="ar-SA"/>
              </w:rPr>
              <w:t>为2.7</w:t>
            </w:r>
            <w:r>
              <w:rPr>
                <w:rFonts w:hint="eastAsia" w:ascii="Times New Roman" w:hAnsi="Times New Roman" w:eastAsia="宋体" w:cs="Times New Roman"/>
                <w:color w:val="auto"/>
                <w:kern w:val="0"/>
                <w:sz w:val="24"/>
                <w:szCs w:val="22"/>
                <w:lang w:val="en-GB" w:eastAsia="zh-CN" w:bidi="ar-SA"/>
              </w:rPr>
              <w:t>t/a，统一收集后由建材厂回收利用，不外排。</w:t>
            </w:r>
          </w:p>
          <w:p>
            <w:pPr>
              <w:pStyle w:val="68"/>
              <w:widowControl w:val="0"/>
              <w:ind w:firstLine="480"/>
              <w:jc w:val="both"/>
              <w:rPr>
                <w:rFonts w:hint="default"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生活垃圾：项目职工生活垃圾产生量为6.75t/a，</w:t>
            </w:r>
            <w:r>
              <w:rPr>
                <w:rFonts w:hint="eastAsia" w:ascii="Times New Roman" w:hAnsi="Times New Roman" w:cs="Times New Roman"/>
                <w:color w:val="auto"/>
                <w:kern w:val="0"/>
                <w:sz w:val="24"/>
                <w:szCs w:val="22"/>
                <w:lang w:val="en-US" w:eastAsia="zh-CN" w:bidi="ar-SA"/>
              </w:rPr>
              <w:t>收集后</w:t>
            </w:r>
            <w:r>
              <w:rPr>
                <w:rFonts w:hint="eastAsia" w:ascii="Times New Roman" w:hAnsi="Times New Roman" w:eastAsia="宋体" w:cs="Times New Roman"/>
                <w:color w:val="auto"/>
                <w:kern w:val="0"/>
                <w:sz w:val="24"/>
                <w:szCs w:val="22"/>
                <w:lang w:val="en-US" w:eastAsia="zh-CN" w:bidi="ar-SA"/>
              </w:rPr>
              <w:t>交予环卫部门统一处理。</w:t>
            </w:r>
          </w:p>
          <w:p>
            <w:pPr>
              <w:pStyle w:val="23"/>
              <w:widowControl w:val="0"/>
              <w:rPr>
                <w:color w:val="0000FF"/>
              </w:rPr>
            </w:pPr>
          </w:p>
        </w:tc>
      </w:tr>
    </w:tbl>
    <w:p>
      <w:pPr>
        <w:spacing w:line="360" w:lineRule="auto"/>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FF"/>
          <w:sz w:val="21"/>
          <w:szCs w:val="21"/>
        </w:rPr>
        <w:sectPr>
          <w:footerReference r:id="rId6" w:type="default"/>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表四</w:t>
      </w:r>
    </w:p>
    <w:tbl>
      <w:tblPr>
        <w:tblStyle w:val="25"/>
        <w:tblW w:w="8832"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5" w:hRule="atLeast"/>
        </w:trPr>
        <w:tc>
          <w:tcPr>
            <w:tcW w:w="8832" w:type="dxa"/>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建设项目环境影响报告表主要结论及审批部门审批决定：</w:t>
            </w:r>
          </w:p>
          <w:p>
            <w:pPr>
              <w:widowControl/>
              <w:spacing w:line="360" w:lineRule="auto"/>
              <w:ind w:firstLine="482" w:firstLineChars="200"/>
              <w:jc w:val="both"/>
              <w:rPr>
                <w:rFonts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一</w:t>
            </w:r>
            <w:r>
              <w:rPr>
                <w:rFonts w:hint="eastAsia" w:ascii="Times New Roman" w:hAnsi="Times New Roman" w:eastAsia="宋体" w:cs="Times New Roman"/>
                <w:b/>
                <w:bCs/>
                <w:color w:val="auto"/>
                <w:sz w:val="24"/>
                <w:szCs w:val="24"/>
              </w:rPr>
              <w:t>、</w:t>
            </w:r>
            <w:r>
              <w:rPr>
                <w:rFonts w:ascii="Times New Roman" w:hAnsi="Times New Roman" w:eastAsia="宋体" w:cs="Times New Roman"/>
                <w:b/>
                <w:bCs/>
                <w:color w:val="auto"/>
                <w:sz w:val="24"/>
                <w:szCs w:val="24"/>
              </w:rPr>
              <w:t>建设项目环境影响报告表主要结论</w:t>
            </w:r>
          </w:p>
          <w:p>
            <w:pPr>
              <w:keepNext w:val="0"/>
              <w:keepLines w:val="0"/>
              <w:pageBreakBefore w:val="0"/>
              <w:widowControl w:val="0"/>
              <w:tabs>
                <w:tab w:val="left" w:pos="180"/>
              </w:tabs>
              <w:kinsoku/>
              <w:wordWrap/>
              <w:overflowPunct/>
              <w:topLinePunct w:val="0"/>
              <w:autoSpaceDE/>
              <w:autoSpaceDN/>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sz w:val="24"/>
                <w:szCs w:val="24"/>
                <w:lang w:val="en-US" w:eastAsia="zh-CN"/>
              </w:rPr>
            </w:pPr>
            <w:bookmarkStart w:id="6" w:name="12.1项目概况和主要环保问题"/>
            <w:bookmarkEnd w:id="6"/>
            <w:r>
              <w:rPr>
                <w:rFonts w:hint="default" w:ascii="Times New Roman" w:hAnsi="Times New Roman" w:eastAsia="宋体" w:cs="Times New Roman"/>
                <w:b/>
                <w:color w:val="000000"/>
                <w:sz w:val="24"/>
                <w:szCs w:val="24"/>
                <w:lang w:val="en-US" w:eastAsia="zh-CN"/>
              </w:rPr>
              <w:t>1项目概况和主要环境问题</w:t>
            </w:r>
          </w:p>
          <w:p>
            <w:pPr>
              <w:keepNext w:val="0"/>
              <w:keepLines w:val="0"/>
              <w:pageBreakBefore w:val="0"/>
              <w:widowControl w:val="0"/>
              <w:kinsoku/>
              <w:wordWrap/>
              <w:overflowPunct/>
              <w:topLinePunct w:val="0"/>
              <w:autoSpaceDE/>
              <w:autoSpaceDN/>
              <w:bidi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lang w:val="en-US" w:eastAsia="zh-CN"/>
              </w:rPr>
              <w:t xml:space="preserve">    </w:t>
            </w:r>
            <w:r>
              <w:rPr>
                <w:rFonts w:hint="default" w:ascii="Times New Roman" w:hAnsi="Times New Roman" w:eastAsia="宋体" w:cs="Times New Roman"/>
                <w:color w:val="000000"/>
                <w:sz w:val="24"/>
                <w:szCs w:val="24"/>
                <w:lang w:eastAsia="zh-CN"/>
              </w:rPr>
              <w:t>泉州玛塔生态科技有限公司</w:t>
            </w:r>
            <w:r>
              <w:rPr>
                <w:rFonts w:hint="default" w:ascii="Times New Roman" w:hAnsi="Times New Roman" w:eastAsia="宋体" w:cs="Times New Roman"/>
                <w:color w:val="000000"/>
                <w:sz w:val="24"/>
                <w:szCs w:val="24"/>
                <w:lang w:val="zh-CN"/>
              </w:rPr>
              <w:t>专业从事</w:t>
            </w:r>
            <w:r>
              <w:rPr>
                <w:rFonts w:hint="default" w:ascii="Times New Roman" w:hAnsi="Times New Roman" w:eastAsia="宋体" w:cs="Times New Roman"/>
                <w:color w:val="000000"/>
                <w:sz w:val="24"/>
                <w:szCs w:val="24"/>
                <w:lang w:eastAsia="zh-CN"/>
              </w:rPr>
              <w:t>惠安县牡蛎壳固废垃圾综合处理与利用项目，</w:t>
            </w:r>
            <w:r>
              <w:rPr>
                <w:rFonts w:hint="default" w:ascii="Times New Roman" w:hAnsi="Times New Roman" w:eastAsia="宋体" w:cs="Times New Roman"/>
                <w:color w:val="000000"/>
                <w:sz w:val="24"/>
                <w:szCs w:val="24"/>
              </w:rPr>
              <w:t>位于</w:t>
            </w:r>
            <w:r>
              <w:rPr>
                <w:rFonts w:hint="default" w:ascii="Times New Roman" w:hAnsi="Times New Roman" w:eastAsia="宋体" w:cs="Times New Roman"/>
                <w:color w:val="000000"/>
                <w:sz w:val="24"/>
                <w:szCs w:val="24"/>
                <w:lang w:eastAsia="zh-CN"/>
              </w:rPr>
              <w:t>福建省泉州市惠安县辋川镇轻工园区</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eastAsia="zh-CN"/>
              </w:rPr>
              <w:t>占地面积</w:t>
            </w:r>
            <w:r>
              <w:rPr>
                <w:rFonts w:hint="default" w:ascii="Times New Roman" w:hAnsi="Times New Roman" w:eastAsia="宋体" w:cs="Times New Roman"/>
                <w:color w:val="000000"/>
                <w:sz w:val="24"/>
                <w:szCs w:val="24"/>
                <w:lang w:val="en-US" w:eastAsia="zh-CN"/>
              </w:rPr>
              <w:t>23620m</w:t>
            </w:r>
            <w:r>
              <w:rPr>
                <w:rFonts w:hint="default" w:ascii="Times New Roman" w:hAnsi="Times New Roman" w:eastAsia="宋体" w:cs="Times New Roman"/>
                <w:color w:val="000000"/>
                <w:sz w:val="24"/>
                <w:szCs w:val="24"/>
                <w:vertAlign w:val="superscript"/>
                <w:lang w:val="en-US" w:eastAsia="zh-CN"/>
              </w:rPr>
              <w:t>2</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总投资</w:t>
            </w:r>
            <w:r>
              <w:rPr>
                <w:rFonts w:hint="default" w:ascii="Times New Roman" w:hAnsi="Times New Roman" w:eastAsia="宋体" w:cs="Times New Roman"/>
                <w:color w:val="000000"/>
                <w:sz w:val="24"/>
                <w:szCs w:val="24"/>
                <w:highlight w:val="none"/>
                <w:lang w:val="en-US" w:eastAsia="zh-CN"/>
              </w:rPr>
              <w:t>5000万元，</w:t>
            </w:r>
            <w:r>
              <w:rPr>
                <w:rFonts w:hint="default" w:ascii="Times New Roman" w:hAnsi="Times New Roman" w:eastAsia="宋体" w:cs="Times New Roman"/>
                <w:color w:val="000000"/>
                <w:sz w:val="24"/>
                <w:szCs w:val="24"/>
              </w:rPr>
              <w:t>年产</w:t>
            </w:r>
            <w:r>
              <w:rPr>
                <w:rFonts w:hint="default" w:ascii="Times New Roman" w:hAnsi="Times New Roman" w:eastAsia="宋体" w:cs="Times New Roman"/>
                <w:color w:val="000000"/>
                <w:sz w:val="24"/>
                <w:szCs w:val="24"/>
                <w:lang w:val="en-US" w:eastAsia="zh-CN"/>
              </w:rPr>
              <w:t>10万吨</w:t>
            </w:r>
            <w:r>
              <w:rPr>
                <w:rFonts w:hint="default" w:ascii="Times New Roman" w:hAnsi="Times New Roman" w:eastAsia="宋体" w:cs="Times New Roman"/>
                <w:color w:val="000000"/>
                <w:sz w:val="24"/>
                <w:szCs w:val="24"/>
                <w:lang w:eastAsia="zh-CN"/>
              </w:rPr>
              <w:t>牡蛎壳土壤改良剂、重金属污染耕地修复剂</w:t>
            </w:r>
            <w:r>
              <w:rPr>
                <w:rFonts w:hint="default" w:ascii="Times New Roman" w:hAnsi="Times New Roman" w:eastAsia="宋体" w:cs="Times New Roman"/>
                <w:color w:val="000000"/>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主要环境问题为废气、</w:t>
            </w:r>
            <w:r>
              <w:rPr>
                <w:rFonts w:hint="default" w:ascii="Times New Roman" w:hAnsi="Times New Roman" w:eastAsia="宋体" w:cs="Times New Roman"/>
                <w:color w:val="000000"/>
                <w:sz w:val="24"/>
                <w:szCs w:val="24"/>
                <w:lang w:eastAsia="zh-CN"/>
              </w:rPr>
              <w:t>生活污水、</w:t>
            </w:r>
            <w:r>
              <w:rPr>
                <w:rFonts w:hint="default" w:ascii="Times New Roman" w:hAnsi="Times New Roman" w:eastAsia="宋体" w:cs="Times New Roman"/>
                <w:color w:val="000000"/>
                <w:sz w:val="24"/>
                <w:szCs w:val="24"/>
              </w:rPr>
              <w:t>设备噪声和固废等。</w:t>
            </w:r>
          </w:p>
          <w:p>
            <w:pPr>
              <w:keepNext w:val="0"/>
              <w:keepLines w:val="0"/>
              <w:pageBreakBefore w:val="0"/>
              <w:widowControl w:val="0"/>
              <w:tabs>
                <w:tab w:val="left" w:pos="180"/>
              </w:tabs>
              <w:kinsoku/>
              <w:wordWrap/>
              <w:overflowPunct/>
              <w:topLinePunct w:val="0"/>
              <w:autoSpaceDE/>
              <w:autoSpaceDN/>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sz w:val="24"/>
                <w:szCs w:val="24"/>
                <w:lang w:val="en-US" w:eastAsia="zh-CN"/>
              </w:rPr>
            </w:pPr>
            <w:r>
              <w:rPr>
                <w:rFonts w:hint="default" w:ascii="Times New Roman" w:hAnsi="Times New Roman" w:eastAsia="宋体" w:cs="Times New Roman"/>
                <w:b/>
                <w:color w:val="000000"/>
                <w:sz w:val="24"/>
                <w:szCs w:val="24"/>
                <w:lang w:val="en-US" w:eastAsia="zh-CN"/>
              </w:rPr>
              <w:t>2环境质量现状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项目所在区域地表水、大气、声环境质量现状良好，能够符合环境规划要求。</w:t>
            </w:r>
          </w:p>
          <w:p>
            <w:pPr>
              <w:keepNext w:val="0"/>
              <w:keepLines w:val="0"/>
              <w:pageBreakBefore w:val="0"/>
              <w:widowControl w:val="0"/>
              <w:tabs>
                <w:tab w:val="left" w:pos="180"/>
              </w:tabs>
              <w:kinsoku/>
              <w:wordWrap/>
              <w:overflowPunct/>
              <w:topLinePunct w:val="0"/>
              <w:autoSpaceDE/>
              <w:autoSpaceDN/>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sz w:val="24"/>
                <w:szCs w:val="24"/>
                <w:lang w:val="en-US" w:eastAsia="zh-CN"/>
              </w:rPr>
            </w:pPr>
            <w:r>
              <w:rPr>
                <w:rFonts w:hint="default" w:ascii="Times New Roman" w:hAnsi="Times New Roman" w:eastAsia="宋体" w:cs="Times New Roman"/>
                <w:b/>
                <w:color w:val="000000"/>
                <w:sz w:val="24"/>
                <w:szCs w:val="24"/>
                <w:lang w:val="en-US" w:eastAsia="zh-CN"/>
              </w:rPr>
              <w:t>3工程环境影响评估</w:t>
            </w:r>
          </w:p>
          <w:p>
            <w:pPr>
              <w:keepNext w:val="0"/>
              <w:keepLines w:val="0"/>
              <w:pageBreakBefore w:val="0"/>
              <w:widowControl w:val="0"/>
              <w:kinsoku/>
              <w:wordWrap/>
              <w:overflowPunct/>
              <w:topLinePunct w:val="0"/>
              <w:autoSpaceDE/>
              <w:autoSpaceDN/>
              <w:bidi w:val="0"/>
              <w:snapToGrid w:val="0"/>
              <w:spacing w:line="360" w:lineRule="auto"/>
              <w:ind w:left="0" w:leftChars="0" w:right="0" w:rightChars="0" w:firstLine="482" w:firstLineChars="200"/>
              <w:jc w:val="both"/>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rPr>
              <w:t>（1）水环境</w:t>
            </w:r>
          </w:p>
          <w:p>
            <w:pPr>
              <w:pStyle w:val="1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color w:val="000000"/>
                <w:sz w:val="24"/>
                <w:szCs w:val="24"/>
              </w:rPr>
            </w:pPr>
            <w:r>
              <w:rPr>
                <w:rFonts w:hint="default" w:ascii="Times New Roman" w:hAnsi="Times New Roman" w:eastAsia="宋体" w:cs="Times New Roman"/>
                <w:color w:val="000000"/>
                <w:sz w:val="24"/>
                <w:szCs w:val="24"/>
              </w:rPr>
              <w:t>项目生活污水拟</w:t>
            </w:r>
            <w:r>
              <w:rPr>
                <w:rFonts w:hint="default" w:ascii="Times New Roman" w:hAnsi="Times New Roman" w:eastAsia="宋体" w:cs="Times New Roman"/>
                <w:color w:val="000000"/>
                <w:sz w:val="24"/>
                <w:szCs w:val="24"/>
                <w:lang w:eastAsia="zh-CN"/>
              </w:rPr>
              <w:t>经</w:t>
            </w:r>
            <w:r>
              <w:rPr>
                <w:rFonts w:hint="default" w:ascii="Times New Roman" w:hAnsi="Times New Roman" w:eastAsia="宋体" w:cs="Times New Roman"/>
                <w:color w:val="000000"/>
                <w:sz w:val="24"/>
                <w:szCs w:val="24"/>
              </w:rPr>
              <w:t>化粪池处理达《污水综合排放标准》(GB8978-1996)表4三级标准，同时满足惠安县污水处理厂二期工程设计进水水质要求后，通过市政污水管网纳入惠安县污水处理厂集中处理。</w:t>
            </w:r>
            <w:r>
              <w:rPr>
                <w:rFonts w:hint="default" w:ascii="Times New Roman" w:hAnsi="Times New Roman" w:eastAsia="宋体" w:cs="Times New Roman"/>
                <w:color w:val="000000"/>
                <w:spacing w:val="8"/>
                <w:sz w:val="24"/>
                <w:szCs w:val="24"/>
              </w:rPr>
              <w:t>惠安县污水处理厂</w:t>
            </w:r>
            <w:r>
              <w:rPr>
                <w:rFonts w:hint="default" w:ascii="Times New Roman" w:hAnsi="Times New Roman" w:eastAsia="宋体" w:cs="Times New Roman"/>
                <w:color w:val="000000"/>
                <w:sz w:val="24"/>
                <w:szCs w:val="24"/>
              </w:rPr>
              <w:t>处理达到《城镇污水处理厂污染物排放标准》(GB18918-2002)表1一级B排放标准后，最终排入林辋溪，不会加重林辋溪负荷。</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（2）大气环境</w:t>
            </w:r>
          </w:p>
          <w:p>
            <w:pPr>
              <w:pStyle w:val="54"/>
              <w:keepNext w:val="0"/>
              <w:keepLines w:val="0"/>
              <w:pageBreakBefore w:val="0"/>
              <w:widowControl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①恶臭</w:t>
            </w:r>
          </w:p>
          <w:p>
            <w:pPr>
              <w:pStyle w:val="54"/>
              <w:keepNext w:val="0"/>
              <w:keepLines w:val="0"/>
              <w:pageBreakBefore w:val="0"/>
              <w:widowControl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根据工程分析可知项目堆场NH</w:t>
            </w:r>
            <w:r>
              <w:rPr>
                <w:rFonts w:hint="default" w:ascii="Times New Roman" w:hAnsi="Times New Roman" w:eastAsia="宋体" w:cs="Times New Roman"/>
                <w:color w:val="000000"/>
                <w:sz w:val="24"/>
                <w:szCs w:val="24"/>
                <w:vertAlign w:val="subscript"/>
              </w:rPr>
              <w:t>3</w:t>
            </w:r>
            <w:r>
              <w:rPr>
                <w:rFonts w:hint="default" w:ascii="Times New Roman" w:hAnsi="Times New Roman" w:eastAsia="宋体" w:cs="Times New Roman"/>
                <w:color w:val="000000"/>
                <w:sz w:val="24"/>
                <w:szCs w:val="24"/>
              </w:rPr>
              <w:t>和H</w:t>
            </w:r>
            <w:r>
              <w:rPr>
                <w:rFonts w:hint="default" w:ascii="Times New Roman" w:hAnsi="Times New Roman" w:eastAsia="宋体" w:cs="Times New Roman"/>
                <w:color w:val="000000"/>
                <w:sz w:val="24"/>
                <w:szCs w:val="24"/>
                <w:vertAlign w:val="subscript"/>
              </w:rPr>
              <w:t>2</w:t>
            </w:r>
            <w:r>
              <w:rPr>
                <w:rFonts w:hint="default" w:ascii="Times New Roman" w:hAnsi="Times New Roman" w:eastAsia="宋体" w:cs="Times New Roman"/>
                <w:color w:val="000000"/>
                <w:sz w:val="24"/>
                <w:szCs w:val="24"/>
              </w:rPr>
              <w:t>S的产生量分别为0.0464kg/h和0.0015kg/h，该部分废气为无组织排放，建议建设单位在原料堆场地面要做硬化、并设置收集井，收集原料的渗滤液，堆场上方搭建防雨棚，并定期喷洒除臭剂。本项目</w:t>
            </w:r>
            <w:r>
              <w:rPr>
                <w:rFonts w:hint="default" w:ascii="Times New Roman" w:hAnsi="Times New Roman" w:eastAsia="宋体" w:cs="Times New Roman"/>
                <w:color w:val="000000"/>
                <w:sz w:val="24"/>
                <w:szCs w:val="24"/>
                <w:lang w:eastAsia="zh-CN"/>
              </w:rPr>
              <w:t>原料</w:t>
            </w:r>
            <w:r>
              <w:rPr>
                <w:rFonts w:hint="default" w:ascii="Times New Roman" w:hAnsi="Times New Roman" w:eastAsia="宋体" w:cs="Times New Roman"/>
                <w:color w:val="000000"/>
                <w:sz w:val="24"/>
                <w:szCs w:val="24"/>
              </w:rPr>
              <w:t>堆场外已设置100m的卫生防护距离，100m卫生防护距离范围内</w:t>
            </w:r>
            <w:r>
              <w:rPr>
                <w:rFonts w:hint="default" w:ascii="Times New Roman" w:hAnsi="Times New Roman" w:eastAsia="宋体" w:cs="Times New Roman"/>
                <w:color w:val="000000"/>
                <w:sz w:val="24"/>
                <w:szCs w:val="24"/>
                <w:lang w:eastAsia="zh-CN"/>
              </w:rPr>
              <w:t>居民居住区等敏感点</w:t>
            </w:r>
            <w:r>
              <w:rPr>
                <w:rFonts w:hint="default" w:ascii="Times New Roman" w:hAnsi="Times New Roman" w:eastAsia="宋体" w:cs="Times New Roman"/>
                <w:color w:val="000000"/>
                <w:sz w:val="24"/>
                <w:szCs w:val="24"/>
              </w:rPr>
              <w:t>。因此，项目恶臭对环境影响较小。</w:t>
            </w:r>
          </w:p>
          <w:p>
            <w:pPr>
              <w:pStyle w:val="54"/>
              <w:keepNext w:val="0"/>
              <w:keepLines w:val="0"/>
              <w:pageBreakBefore w:val="0"/>
              <w:widowControl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②烘干废气</w:t>
            </w:r>
          </w:p>
          <w:p>
            <w:pPr>
              <w:pStyle w:val="54"/>
              <w:keepNext w:val="0"/>
              <w:keepLines w:val="0"/>
              <w:pageBreakBefore w:val="0"/>
              <w:widowControl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项目烘干炉燃生物质产生的废气采用</w:t>
            </w:r>
            <w:r>
              <w:rPr>
                <w:rFonts w:hint="default" w:ascii="Times New Roman" w:hAnsi="Times New Roman" w:eastAsia="宋体" w:cs="Times New Roman"/>
                <w:bCs/>
                <w:color w:val="000000"/>
                <w:sz w:val="24"/>
                <w:szCs w:val="24"/>
              </w:rPr>
              <w:t>布袋除尘</w:t>
            </w:r>
            <w:r>
              <w:rPr>
                <w:rFonts w:hint="default" w:ascii="Times New Roman" w:hAnsi="Times New Roman" w:eastAsia="宋体" w:cs="Times New Roman"/>
                <w:bCs/>
                <w:color w:val="000000"/>
                <w:sz w:val="24"/>
                <w:szCs w:val="24"/>
                <w:lang w:val="en-US" w:eastAsia="zh-CN"/>
              </w:rPr>
              <w:t>+碱液喷淋</w:t>
            </w:r>
            <w:r>
              <w:rPr>
                <w:rFonts w:hint="default" w:ascii="Times New Roman" w:hAnsi="Times New Roman" w:eastAsia="宋体" w:cs="Times New Roman"/>
                <w:color w:val="000000"/>
                <w:sz w:val="24"/>
                <w:szCs w:val="24"/>
              </w:rPr>
              <w:t>处理后再通过</w:t>
            </w:r>
            <w:r>
              <w:rPr>
                <w:rFonts w:hint="default" w:ascii="Times New Roman" w:hAnsi="Times New Roman" w:eastAsia="宋体" w:cs="Times New Roman"/>
                <w:color w:val="000000"/>
                <w:sz w:val="24"/>
                <w:szCs w:val="24"/>
                <w:lang w:val="en-US" w:eastAsia="zh-CN"/>
              </w:rPr>
              <w:t>20</w:t>
            </w:r>
            <w:r>
              <w:rPr>
                <w:rFonts w:hint="default" w:ascii="Times New Roman" w:hAnsi="Times New Roman" w:eastAsia="宋体" w:cs="Times New Roman"/>
                <w:color w:val="000000"/>
                <w:sz w:val="24"/>
                <w:szCs w:val="24"/>
              </w:rPr>
              <w:t>m排气筒排放。治理后</w:t>
            </w:r>
            <w:r>
              <w:rPr>
                <w:rFonts w:hint="default" w:ascii="Times New Roman" w:hAnsi="Times New Roman" w:eastAsia="宋体" w:cs="Times New Roman"/>
                <w:color w:val="000000"/>
                <w:sz w:val="24"/>
                <w:szCs w:val="24"/>
                <w:lang w:eastAsia="zh-CN"/>
              </w:rPr>
              <w:t>颗粒物</w:t>
            </w:r>
            <w:r>
              <w:rPr>
                <w:rFonts w:hint="default" w:ascii="Times New Roman" w:hAnsi="Times New Roman" w:eastAsia="宋体" w:cs="Times New Roman"/>
                <w:color w:val="000000"/>
                <w:sz w:val="24"/>
                <w:szCs w:val="24"/>
              </w:rPr>
              <w:t>的排放浓度为</w:t>
            </w:r>
            <w:r>
              <w:rPr>
                <w:rFonts w:hint="default" w:ascii="Times New Roman" w:hAnsi="Times New Roman" w:eastAsia="宋体" w:cs="Times New Roman"/>
                <w:color w:val="000000"/>
                <w:sz w:val="24"/>
                <w:szCs w:val="24"/>
                <w:lang w:val="en-US" w:eastAsia="zh-CN"/>
              </w:rPr>
              <w:t>67.6</w:t>
            </w:r>
            <w:r>
              <w:rPr>
                <w:rFonts w:hint="default" w:ascii="Times New Roman" w:hAnsi="Times New Roman" w:eastAsia="宋体" w:cs="Times New Roman"/>
                <w:color w:val="000000"/>
                <w:sz w:val="24"/>
                <w:szCs w:val="24"/>
              </w:rPr>
              <w:t>mg/m³；SO</w:t>
            </w:r>
            <w:r>
              <w:rPr>
                <w:rFonts w:hint="default" w:ascii="Times New Roman" w:hAnsi="Times New Roman" w:eastAsia="宋体" w:cs="Times New Roman"/>
                <w:color w:val="000000"/>
                <w:sz w:val="24"/>
                <w:szCs w:val="24"/>
                <w:vertAlign w:val="subscript"/>
              </w:rPr>
              <w:t>2</w:t>
            </w:r>
            <w:r>
              <w:rPr>
                <w:rFonts w:hint="default" w:ascii="Times New Roman" w:hAnsi="Times New Roman" w:eastAsia="宋体" w:cs="Times New Roman"/>
                <w:color w:val="000000"/>
                <w:sz w:val="24"/>
                <w:szCs w:val="24"/>
              </w:rPr>
              <w:t>排放浓度为</w:t>
            </w:r>
            <w:r>
              <w:rPr>
                <w:rFonts w:hint="default" w:ascii="Times New Roman" w:hAnsi="Times New Roman" w:eastAsia="宋体" w:cs="Times New Roman"/>
                <w:color w:val="000000"/>
                <w:sz w:val="24"/>
                <w:szCs w:val="24"/>
                <w:lang w:val="en-US" w:eastAsia="zh-CN"/>
              </w:rPr>
              <w:t>57.7</w:t>
            </w:r>
            <w:r>
              <w:rPr>
                <w:rFonts w:hint="default" w:ascii="Times New Roman" w:hAnsi="Times New Roman" w:eastAsia="宋体" w:cs="Times New Roman"/>
                <w:color w:val="000000"/>
                <w:sz w:val="24"/>
                <w:szCs w:val="24"/>
              </w:rPr>
              <w:t>mg/m³；NOx的排放浓度为</w:t>
            </w:r>
            <w:r>
              <w:rPr>
                <w:rFonts w:hint="default" w:ascii="Times New Roman" w:hAnsi="Times New Roman" w:eastAsia="宋体" w:cs="Times New Roman"/>
                <w:color w:val="000000"/>
                <w:sz w:val="24"/>
                <w:szCs w:val="24"/>
                <w:lang w:val="en-US" w:eastAsia="zh-CN"/>
              </w:rPr>
              <w:t>163.5</w:t>
            </w:r>
            <w:r>
              <w:rPr>
                <w:rFonts w:hint="default" w:ascii="Times New Roman" w:hAnsi="Times New Roman" w:eastAsia="宋体" w:cs="Times New Roman"/>
                <w:color w:val="000000"/>
                <w:sz w:val="24"/>
                <w:szCs w:val="24"/>
              </w:rPr>
              <w:t>mg/m³</w:t>
            </w:r>
            <w:r>
              <w:rPr>
                <w:rFonts w:hint="default" w:ascii="Times New Roman" w:hAnsi="Times New Roman" w:eastAsia="宋体" w:cs="Times New Roman"/>
                <w:color w:val="000000"/>
                <w:sz w:val="24"/>
                <w:szCs w:val="24"/>
                <w:lang w:eastAsia="zh-CN"/>
              </w:rPr>
              <w:t>，均符合</w:t>
            </w:r>
            <w:r>
              <w:rPr>
                <w:rFonts w:hint="default" w:ascii="Times New Roman" w:hAnsi="Times New Roman" w:eastAsia="宋体" w:cs="Times New Roman"/>
                <w:color w:val="000000"/>
                <w:sz w:val="24"/>
                <w:szCs w:val="24"/>
              </w:rPr>
              <w:t>GB13271-2014《锅炉大气污染物排放标准》表2的燃煤锅炉排放控制要求</w:t>
            </w:r>
            <w:r>
              <w:rPr>
                <w:rFonts w:hint="default" w:ascii="Times New Roman" w:hAnsi="Times New Roman" w:eastAsia="宋体" w:cs="Times New Roman"/>
                <w:color w:val="000000"/>
                <w:sz w:val="24"/>
                <w:szCs w:val="24"/>
                <w:lang w:eastAsia="zh-CN"/>
              </w:rPr>
              <w:t>，治理措施可行</w:t>
            </w:r>
            <w:r>
              <w:rPr>
                <w:rFonts w:hint="default" w:ascii="Times New Roman" w:hAnsi="Times New Roman" w:eastAsia="宋体" w:cs="Times New Roman"/>
                <w:color w:val="000000"/>
                <w:sz w:val="24"/>
                <w:szCs w:val="24"/>
              </w:rPr>
              <w:t>。</w:t>
            </w:r>
          </w:p>
          <w:p>
            <w:pPr>
              <w:pStyle w:val="54"/>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③半成品</w:t>
            </w:r>
            <w:r>
              <w:rPr>
                <w:rFonts w:hint="default" w:ascii="Times New Roman" w:hAnsi="Times New Roman" w:eastAsia="宋体" w:cs="Times New Roman"/>
                <w:color w:val="000000"/>
                <w:sz w:val="24"/>
                <w:szCs w:val="24"/>
              </w:rPr>
              <w:t>输送及储存粉尘</w:t>
            </w:r>
          </w:p>
          <w:p>
            <w:pPr>
              <w:pStyle w:val="54"/>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烘干</w:t>
            </w:r>
            <w:r>
              <w:rPr>
                <w:rFonts w:hint="default" w:ascii="Times New Roman" w:hAnsi="Times New Roman" w:eastAsia="宋体" w:cs="Times New Roman"/>
                <w:color w:val="000000"/>
                <w:sz w:val="24"/>
                <w:szCs w:val="24"/>
                <w:lang w:eastAsia="zh-CN"/>
              </w:rPr>
              <w:t>焙烧</w:t>
            </w:r>
            <w:r>
              <w:rPr>
                <w:rFonts w:hint="default" w:ascii="Times New Roman" w:hAnsi="Times New Roman" w:eastAsia="宋体" w:cs="Times New Roman"/>
                <w:color w:val="000000"/>
                <w:sz w:val="24"/>
                <w:szCs w:val="24"/>
              </w:rPr>
              <w:t>后的牡沥壳经封闭式管道提升进入</w:t>
            </w:r>
            <w:r>
              <w:rPr>
                <w:rFonts w:hint="default" w:ascii="Times New Roman" w:hAnsi="Times New Roman" w:eastAsia="宋体" w:cs="Times New Roman"/>
                <w:color w:val="000000"/>
                <w:sz w:val="24"/>
                <w:szCs w:val="24"/>
                <w:lang w:eastAsia="zh-CN"/>
              </w:rPr>
              <w:t>半成品</w:t>
            </w:r>
            <w:r>
              <w:rPr>
                <w:rFonts w:hint="default" w:ascii="Times New Roman" w:hAnsi="Times New Roman" w:eastAsia="宋体" w:cs="Times New Roman"/>
                <w:color w:val="000000"/>
                <w:sz w:val="24"/>
                <w:szCs w:val="24"/>
              </w:rPr>
              <w:t>原料仓，输送落料过程中产生的含尘气体引入料仓顶部袋式除尘器处理后</w:t>
            </w:r>
            <w:r>
              <w:rPr>
                <w:rFonts w:hint="default" w:ascii="Times New Roman" w:hAnsi="Times New Roman" w:eastAsia="宋体" w:cs="Times New Roman"/>
                <w:color w:val="000000"/>
                <w:sz w:val="24"/>
                <w:szCs w:val="24"/>
                <w:lang w:eastAsia="zh-CN"/>
              </w:rPr>
              <w:t>通过</w:t>
            </w:r>
            <w:r>
              <w:rPr>
                <w:rFonts w:hint="default" w:ascii="Times New Roman" w:hAnsi="Times New Roman" w:eastAsia="宋体" w:cs="Times New Roman"/>
                <w:color w:val="000000"/>
                <w:sz w:val="24"/>
                <w:szCs w:val="24"/>
                <w:lang w:val="en-US" w:eastAsia="zh-CN"/>
              </w:rPr>
              <w:t>15m排气筒</w:t>
            </w:r>
            <w:r>
              <w:rPr>
                <w:rFonts w:hint="default" w:ascii="Times New Roman" w:hAnsi="Times New Roman" w:eastAsia="宋体" w:cs="Times New Roman"/>
                <w:color w:val="000000"/>
                <w:sz w:val="24"/>
                <w:szCs w:val="24"/>
              </w:rPr>
              <w:t>排放，除尘器截留收集</w:t>
            </w:r>
            <w:r>
              <w:rPr>
                <w:rFonts w:hint="default" w:ascii="Times New Roman" w:hAnsi="Times New Roman" w:eastAsia="宋体" w:cs="Times New Roman"/>
                <w:color w:val="000000"/>
                <w:sz w:val="24"/>
                <w:szCs w:val="24"/>
                <w:lang w:eastAsia="zh-CN"/>
              </w:rPr>
              <w:t>后</w:t>
            </w:r>
            <w:r>
              <w:rPr>
                <w:rFonts w:hint="default" w:ascii="Times New Roman" w:hAnsi="Times New Roman" w:eastAsia="宋体" w:cs="Times New Roman"/>
                <w:color w:val="000000"/>
                <w:sz w:val="24"/>
                <w:szCs w:val="24"/>
              </w:rPr>
              <w:t>粉尘排放量为</w:t>
            </w:r>
            <w:r>
              <w:rPr>
                <w:rFonts w:hint="default" w:ascii="Times New Roman" w:hAnsi="Times New Roman" w:eastAsia="宋体" w:cs="Times New Roman"/>
                <w:color w:val="000000"/>
                <w:sz w:val="24"/>
                <w:szCs w:val="24"/>
                <w:lang w:val="en-US" w:eastAsia="zh-CN"/>
              </w:rPr>
              <w:t>0.2</w:t>
            </w:r>
            <w:r>
              <w:rPr>
                <w:rFonts w:hint="default" w:ascii="Times New Roman" w:hAnsi="Times New Roman" w:eastAsia="宋体" w:cs="Times New Roman"/>
                <w:color w:val="000000"/>
                <w:sz w:val="24"/>
                <w:szCs w:val="24"/>
              </w:rPr>
              <w:t>t/a</w:t>
            </w:r>
            <w:r>
              <w:rPr>
                <w:rFonts w:hint="default" w:ascii="Times New Roman" w:hAnsi="Times New Roman" w:eastAsia="宋体" w:cs="Times New Roman"/>
                <w:color w:val="000000"/>
                <w:sz w:val="24"/>
                <w:szCs w:val="24"/>
                <w:lang w:eastAsia="zh-CN"/>
              </w:rPr>
              <w:t>排放速率为</w:t>
            </w:r>
            <w:r>
              <w:rPr>
                <w:rFonts w:hint="default" w:ascii="Times New Roman" w:hAnsi="Times New Roman" w:eastAsia="宋体" w:cs="Times New Roman"/>
                <w:color w:val="000000"/>
                <w:sz w:val="24"/>
                <w:szCs w:val="24"/>
                <w:lang w:val="en-US" w:eastAsia="zh-CN"/>
              </w:rPr>
              <w:t>0.067kg/h，排放浓度为33.5</w:t>
            </w:r>
            <w:r>
              <w:rPr>
                <w:rFonts w:hint="default" w:ascii="Times New Roman" w:hAnsi="Times New Roman" w:eastAsia="宋体" w:cs="Times New Roman"/>
                <w:color w:val="000000"/>
                <w:sz w:val="24"/>
                <w:szCs w:val="24"/>
                <w:vertAlign w:val="baseline"/>
                <w:lang w:val="en-US" w:eastAsia="zh-CN"/>
              </w:rPr>
              <w:t>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vertAlign w:val="baseline"/>
                <w:lang w:val="en-US" w:eastAsia="zh-CN"/>
              </w:rPr>
              <w:t>，符合</w:t>
            </w:r>
            <w:r>
              <w:rPr>
                <w:rFonts w:hint="default" w:ascii="Times New Roman" w:hAnsi="Times New Roman" w:eastAsia="宋体" w:cs="Times New Roman"/>
                <w:color w:val="000000"/>
                <w:sz w:val="24"/>
                <w:szCs w:val="24"/>
              </w:rPr>
              <w:t>《大气污染物综合排放标准》（GB16297-1996）中表2二级标准</w:t>
            </w:r>
            <w:r>
              <w:rPr>
                <w:rFonts w:hint="default" w:ascii="Times New Roman" w:hAnsi="Times New Roman" w:eastAsia="宋体" w:cs="Times New Roman"/>
                <w:color w:val="000000"/>
                <w:sz w:val="24"/>
                <w:szCs w:val="24"/>
                <w:lang w:eastAsia="zh-CN"/>
              </w:rPr>
              <w:t>颗粒物浓度限值，治理措施可行</w:t>
            </w:r>
            <w:r>
              <w:rPr>
                <w:rFonts w:hint="default" w:ascii="Times New Roman" w:hAnsi="Times New Roman" w:eastAsia="宋体" w:cs="Times New Roman"/>
                <w:color w:val="000000"/>
                <w:sz w:val="24"/>
                <w:szCs w:val="24"/>
              </w:rPr>
              <w:t>。</w:t>
            </w:r>
          </w:p>
          <w:p>
            <w:pPr>
              <w:pStyle w:val="54"/>
              <w:keepNext w:val="0"/>
              <w:keepLines w:val="0"/>
              <w:pageBreakBefore w:val="0"/>
              <w:widowControl w:val="0"/>
              <w:numPr>
                <w:ilvl w:val="0"/>
                <w:numId w:val="0"/>
              </w:numPr>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④粉磨风选</w:t>
            </w:r>
          </w:p>
          <w:p>
            <w:pPr>
              <w:pStyle w:val="54"/>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项目粉磨风选产生的含尘气体经</w:t>
            </w:r>
            <w:r>
              <w:rPr>
                <w:rFonts w:hint="default" w:ascii="Times New Roman" w:hAnsi="Times New Roman" w:eastAsia="宋体" w:cs="Times New Roman"/>
                <w:color w:val="000000"/>
                <w:sz w:val="24"/>
                <w:szCs w:val="24"/>
                <w:lang w:eastAsia="zh-CN"/>
              </w:rPr>
              <w:t>袋式</w:t>
            </w:r>
            <w:r>
              <w:rPr>
                <w:rFonts w:hint="default" w:ascii="Times New Roman" w:hAnsi="Times New Roman" w:eastAsia="宋体" w:cs="Times New Roman"/>
                <w:color w:val="000000"/>
                <w:sz w:val="24"/>
                <w:szCs w:val="24"/>
              </w:rPr>
              <w:t>除尘器处理后</w:t>
            </w:r>
            <w:r>
              <w:rPr>
                <w:rFonts w:hint="default" w:ascii="Times New Roman" w:hAnsi="Times New Roman" w:eastAsia="宋体" w:cs="Times New Roman"/>
                <w:color w:val="000000"/>
                <w:sz w:val="24"/>
                <w:szCs w:val="24"/>
                <w:lang w:eastAsia="zh-CN"/>
              </w:rPr>
              <w:t>通过</w:t>
            </w:r>
            <w:r>
              <w:rPr>
                <w:rFonts w:hint="default" w:ascii="Times New Roman" w:hAnsi="Times New Roman" w:eastAsia="宋体" w:cs="Times New Roman"/>
                <w:color w:val="000000"/>
                <w:sz w:val="24"/>
                <w:szCs w:val="24"/>
                <w:lang w:val="en-US" w:eastAsia="zh-CN"/>
              </w:rPr>
              <w:t>15m排气筒</w:t>
            </w:r>
            <w:r>
              <w:rPr>
                <w:rFonts w:hint="default" w:ascii="Times New Roman" w:hAnsi="Times New Roman" w:eastAsia="宋体" w:cs="Times New Roman"/>
                <w:color w:val="000000"/>
                <w:sz w:val="24"/>
                <w:szCs w:val="24"/>
              </w:rPr>
              <w:t>排放，</w:t>
            </w:r>
            <w:r>
              <w:rPr>
                <w:rFonts w:hint="default" w:ascii="Times New Roman" w:hAnsi="Times New Roman" w:eastAsia="宋体" w:cs="Times New Roman"/>
                <w:color w:val="000000"/>
                <w:sz w:val="24"/>
                <w:szCs w:val="24"/>
                <w:lang w:eastAsia="zh-CN"/>
              </w:rPr>
              <w:t>采用袋式</w:t>
            </w:r>
            <w:r>
              <w:rPr>
                <w:rFonts w:hint="default" w:ascii="Times New Roman" w:hAnsi="Times New Roman" w:eastAsia="宋体" w:cs="Times New Roman"/>
                <w:color w:val="000000"/>
                <w:sz w:val="24"/>
                <w:szCs w:val="24"/>
              </w:rPr>
              <w:t>除尘器</w:t>
            </w:r>
            <w:r>
              <w:rPr>
                <w:rFonts w:hint="default" w:ascii="Times New Roman" w:hAnsi="Times New Roman" w:eastAsia="宋体" w:cs="Times New Roman"/>
                <w:color w:val="000000"/>
                <w:sz w:val="24"/>
                <w:szCs w:val="24"/>
                <w:lang w:eastAsia="zh-CN"/>
              </w:rPr>
              <w:t>进行处理，处理后废气的</w:t>
            </w:r>
            <w:r>
              <w:rPr>
                <w:rFonts w:hint="default" w:ascii="Times New Roman" w:hAnsi="Times New Roman" w:eastAsia="宋体" w:cs="Times New Roman"/>
                <w:color w:val="000000"/>
                <w:sz w:val="24"/>
                <w:szCs w:val="24"/>
              </w:rPr>
              <w:t>排放量为</w:t>
            </w:r>
            <w:r>
              <w:rPr>
                <w:rFonts w:hint="default" w:ascii="Times New Roman" w:hAnsi="Times New Roman" w:eastAsia="宋体" w:cs="Times New Roman"/>
                <w:color w:val="000000"/>
                <w:sz w:val="24"/>
                <w:szCs w:val="24"/>
                <w:lang w:val="en-US" w:eastAsia="zh-CN"/>
              </w:rPr>
              <w:t>0.4</w:t>
            </w:r>
            <w:r>
              <w:rPr>
                <w:rFonts w:hint="default" w:ascii="Times New Roman" w:hAnsi="Times New Roman" w:eastAsia="宋体" w:cs="Times New Roman"/>
                <w:color w:val="000000"/>
                <w:sz w:val="24"/>
                <w:szCs w:val="24"/>
              </w:rPr>
              <w:t>t/a</w:t>
            </w:r>
            <w:r>
              <w:rPr>
                <w:rFonts w:hint="default" w:ascii="Times New Roman" w:hAnsi="Times New Roman" w:eastAsia="宋体" w:cs="Times New Roman"/>
                <w:color w:val="000000"/>
                <w:sz w:val="24"/>
                <w:szCs w:val="24"/>
                <w:lang w:eastAsia="zh-CN"/>
              </w:rPr>
              <w:t>，排放速率为</w:t>
            </w:r>
            <w:r>
              <w:rPr>
                <w:rFonts w:hint="default" w:ascii="Times New Roman" w:hAnsi="Times New Roman" w:eastAsia="宋体" w:cs="Times New Roman"/>
                <w:color w:val="000000"/>
                <w:sz w:val="24"/>
                <w:szCs w:val="24"/>
                <w:lang w:val="en-US" w:eastAsia="zh-CN"/>
              </w:rPr>
              <w:t>0.13kg/h，排放浓度为3.8</w:t>
            </w:r>
            <w:r>
              <w:rPr>
                <w:rFonts w:hint="default" w:ascii="Times New Roman" w:hAnsi="Times New Roman" w:eastAsia="宋体" w:cs="Times New Roman"/>
                <w:color w:val="000000"/>
                <w:sz w:val="24"/>
                <w:szCs w:val="24"/>
                <w:vertAlign w:val="baseline"/>
                <w:lang w:val="en-US" w:eastAsia="zh-CN"/>
              </w:rPr>
              <w:t>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vertAlign w:val="baseline"/>
                <w:lang w:val="en-US" w:eastAsia="zh-CN"/>
              </w:rPr>
              <w:t>，符合</w:t>
            </w:r>
            <w:r>
              <w:rPr>
                <w:rFonts w:hint="default" w:ascii="Times New Roman" w:hAnsi="Times New Roman" w:eastAsia="宋体" w:cs="Times New Roman"/>
                <w:color w:val="000000"/>
                <w:sz w:val="24"/>
                <w:szCs w:val="24"/>
              </w:rPr>
              <w:t>《大气污染物综合排放标准》（GB16297-1996）中表2二级标准</w:t>
            </w:r>
            <w:r>
              <w:rPr>
                <w:rFonts w:hint="default" w:ascii="Times New Roman" w:hAnsi="Times New Roman" w:eastAsia="宋体" w:cs="Times New Roman"/>
                <w:color w:val="000000"/>
                <w:sz w:val="24"/>
                <w:szCs w:val="24"/>
                <w:lang w:eastAsia="zh-CN"/>
              </w:rPr>
              <w:t>颗粒物浓度限值，治理措施可行</w:t>
            </w:r>
            <w:r>
              <w:rPr>
                <w:rFonts w:hint="default" w:ascii="Times New Roman" w:hAnsi="Times New Roman" w:eastAsia="宋体" w:cs="Times New Roman"/>
                <w:color w:val="000000"/>
                <w:sz w:val="24"/>
                <w:szCs w:val="24"/>
              </w:rPr>
              <w:t>。</w:t>
            </w:r>
          </w:p>
          <w:p>
            <w:pPr>
              <w:pStyle w:val="54"/>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⑤成品输送及储存粉尘</w:t>
            </w:r>
          </w:p>
          <w:p>
            <w:pPr>
              <w:pStyle w:val="54"/>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highlight w:val="none"/>
                <w:lang w:eastAsia="zh-CN"/>
              </w:rPr>
              <w:t>项目共设置2个成品仓，</w:t>
            </w:r>
            <w:r>
              <w:rPr>
                <w:rFonts w:hint="default" w:ascii="Times New Roman" w:hAnsi="Times New Roman" w:eastAsia="宋体" w:cs="Times New Roman"/>
                <w:color w:val="000000"/>
                <w:sz w:val="24"/>
                <w:szCs w:val="24"/>
                <w:lang w:eastAsia="zh-CN"/>
              </w:rPr>
              <w:t>成品生物源石灰土壤调理剂经封闭式空气输送斜槽及提升机进入成品仓，输送落料过程中产生的含尘气体分别引入料仓顶部袋式除尘器处理后通过</w:t>
            </w:r>
            <w:r>
              <w:rPr>
                <w:rFonts w:hint="default" w:ascii="Times New Roman" w:hAnsi="Times New Roman" w:eastAsia="宋体" w:cs="Times New Roman"/>
                <w:color w:val="000000"/>
                <w:sz w:val="24"/>
                <w:szCs w:val="24"/>
                <w:lang w:val="en-US" w:eastAsia="zh-CN"/>
              </w:rPr>
              <w:t>15m排气筒</w:t>
            </w:r>
            <w:r>
              <w:rPr>
                <w:rFonts w:hint="default" w:ascii="Times New Roman" w:hAnsi="Times New Roman" w:eastAsia="宋体" w:cs="Times New Roman"/>
                <w:color w:val="000000"/>
                <w:sz w:val="24"/>
                <w:szCs w:val="24"/>
                <w:lang w:eastAsia="zh-CN"/>
              </w:rPr>
              <w:t>排放，</w:t>
            </w:r>
            <w:r>
              <w:rPr>
                <w:rFonts w:hint="default" w:ascii="Times New Roman" w:hAnsi="Times New Roman" w:eastAsia="宋体" w:cs="Times New Roman"/>
                <w:color w:val="000000"/>
                <w:sz w:val="24"/>
                <w:szCs w:val="24"/>
                <w:highlight w:val="none"/>
                <w:lang w:eastAsia="zh-CN"/>
              </w:rPr>
              <w:t>粉尘排放量为</w:t>
            </w:r>
            <w:r>
              <w:rPr>
                <w:rFonts w:hint="default" w:ascii="Times New Roman" w:hAnsi="Times New Roman" w:eastAsia="宋体" w:cs="Times New Roman"/>
                <w:color w:val="000000"/>
                <w:sz w:val="24"/>
                <w:szCs w:val="24"/>
                <w:highlight w:val="none"/>
                <w:lang w:val="en-US" w:eastAsia="zh-CN"/>
              </w:rPr>
              <w:t>0.2</w:t>
            </w:r>
            <w:r>
              <w:rPr>
                <w:rFonts w:hint="default" w:ascii="Times New Roman" w:hAnsi="Times New Roman" w:eastAsia="宋体" w:cs="Times New Roman"/>
                <w:color w:val="000000"/>
                <w:sz w:val="24"/>
                <w:szCs w:val="24"/>
                <w:highlight w:val="none"/>
                <w:lang w:eastAsia="zh-CN"/>
              </w:rPr>
              <w:t>t/a，排放速率为</w:t>
            </w:r>
            <w:r>
              <w:rPr>
                <w:rFonts w:hint="default" w:ascii="Times New Roman" w:hAnsi="Times New Roman" w:eastAsia="宋体" w:cs="Times New Roman"/>
                <w:color w:val="000000"/>
                <w:sz w:val="24"/>
                <w:szCs w:val="24"/>
                <w:highlight w:val="none"/>
                <w:lang w:val="en-US" w:eastAsia="zh-CN"/>
              </w:rPr>
              <w:t>0.033</w:t>
            </w:r>
            <w:r>
              <w:rPr>
                <w:rFonts w:hint="default" w:ascii="Times New Roman" w:hAnsi="Times New Roman" w:eastAsia="宋体" w:cs="Times New Roman"/>
                <w:color w:val="000000"/>
                <w:sz w:val="24"/>
                <w:szCs w:val="24"/>
                <w:lang w:val="en-US" w:eastAsia="zh-CN"/>
              </w:rPr>
              <w:t>kg/h，排放浓度为16.5</w:t>
            </w:r>
            <w:r>
              <w:rPr>
                <w:rFonts w:hint="default" w:ascii="Times New Roman" w:hAnsi="Times New Roman" w:eastAsia="宋体" w:cs="Times New Roman"/>
                <w:color w:val="000000"/>
                <w:sz w:val="24"/>
                <w:szCs w:val="24"/>
                <w:vertAlign w:val="baseline"/>
                <w:lang w:val="en-US" w:eastAsia="zh-CN"/>
              </w:rPr>
              <w:t>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vertAlign w:val="baseline"/>
                <w:lang w:val="en-US" w:eastAsia="zh-CN"/>
              </w:rPr>
              <w:t>，符合</w:t>
            </w:r>
            <w:r>
              <w:rPr>
                <w:rFonts w:hint="default" w:ascii="Times New Roman" w:hAnsi="Times New Roman" w:eastAsia="宋体" w:cs="Times New Roman"/>
                <w:color w:val="000000"/>
                <w:sz w:val="24"/>
                <w:szCs w:val="24"/>
              </w:rPr>
              <w:t>《大气污染物综合排放标准》（GB16297-1996）中表2二级标准</w:t>
            </w:r>
            <w:r>
              <w:rPr>
                <w:rFonts w:hint="default" w:ascii="Times New Roman" w:hAnsi="Times New Roman" w:eastAsia="宋体" w:cs="Times New Roman"/>
                <w:color w:val="000000"/>
                <w:sz w:val="24"/>
                <w:szCs w:val="24"/>
                <w:lang w:eastAsia="zh-CN"/>
              </w:rPr>
              <w:t>颗粒物浓度限值，治理措施可行</w:t>
            </w:r>
            <w:r>
              <w:rPr>
                <w:rFonts w:hint="default" w:ascii="Times New Roman" w:hAnsi="Times New Roman" w:eastAsia="宋体" w:cs="Times New Roman"/>
                <w:color w:val="000000"/>
                <w:sz w:val="24"/>
                <w:szCs w:val="24"/>
              </w:rPr>
              <w:t>。</w:t>
            </w:r>
          </w:p>
          <w:p>
            <w:pPr>
              <w:pStyle w:val="54"/>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⑥造粒、烘干、冷却及筛分</w:t>
            </w:r>
          </w:p>
          <w:p>
            <w:pPr>
              <w:pStyle w:val="54"/>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项目造粒、烘干、冷却及筛分工序均会产生含尘废气，生产过程中各产尘点配置相应的袋式除尘器对各环节粉尘进行处理后以无组织形式排放，粉尘的排放量为</w:t>
            </w:r>
            <w:r>
              <w:rPr>
                <w:rFonts w:hint="default" w:ascii="Times New Roman" w:hAnsi="Times New Roman" w:eastAsia="宋体" w:cs="Times New Roman"/>
                <w:color w:val="000000"/>
                <w:sz w:val="24"/>
                <w:szCs w:val="24"/>
                <w:lang w:val="en-US" w:eastAsia="zh-CN"/>
              </w:rPr>
              <w:t>0.02</w:t>
            </w:r>
            <w:r>
              <w:rPr>
                <w:rFonts w:hint="default" w:ascii="Times New Roman" w:hAnsi="Times New Roman" w:eastAsia="宋体" w:cs="Times New Roman"/>
                <w:color w:val="000000"/>
                <w:sz w:val="24"/>
                <w:szCs w:val="24"/>
                <w:lang w:eastAsia="zh-CN"/>
              </w:rPr>
              <w:t>t/a，产生速率约为</w:t>
            </w:r>
            <w:r>
              <w:rPr>
                <w:rFonts w:hint="default" w:ascii="Times New Roman" w:hAnsi="Times New Roman" w:eastAsia="宋体" w:cs="Times New Roman"/>
                <w:color w:val="000000"/>
                <w:sz w:val="24"/>
                <w:szCs w:val="24"/>
                <w:lang w:val="en-US" w:eastAsia="zh-CN"/>
              </w:rPr>
              <w:t>0.0067</w:t>
            </w:r>
            <w:r>
              <w:rPr>
                <w:rFonts w:hint="default" w:ascii="Times New Roman" w:hAnsi="Times New Roman" w:eastAsia="宋体" w:cs="Times New Roman"/>
                <w:color w:val="000000"/>
                <w:sz w:val="24"/>
                <w:szCs w:val="24"/>
                <w:lang w:eastAsia="zh-CN"/>
              </w:rPr>
              <w:t>kg/h，</w:t>
            </w:r>
            <w:r>
              <w:rPr>
                <w:rFonts w:hint="default" w:ascii="Times New Roman" w:hAnsi="Times New Roman" w:eastAsia="宋体" w:cs="Times New Roman"/>
                <w:color w:val="000000"/>
                <w:sz w:val="24"/>
                <w:szCs w:val="24"/>
                <w:vertAlign w:val="baseline"/>
                <w:lang w:val="en-US" w:eastAsia="zh-CN"/>
              </w:rPr>
              <w:t>符合</w:t>
            </w:r>
            <w:r>
              <w:rPr>
                <w:rFonts w:hint="default" w:ascii="Times New Roman" w:hAnsi="Times New Roman" w:eastAsia="宋体" w:cs="Times New Roman"/>
                <w:color w:val="000000"/>
                <w:sz w:val="24"/>
                <w:szCs w:val="24"/>
              </w:rPr>
              <w:t>《大气污染物综合排放标准》（GB16297-1996）中表2二级标准</w:t>
            </w:r>
            <w:r>
              <w:rPr>
                <w:rFonts w:hint="default" w:ascii="Times New Roman" w:hAnsi="Times New Roman" w:eastAsia="宋体" w:cs="Times New Roman"/>
                <w:color w:val="000000"/>
                <w:sz w:val="24"/>
                <w:szCs w:val="24"/>
                <w:lang w:eastAsia="zh-CN"/>
              </w:rPr>
              <w:t>颗粒物浓度限值，治理措施可行</w:t>
            </w:r>
            <w:r>
              <w:rPr>
                <w:rFonts w:hint="default" w:ascii="Times New Roman" w:hAnsi="Times New Roman" w:eastAsia="宋体" w:cs="Times New Roman"/>
                <w:color w:val="000000"/>
                <w:sz w:val="24"/>
                <w:szCs w:val="24"/>
              </w:rPr>
              <w:t>。</w:t>
            </w:r>
          </w:p>
          <w:p>
            <w:pPr>
              <w:pStyle w:val="5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⑦包装废气</w:t>
            </w:r>
          </w:p>
          <w:p>
            <w:pPr>
              <w:pStyle w:val="54"/>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项目成品从成品仓内经封闭式螺旋传输管道进入包装袋内，出料口进入包装袋内，各包装机均设置单机袋式除尘，含尘废气由集气罩收集后经袋式除尘器处理以无组织形式排放，处理后粉尘的排放量为</w:t>
            </w:r>
            <w:r>
              <w:rPr>
                <w:rFonts w:hint="default" w:ascii="Times New Roman" w:hAnsi="Times New Roman" w:eastAsia="宋体" w:cs="Times New Roman"/>
                <w:color w:val="000000"/>
                <w:sz w:val="24"/>
                <w:szCs w:val="24"/>
                <w:lang w:val="en-US" w:eastAsia="zh-CN"/>
              </w:rPr>
              <w:t>0.1</w:t>
            </w:r>
            <w:r>
              <w:rPr>
                <w:rFonts w:hint="default" w:ascii="Times New Roman" w:hAnsi="Times New Roman" w:eastAsia="宋体" w:cs="Times New Roman"/>
                <w:color w:val="000000"/>
                <w:sz w:val="24"/>
                <w:szCs w:val="24"/>
                <w:vertAlign w:val="baseline"/>
                <w:lang w:val="en-US" w:eastAsia="zh-CN"/>
              </w:rPr>
              <w:t>t/a</w:t>
            </w:r>
            <w:r>
              <w:rPr>
                <w:rFonts w:hint="default" w:ascii="Times New Roman" w:hAnsi="Times New Roman" w:eastAsia="宋体" w:cs="Times New Roman"/>
                <w:color w:val="000000"/>
                <w:sz w:val="24"/>
                <w:szCs w:val="24"/>
                <w:lang w:eastAsia="zh-CN"/>
              </w:rPr>
              <w:t>，排放速率为</w:t>
            </w:r>
            <w:r>
              <w:rPr>
                <w:rFonts w:hint="default" w:ascii="Times New Roman" w:hAnsi="Times New Roman" w:eastAsia="宋体" w:cs="Times New Roman"/>
                <w:color w:val="000000"/>
                <w:sz w:val="24"/>
                <w:szCs w:val="24"/>
                <w:lang w:val="en-US" w:eastAsia="zh-CN"/>
              </w:rPr>
              <w:t>0.033</w:t>
            </w:r>
            <w:r>
              <w:rPr>
                <w:rFonts w:hint="default" w:ascii="Times New Roman" w:hAnsi="Times New Roman" w:eastAsia="宋体" w:cs="Times New Roman"/>
                <w:color w:val="000000"/>
                <w:sz w:val="24"/>
                <w:szCs w:val="24"/>
                <w:lang w:eastAsia="zh-CN"/>
              </w:rPr>
              <w:t>kg/h，</w:t>
            </w:r>
            <w:r>
              <w:rPr>
                <w:rFonts w:hint="default" w:ascii="Times New Roman" w:hAnsi="Times New Roman" w:eastAsia="宋体" w:cs="Times New Roman"/>
                <w:color w:val="000000"/>
                <w:sz w:val="24"/>
                <w:szCs w:val="24"/>
                <w:vertAlign w:val="baseline"/>
                <w:lang w:val="en-US" w:eastAsia="zh-CN"/>
              </w:rPr>
              <w:t>符合</w:t>
            </w:r>
            <w:r>
              <w:rPr>
                <w:rFonts w:hint="default" w:ascii="Times New Roman" w:hAnsi="Times New Roman" w:eastAsia="宋体" w:cs="Times New Roman"/>
                <w:color w:val="000000"/>
                <w:sz w:val="24"/>
                <w:szCs w:val="24"/>
              </w:rPr>
              <w:t>《大气污染物综合排放标准》（GB16297-1996）中表2二级标准</w:t>
            </w:r>
            <w:r>
              <w:rPr>
                <w:rFonts w:hint="default" w:ascii="Times New Roman" w:hAnsi="Times New Roman" w:eastAsia="宋体" w:cs="Times New Roman"/>
                <w:color w:val="000000"/>
                <w:sz w:val="24"/>
                <w:szCs w:val="24"/>
                <w:lang w:eastAsia="zh-CN"/>
              </w:rPr>
              <w:t>颗粒物浓度限值，治理措施可行</w:t>
            </w:r>
            <w:r>
              <w:rPr>
                <w:rFonts w:hint="default" w:ascii="Times New Roman" w:hAnsi="Times New Roman" w:eastAsia="宋体" w:cs="Times New Roman"/>
                <w:color w:val="000000"/>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rPr>
              <w:t>（3）声环境</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0"/>
                <w:sz w:val="24"/>
                <w:szCs w:val="24"/>
              </w:rPr>
              <w:t>项目建成后的噪声主要来源于机械设备</w:t>
            </w:r>
            <w:r>
              <w:rPr>
                <w:rFonts w:hint="default" w:ascii="Times New Roman" w:hAnsi="Times New Roman" w:eastAsia="宋体" w:cs="Times New Roman"/>
                <w:color w:val="000000"/>
                <w:sz w:val="24"/>
                <w:szCs w:val="24"/>
              </w:rPr>
              <w:t>运作时的噪声</w:t>
            </w:r>
            <w:r>
              <w:rPr>
                <w:rFonts w:hint="default" w:ascii="Times New Roman" w:hAnsi="Times New Roman" w:eastAsia="宋体" w:cs="Times New Roman"/>
                <w:color w:val="000000"/>
                <w:kern w:val="0"/>
                <w:sz w:val="24"/>
                <w:szCs w:val="24"/>
              </w:rPr>
              <w:t>，其噪声声级可达到</w:t>
            </w:r>
            <w:r>
              <w:rPr>
                <w:rFonts w:hint="default" w:ascii="Times New Roman" w:hAnsi="Times New Roman" w:eastAsia="宋体" w:cs="Times New Roman"/>
                <w:color w:val="000000"/>
                <w:kern w:val="0"/>
                <w:sz w:val="24"/>
                <w:szCs w:val="24"/>
                <w:lang w:val="en-US" w:eastAsia="zh-CN"/>
              </w:rPr>
              <w:t>95</w:t>
            </w:r>
            <w:r>
              <w:rPr>
                <w:rFonts w:hint="default" w:ascii="Times New Roman" w:hAnsi="Times New Roman" w:eastAsia="宋体" w:cs="Times New Roman"/>
                <w:color w:val="000000"/>
                <w:kern w:val="0"/>
                <w:sz w:val="24"/>
                <w:szCs w:val="24"/>
              </w:rPr>
              <w:t>dB(A)。</w:t>
            </w:r>
            <w:r>
              <w:rPr>
                <w:rFonts w:hint="default" w:ascii="Times New Roman" w:hAnsi="Times New Roman" w:eastAsia="宋体" w:cs="Times New Roman"/>
                <w:bCs/>
                <w:color w:val="000000"/>
                <w:spacing w:val="-6"/>
                <w:sz w:val="24"/>
                <w:szCs w:val="24"/>
              </w:rPr>
              <w:t>根据预测分析可知，经采用治理措施、厂界墙体及距离衰减后，项目厂界噪声排放可符合</w:t>
            </w:r>
            <w:r>
              <w:rPr>
                <w:rFonts w:hint="default" w:ascii="Times New Roman" w:hAnsi="Times New Roman" w:eastAsia="宋体" w:cs="Times New Roman"/>
                <w:color w:val="000000"/>
                <w:sz w:val="24"/>
                <w:szCs w:val="24"/>
              </w:rPr>
              <w:t>GB12348-2008《工业企业厂界环境噪声排放标准》</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rPr>
              <w:t>类标准，夜间不生产。厂界噪声达标排放对周边环境影响不大。</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58" w:firstLineChars="200"/>
              <w:jc w:val="both"/>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pacing w:val="-6"/>
                <w:sz w:val="24"/>
                <w:szCs w:val="24"/>
              </w:rPr>
              <w:t>（4）</w:t>
            </w:r>
            <w:r>
              <w:rPr>
                <w:rFonts w:hint="default" w:ascii="Times New Roman" w:hAnsi="Times New Roman" w:eastAsia="宋体" w:cs="Times New Roman"/>
                <w:b/>
                <w:bCs w:val="0"/>
                <w:color w:val="000000"/>
                <w:sz w:val="24"/>
                <w:szCs w:val="24"/>
              </w:rPr>
              <w:t>固体废物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shd w:val="clear" w:color="auto" w:fill="auto"/>
                <w:lang w:eastAsia="zh-CN"/>
              </w:rPr>
            </w:pPr>
            <w:r>
              <w:rPr>
                <w:rFonts w:hint="default" w:ascii="Times New Roman" w:hAnsi="Times New Roman" w:eastAsia="宋体" w:cs="Times New Roman"/>
                <w:color w:val="000000"/>
                <w:sz w:val="24"/>
                <w:szCs w:val="24"/>
                <w:lang w:eastAsia="zh-CN"/>
              </w:rPr>
              <w:t>项目</w:t>
            </w:r>
            <w:r>
              <w:rPr>
                <w:rFonts w:hint="default" w:ascii="Times New Roman" w:hAnsi="Times New Roman" w:eastAsia="宋体" w:cs="Times New Roman"/>
                <w:color w:val="000000"/>
                <w:sz w:val="24"/>
                <w:szCs w:val="24"/>
              </w:rPr>
              <w:t>除尘器收集的粉尘集中收集后回用于生产；分选杂质</w:t>
            </w:r>
            <w:r>
              <w:rPr>
                <w:rFonts w:hint="default" w:ascii="Times New Roman" w:hAnsi="Times New Roman" w:eastAsia="宋体" w:cs="Times New Roman"/>
                <w:color w:val="000000"/>
                <w:sz w:val="24"/>
                <w:szCs w:val="24"/>
                <w:lang w:eastAsia="zh-CN"/>
              </w:rPr>
              <w:t>、除铁铁渣</w:t>
            </w:r>
            <w:r>
              <w:rPr>
                <w:rFonts w:hint="default" w:ascii="Times New Roman" w:hAnsi="Times New Roman" w:eastAsia="宋体" w:cs="Times New Roman"/>
                <w:color w:val="000000"/>
                <w:sz w:val="24"/>
                <w:szCs w:val="24"/>
              </w:rPr>
              <w:t>集中收集后由环卫部门及时</w:t>
            </w:r>
            <w:r>
              <w:rPr>
                <w:rFonts w:hint="default" w:ascii="Times New Roman" w:hAnsi="Times New Roman" w:eastAsia="宋体" w:cs="Times New Roman"/>
                <w:color w:val="000000"/>
                <w:sz w:val="24"/>
                <w:szCs w:val="24"/>
                <w:shd w:val="clear" w:color="auto" w:fill="auto"/>
              </w:rPr>
              <w:t>清运处理；烘干炉炉渣产生量为集中收集后</w:t>
            </w:r>
            <w:r>
              <w:rPr>
                <w:rFonts w:hint="default" w:ascii="Times New Roman" w:hAnsi="Times New Roman" w:eastAsia="宋体" w:cs="Times New Roman"/>
                <w:color w:val="000000"/>
                <w:sz w:val="24"/>
                <w:szCs w:val="24"/>
                <w:shd w:val="clear" w:color="auto" w:fill="auto"/>
                <w:lang w:eastAsia="zh-CN"/>
              </w:rPr>
              <w:t>由周边农户回收利用；脱硫废气处理残余泥渣集中收集后由建材厂回收利用，不外排；</w:t>
            </w:r>
            <w:r>
              <w:rPr>
                <w:rFonts w:hint="default" w:ascii="Times New Roman" w:hAnsi="Times New Roman" w:eastAsia="宋体" w:cs="Times New Roman"/>
                <w:color w:val="000000"/>
                <w:sz w:val="24"/>
                <w:szCs w:val="24"/>
                <w:shd w:val="clear" w:color="auto" w:fill="auto"/>
              </w:rPr>
              <w:t>该项目固废均能得到妥善处置，治理措施可行</w:t>
            </w:r>
            <w:r>
              <w:rPr>
                <w:rFonts w:hint="default" w:ascii="Times New Roman" w:hAnsi="Times New Roman" w:eastAsia="宋体" w:cs="Times New Roman"/>
                <w:color w:val="000000"/>
                <w:sz w:val="24"/>
                <w:szCs w:val="24"/>
                <w:shd w:val="clear" w:color="auto" w:fill="auto"/>
                <w:lang w:eastAsia="zh-CN"/>
              </w:rPr>
              <w:t>。</w:t>
            </w:r>
          </w:p>
          <w:p>
            <w:pPr>
              <w:keepNext w:val="0"/>
              <w:keepLines w:val="0"/>
              <w:pageBreakBefore w:val="0"/>
              <w:widowControl w:val="0"/>
              <w:tabs>
                <w:tab w:val="left" w:pos="180"/>
              </w:tabs>
              <w:kinsoku/>
              <w:wordWrap/>
              <w:overflowPunct/>
              <w:topLinePunct w:val="0"/>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sz w:val="24"/>
                <w:szCs w:val="24"/>
                <w:shd w:val="clear" w:color="auto" w:fill="auto"/>
                <w:lang w:val="en-US" w:eastAsia="zh-CN"/>
              </w:rPr>
            </w:pPr>
            <w:r>
              <w:rPr>
                <w:rFonts w:hint="default" w:ascii="Times New Roman" w:hAnsi="Times New Roman" w:eastAsia="宋体" w:cs="Times New Roman"/>
                <w:b/>
                <w:color w:val="000000"/>
                <w:sz w:val="24"/>
                <w:szCs w:val="24"/>
                <w:shd w:val="clear" w:color="auto" w:fill="auto"/>
                <w:lang w:val="en-US" w:eastAsia="zh-CN"/>
              </w:rPr>
              <w:t>4环境影响可行性结论</w:t>
            </w:r>
          </w:p>
          <w:p>
            <w:pPr>
              <w:pStyle w:val="5"/>
              <w:keepNext w:val="0"/>
              <w:keepLines w:val="0"/>
              <w:pageBreakBefore w:val="0"/>
              <w:widowControl w:val="0"/>
              <w:numPr>
                <w:ilvl w:val="0"/>
                <w:numId w:val="0"/>
              </w:numPr>
              <w:tabs>
                <w:tab w:val="left" w:pos="360"/>
              </w:tabs>
              <w:kinsoku/>
              <w:wordWrap/>
              <w:overflowPunct/>
              <w:topLinePunct w:val="0"/>
              <w:bidi w:val="0"/>
              <w:adjustRightInd w:val="0"/>
              <w:snapToGrid w:val="0"/>
              <w:spacing w:before="0" w:after="0" w:line="360" w:lineRule="auto"/>
              <w:ind w:firstLine="482" w:firstLineChars="200"/>
              <w:jc w:val="both"/>
              <w:textAlignment w:val="auto"/>
              <w:rPr>
                <w:rFonts w:hint="default" w:ascii="Times New Roman" w:hAnsi="Times New Roman" w:eastAsia="宋体" w:cs="Times New Roman"/>
                <w:b/>
                <w:bCs/>
                <w:color w:val="000000"/>
                <w:sz w:val="24"/>
                <w:szCs w:val="24"/>
                <w:shd w:val="clear" w:color="auto" w:fill="auto"/>
                <w:lang w:val="en-US" w:eastAsia="zh-CN"/>
              </w:rPr>
            </w:pPr>
            <w:r>
              <w:rPr>
                <w:rFonts w:hint="default" w:ascii="Times New Roman" w:hAnsi="Times New Roman" w:eastAsia="宋体" w:cs="Times New Roman"/>
                <w:b/>
                <w:bCs/>
                <w:color w:val="000000"/>
                <w:sz w:val="24"/>
                <w:szCs w:val="24"/>
                <w:shd w:val="clear" w:color="auto" w:fill="auto"/>
                <w:lang w:val="en-US" w:eastAsia="zh-CN"/>
              </w:rPr>
              <w:t>4.1产业政策分析结论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shd w:val="clear" w:color="auto" w:fill="auto"/>
              </w:rPr>
            </w:pPr>
            <w:r>
              <w:rPr>
                <w:rFonts w:hint="default" w:ascii="Times New Roman" w:hAnsi="Times New Roman" w:eastAsia="宋体" w:cs="Times New Roman"/>
                <w:color w:val="000000"/>
                <w:sz w:val="24"/>
                <w:szCs w:val="24"/>
                <w:highlight w:val="none"/>
                <w:shd w:val="clear" w:color="auto" w:fill="auto"/>
              </w:rPr>
              <w:t>经检索20</w:t>
            </w:r>
            <w:r>
              <w:rPr>
                <w:rFonts w:hint="default" w:ascii="Times New Roman" w:hAnsi="Times New Roman" w:eastAsia="宋体" w:cs="Times New Roman"/>
                <w:color w:val="000000"/>
                <w:sz w:val="24"/>
                <w:szCs w:val="24"/>
                <w:highlight w:val="none"/>
                <w:shd w:val="clear" w:color="auto" w:fill="auto"/>
                <w:lang w:val="en-US" w:eastAsia="zh-CN"/>
              </w:rPr>
              <w:t>19</w:t>
            </w:r>
            <w:r>
              <w:rPr>
                <w:rFonts w:hint="default" w:ascii="Times New Roman" w:hAnsi="Times New Roman" w:eastAsia="宋体" w:cs="Times New Roman"/>
                <w:color w:val="000000"/>
                <w:sz w:val="24"/>
                <w:szCs w:val="24"/>
                <w:highlight w:val="none"/>
                <w:shd w:val="clear" w:color="auto" w:fill="auto"/>
              </w:rPr>
              <w:t>年</w:t>
            </w:r>
            <w:r>
              <w:rPr>
                <w:rFonts w:hint="default" w:ascii="Times New Roman" w:hAnsi="Times New Roman" w:eastAsia="宋体" w:cs="Times New Roman"/>
                <w:color w:val="000000"/>
                <w:sz w:val="24"/>
                <w:szCs w:val="24"/>
                <w:highlight w:val="none"/>
                <w:shd w:val="clear" w:color="auto" w:fill="auto"/>
                <w:lang w:val="en-US" w:eastAsia="zh-CN"/>
              </w:rPr>
              <w:t>10</w:t>
            </w:r>
            <w:r>
              <w:rPr>
                <w:rFonts w:hint="default" w:ascii="Times New Roman" w:hAnsi="Times New Roman" w:eastAsia="宋体" w:cs="Times New Roman"/>
                <w:color w:val="000000"/>
                <w:sz w:val="24"/>
                <w:szCs w:val="24"/>
                <w:highlight w:val="none"/>
                <w:shd w:val="clear" w:color="auto" w:fill="auto"/>
              </w:rPr>
              <w:t>月</w:t>
            </w:r>
            <w:r>
              <w:rPr>
                <w:rFonts w:hint="default" w:ascii="Times New Roman" w:hAnsi="Times New Roman" w:eastAsia="宋体" w:cs="Times New Roman"/>
                <w:color w:val="000000"/>
                <w:sz w:val="24"/>
                <w:szCs w:val="24"/>
                <w:highlight w:val="none"/>
                <w:shd w:val="clear" w:color="auto" w:fill="auto"/>
                <w:lang w:val="en-US" w:eastAsia="zh-CN"/>
              </w:rPr>
              <w:t>30</w:t>
            </w:r>
            <w:r>
              <w:rPr>
                <w:rFonts w:hint="default" w:ascii="Times New Roman" w:hAnsi="Times New Roman" w:eastAsia="宋体" w:cs="Times New Roman"/>
                <w:color w:val="000000"/>
                <w:sz w:val="24"/>
                <w:szCs w:val="24"/>
                <w:highlight w:val="none"/>
                <w:shd w:val="clear" w:color="auto" w:fill="auto"/>
              </w:rPr>
              <w:t>日国家发展改革委第</w:t>
            </w:r>
            <w:r>
              <w:rPr>
                <w:rFonts w:hint="default" w:ascii="Times New Roman" w:hAnsi="Times New Roman" w:eastAsia="宋体" w:cs="Times New Roman"/>
                <w:color w:val="000000"/>
                <w:sz w:val="24"/>
                <w:szCs w:val="24"/>
                <w:highlight w:val="none"/>
                <w:shd w:val="clear" w:color="auto" w:fill="auto"/>
                <w:lang w:val="en-US" w:eastAsia="zh-CN"/>
              </w:rPr>
              <w:t>29</w:t>
            </w:r>
            <w:r>
              <w:rPr>
                <w:rFonts w:hint="default" w:ascii="Times New Roman" w:hAnsi="Times New Roman" w:eastAsia="宋体" w:cs="Times New Roman"/>
                <w:color w:val="000000"/>
                <w:sz w:val="24"/>
                <w:szCs w:val="24"/>
                <w:highlight w:val="none"/>
                <w:shd w:val="clear" w:color="auto" w:fill="auto"/>
              </w:rPr>
              <w:t>号令公布的《产业结构调整指导目录（201</w:t>
            </w:r>
            <w:r>
              <w:rPr>
                <w:rFonts w:hint="default" w:ascii="Times New Roman" w:hAnsi="Times New Roman" w:eastAsia="宋体" w:cs="Times New Roman"/>
                <w:color w:val="000000"/>
                <w:sz w:val="24"/>
                <w:szCs w:val="24"/>
                <w:highlight w:val="none"/>
                <w:shd w:val="clear" w:color="auto" w:fill="auto"/>
                <w:lang w:val="en-US" w:eastAsia="zh-CN"/>
              </w:rPr>
              <w:t>9</w:t>
            </w:r>
            <w:r>
              <w:rPr>
                <w:rFonts w:hint="default" w:ascii="Times New Roman" w:hAnsi="Times New Roman" w:eastAsia="宋体" w:cs="Times New Roman"/>
                <w:color w:val="000000"/>
                <w:sz w:val="24"/>
                <w:szCs w:val="24"/>
                <w:highlight w:val="none"/>
                <w:shd w:val="clear" w:color="auto" w:fill="auto"/>
              </w:rPr>
              <w:t>年本）》，本项目产品、生产工艺及设备均不属于产业政策中的限制和禁止类。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shd w:val="clear" w:color="auto" w:fill="auto"/>
                <w:lang w:val="en-US" w:eastAsia="zh-CN"/>
              </w:rPr>
            </w:pPr>
            <w:r>
              <w:rPr>
                <w:rFonts w:hint="default" w:ascii="Times New Roman" w:hAnsi="Times New Roman" w:eastAsia="宋体" w:cs="Times New Roman"/>
                <w:color w:val="000000"/>
                <w:sz w:val="24"/>
                <w:szCs w:val="24"/>
                <w:highlight w:val="none"/>
                <w:shd w:val="clear" w:color="auto" w:fill="auto"/>
                <w:lang w:eastAsia="zh-CN"/>
              </w:rPr>
              <w:t>另外，</w:t>
            </w:r>
            <w:r>
              <w:rPr>
                <w:rFonts w:hint="default" w:ascii="Times New Roman" w:hAnsi="Times New Roman" w:eastAsia="宋体" w:cs="Times New Roman"/>
                <w:color w:val="000000"/>
                <w:sz w:val="24"/>
                <w:szCs w:val="24"/>
                <w:shd w:val="clear" w:color="auto" w:fill="auto"/>
                <w:lang w:val="en-US" w:eastAsia="zh-CN"/>
              </w:rPr>
              <w:t>惠安县发展和改革局</w:t>
            </w:r>
            <w:r>
              <w:rPr>
                <w:rFonts w:hint="default" w:ascii="Times New Roman" w:hAnsi="Times New Roman" w:eastAsia="宋体" w:cs="Times New Roman"/>
                <w:color w:val="000000"/>
                <w:sz w:val="24"/>
                <w:szCs w:val="24"/>
                <w:highlight w:val="none"/>
                <w:shd w:val="clear" w:color="auto" w:fill="auto"/>
                <w:lang w:eastAsia="zh-CN"/>
              </w:rPr>
              <w:t>以</w:t>
            </w:r>
            <w:r>
              <w:rPr>
                <w:rFonts w:hint="default" w:ascii="Times New Roman" w:hAnsi="Times New Roman" w:eastAsia="宋体" w:cs="Times New Roman"/>
                <w:color w:val="000000"/>
                <w:sz w:val="24"/>
                <w:szCs w:val="24"/>
                <w:shd w:val="clear" w:color="auto" w:fill="auto"/>
              </w:rPr>
              <w:t xml:space="preserve">闽发改备[2018] </w:t>
            </w:r>
            <w:r>
              <w:rPr>
                <w:rFonts w:hint="default" w:ascii="Times New Roman" w:hAnsi="Times New Roman" w:eastAsia="宋体" w:cs="Times New Roman"/>
                <w:color w:val="000000"/>
                <w:sz w:val="24"/>
                <w:szCs w:val="24"/>
                <w:shd w:val="clear" w:color="auto" w:fill="auto"/>
                <w:lang w:val="en-US" w:eastAsia="zh-CN"/>
              </w:rPr>
              <w:t>C080399</w:t>
            </w:r>
            <w:r>
              <w:rPr>
                <w:rFonts w:hint="default" w:ascii="Times New Roman" w:hAnsi="Times New Roman" w:eastAsia="宋体" w:cs="Times New Roman"/>
                <w:color w:val="000000"/>
                <w:sz w:val="24"/>
                <w:szCs w:val="24"/>
                <w:shd w:val="clear" w:color="auto" w:fill="auto"/>
              </w:rPr>
              <w:t>号</w:t>
            </w:r>
            <w:r>
              <w:rPr>
                <w:rFonts w:hint="default" w:ascii="Times New Roman" w:hAnsi="Times New Roman" w:eastAsia="宋体" w:cs="Times New Roman"/>
                <w:color w:val="000000"/>
                <w:sz w:val="24"/>
                <w:szCs w:val="24"/>
                <w:highlight w:val="none"/>
                <w:shd w:val="clear" w:color="auto" w:fill="auto"/>
                <w:lang w:val="en-US" w:eastAsia="zh-CN"/>
              </w:rPr>
              <w:t>同意项目建设。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shd w:val="clear" w:color="auto" w:fill="auto"/>
              </w:rPr>
            </w:pPr>
            <w:r>
              <w:rPr>
                <w:rFonts w:hint="default" w:ascii="Times New Roman" w:hAnsi="Times New Roman" w:eastAsia="宋体" w:cs="Times New Roman"/>
                <w:color w:val="000000"/>
                <w:sz w:val="24"/>
                <w:szCs w:val="24"/>
                <w:highlight w:val="none"/>
                <w:shd w:val="clear" w:color="auto" w:fill="auto"/>
              </w:rPr>
              <w:t>因此，本项目</w:t>
            </w:r>
            <w:r>
              <w:rPr>
                <w:rFonts w:hint="default" w:ascii="Times New Roman" w:hAnsi="Times New Roman" w:eastAsia="宋体" w:cs="Times New Roman"/>
                <w:color w:val="000000"/>
                <w:sz w:val="24"/>
                <w:szCs w:val="24"/>
                <w:highlight w:val="none"/>
                <w:shd w:val="clear" w:color="auto" w:fill="auto"/>
                <w:lang w:eastAsia="zh-CN"/>
              </w:rPr>
              <w:t>的建设</w:t>
            </w:r>
            <w:r>
              <w:rPr>
                <w:rFonts w:hint="default" w:ascii="Times New Roman" w:hAnsi="Times New Roman" w:eastAsia="宋体" w:cs="Times New Roman"/>
                <w:color w:val="000000"/>
                <w:sz w:val="24"/>
                <w:szCs w:val="24"/>
                <w:highlight w:val="none"/>
                <w:shd w:val="clear" w:color="auto" w:fill="auto"/>
              </w:rPr>
              <w:t>符合国家</w:t>
            </w:r>
            <w:r>
              <w:rPr>
                <w:rFonts w:hint="default" w:ascii="Times New Roman" w:hAnsi="Times New Roman" w:eastAsia="宋体" w:cs="Times New Roman"/>
                <w:color w:val="000000"/>
                <w:sz w:val="24"/>
                <w:szCs w:val="24"/>
                <w:highlight w:val="none"/>
                <w:shd w:val="clear" w:color="auto" w:fill="auto"/>
                <w:lang w:eastAsia="zh-CN"/>
              </w:rPr>
              <w:t>及地方</w:t>
            </w:r>
            <w:r>
              <w:rPr>
                <w:rFonts w:hint="default" w:ascii="Times New Roman" w:hAnsi="Times New Roman" w:eastAsia="宋体" w:cs="Times New Roman"/>
                <w:color w:val="000000"/>
                <w:sz w:val="24"/>
                <w:szCs w:val="24"/>
                <w:highlight w:val="none"/>
                <w:shd w:val="clear" w:color="auto" w:fill="auto"/>
              </w:rPr>
              <w:t>当前产业政策。</w:t>
            </w:r>
          </w:p>
          <w:p>
            <w:pPr>
              <w:pStyle w:val="5"/>
              <w:keepNext w:val="0"/>
              <w:keepLines w:val="0"/>
              <w:pageBreakBefore w:val="0"/>
              <w:widowControl w:val="0"/>
              <w:numPr>
                <w:ilvl w:val="0"/>
                <w:numId w:val="0"/>
              </w:numPr>
              <w:tabs>
                <w:tab w:val="left" w:pos="360"/>
              </w:tabs>
              <w:kinsoku/>
              <w:wordWrap/>
              <w:overflowPunct/>
              <w:topLinePunct w:val="0"/>
              <w:autoSpaceDE/>
              <w:autoSpaceDN/>
              <w:bidi w:val="0"/>
              <w:adjustRightInd w:val="0"/>
              <w:snapToGrid w:val="0"/>
              <w:spacing w:before="0" w:after="0" w:line="360" w:lineRule="auto"/>
              <w:ind w:firstLine="482" w:firstLineChars="200"/>
              <w:jc w:val="both"/>
              <w:textAlignment w:val="auto"/>
              <w:rPr>
                <w:rFonts w:hint="default" w:ascii="Times New Roman" w:hAnsi="Times New Roman" w:eastAsia="宋体" w:cs="Times New Roman"/>
                <w:b/>
                <w:bCs/>
                <w:color w:val="000000"/>
                <w:sz w:val="24"/>
                <w:szCs w:val="24"/>
                <w:shd w:val="clear" w:color="auto" w:fill="auto"/>
                <w:lang w:val="en-US" w:eastAsia="zh-CN"/>
              </w:rPr>
            </w:pPr>
            <w:r>
              <w:rPr>
                <w:rFonts w:hint="default" w:ascii="Times New Roman" w:hAnsi="Times New Roman" w:eastAsia="宋体" w:cs="Times New Roman"/>
                <w:b/>
                <w:bCs/>
                <w:color w:val="000000"/>
                <w:sz w:val="24"/>
                <w:szCs w:val="24"/>
                <w:shd w:val="clear" w:color="auto" w:fill="auto"/>
                <w:lang w:val="en-US" w:eastAsia="zh-CN"/>
              </w:rPr>
              <w:t>4.2选址合理性分析结论</w:t>
            </w:r>
          </w:p>
          <w:p>
            <w:pPr>
              <w:keepNext w:val="0"/>
              <w:keepLines w:val="0"/>
              <w:pageBreakBefore w:val="0"/>
              <w:widowControl w:val="0"/>
              <w:kinsoku/>
              <w:wordWrap/>
              <w:overflowPunct/>
              <w:topLinePunct w:val="0"/>
              <w:autoSpaceDE/>
              <w:autoSpaceDN/>
              <w:bidi w:val="0"/>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000000"/>
                <w:sz w:val="24"/>
                <w:szCs w:val="24"/>
                <w:shd w:val="clear" w:color="auto" w:fill="auto"/>
              </w:rPr>
            </w:pPr>
            <w:r>
              <w:rPr>
                <w:rFonts w:hint="default" w:ascii="Times New Roman" w:hAnsi="Times New Roman" w:eastAsia="宋体" w:cs="Times New Roman"/>
                <w:color w:val="000000"/>
                <w:sz w:val="24"/>
                <w:szCs w:val="24"/>
                <w:highlight w:val="none"/>
                <w:shd w:val="clear" w:color="auto" w:fill="auto"/>
              </w:rPr>
              <w:t>本项目</w:t>
            </w:r>
            <w:r>
              <w:rPr>
                <w:rFonts w:hint="default" w:ascii="Times New Roman" w:hAnsi="Times New Roman" w:eastAsia="宋体" w:cs="Times New Roman"/>
                <w:color w:val="000000"/>
                <w:sz w:val="24"/>
                <w:szCs w:val="24"/>
                <w:highlight w:val="none"/>
                <w:shd w:val="clear" w:color="auto" w:fill="auto"/>
                <w:lang w:eastAsia="zh-CN"/>
              </w:rPr>
              <w:t>位于</w:t>
            </w:r>
            <w:r>
              <w:rPr>
                <w:rFonts w:hint="default" w:ascii="Times New Roman" w:hAnsi="Times New Roman" w:eastAsia="宋体" w:cs="Times New Roman"/>
                <w:color w:val="000000"/>
                <w:sz w:val="24"/>
                <w:szCs w:val="24"/>
                <w:shd w:val="clear" w:color="auto" w:fill="auto"/>
                <w:lang w:eastAsia="zh-CN"/>
              </w:rPr>
              <w:t>福建省泉州市惠安县辋川镇轻工园区</w:t>
            </w:r>
            <w:r>
              <w:rPr>
                <w:rFonts w:hint="default" w:ascii="Times New Roman" w:hAnsi="Times New Roman" w:eastAsia="宋体" w:cs="Times New Roman"/>
                <w:color w:val="000000"/>
                <w:sz w:val="24"/>
                <w:szCs w:val="24"/>
                <w:highlight w:val="none"/>
                <w:shd w:val="clear" w:color="auto" w:fill="auto"/>
              </w:rPr>
              <w:t>，项目用地用地性质为工业用地</w:t>
            </w:r>
            <w:r>
              <w:rPr>
                <w:rFonts w:hint="default" w:ascii="Times New Roman" w:hAnsi="Times New Roman" w:eastAsia="宋体" w:cs="Times New Roman"/>
                <w:color w:val="000000"/>
                <w:sz w:val="24"/>
                <w:szCs w:val="24"/>
                <w:highlight w:val="none"/>
                <w:shd w:val="clear" w:color="auto" w:fill="auto"/>
                <w:lang w:eastAsia="zh-CN"/>
              </w:rPr>
              <w:t>，项目选址</w:t>
            </w:r>
            <w:r>
              <w:rPr>
                <w:rFonts w:hint="default" w:ascii="Times New Roman" w:hAnsi="Times New Roman" w:eastAsia="宋体" w:cs="Times New Roman"/>
                <w:color w:val="000000"/>
                <w:sz w:val="24"/>
                <w:szCs w:val="24"/>
                <w:shd w:val="clear" w:color="auto" w:fill="auto"/>
              </w:rPr>
              <w:t>符合环境功能区划要求</w:t>
            </w:r>
            <w:r>
              <w:rPr>
                <w:rFonts w:hint="default" w:ascii="Times New Roman" w:hAnsi="Times New Roman" w:eastAsia="宋体" w:cs="Times New Roman"/>
                <w:color w:val="000000"/>
                <w:sz w:val="24"/>
                <w:szCs w:val="24"/>
                <w:shd w:val="clear" w:color="auto" w:fill="auto"/>
                <w:lang w:eastAsia="zh-CN"/>
              </w:rPr>
              <w:t>及“三线一单”的管控要求</w:t>
            </w:r>
            <w:r>
              <w:rPr>
                <w:rFonts w:hint="default" w:ascii="Times New Roman" w:hAnsi="Times New Roman" w:eastAsia="宋体" w:cs="Times New Roman"/>
                <w:color w:val="000000"/>
                <w:sz w:val="24"/>
                <w:szCs w:val="24"/>
                <w:shd w:val="clear" w:color="auto" w:fill="auto"/>
              </w:rPr>
              <w:t>；项目建设各污染物经治理达标后排放，不会对周边环境产生不良影响，与周边环境相容，项目选址合理可行。</w:t>
            </w:r>
          </w:p>
          <w:p>
            <w:pPr>
              <w:pStyle w:val="5"/>
              <w:keepNext w:val="0"/>
              <w:keepLines w:val="0"/>
              <w:pageBreakBefore w:val="0"/>
              <w:widowControl w:val="0"/>
              <w:numPr>
                <w:ilvl w:val="0"/>
                <w:numId w:val="0"/>
              </w:numPr>
              <w:tabs>
                <w:tab w:val="left" w:pos="360"/>
              </w:tabs>
              <w:kinsoku/>
              <w:wordWrap/>
              <w:overflowPunct/>
              <w:topLinePunct w:val="0"/>
              <w:autoSpaceDE/>
              <w:autoSpaceDN/>
              <w:bidi w:val="0"/>
              <w:adjustRightInd w:val="0"/>
              <w:snapToGrid w:val="0"/>
              <w:spacing w:before="0" w:after="0" w:line="360" w:lineRule="auto"/>
              <w:ind w:firstLine="482" w:firstLineChars="200"/>
              <w:jc w:val="both"/>
              <w:textAlignment w:val="auto"/>
              <w:rPr>
                <w:rFonts w:hint="default" w:ascii="Times New Roman" w:hAnsi="Times New Roman" w:eastAsia="宋体" w:cs="Times New Roman"/>
                <w:b/>
                <w:bCs/>
                <w:color w:val="000000"/>
                <w:sz w:val="24"/>
                <w:szCs w:val="24"/>
                <w:highlight w:val="none"/>
                <w:shd w:val="clear" w:color="auto" w:fill="auto"/>
                <w:lang w:val="en-US" w:eastAsia="zh-CN"/>
              </w:rPr>
            </w:pPr>
            <w:r>
              <w:rPr>
                <w:rFonts w:hint="default" w:ascii="Times New Roman" w:hAnsi="Times New Roman" w:eastAsia="宋体" w:cs="Times New Roman"/>
                <w:b/>
                <w:bCs/>
                <w:color w:val="000000"/>
                <w:sz w:val="24"/>
                <w:szCs w:val="24"/>
                <w:highlight w:val="none"/>
                <w:shd w:val="clear" w:color="auto" w:fill="auto"/>
                <w:lang w:val="en-US" w:eastAsia="zh-CN"/>
              </w:rPr>
              <w:t>4.3总量控制符合性结论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shd w:val="clear" w:color="auto" w:fill="auto"/>
              </w:rPr>
              <w:t>项目生活污水排放量为</w:t>
            </w:r>
            <w:r>
              <w:rPr>
                <w:rFonts w:hint="default" w:ascii="Times New Roman" w:hAnsi="Times New Roman" w:eastAsia="宋体" w:cs="Times New Roman"/>
                <w:color w:val="000000"/>
                <w:sz w:val="24"/>
                <w:szCs w:val="24"/>
                <w:shd w:val="clear" w:color="auto" w:fill="auto"/>
                <w:lang w:val="en-US" w:eastAsia="zh-CN"/>
              </w:rPr>
              <w:t>720</w:t>
            </w:r>
            <w:r>
              <w:rPr>
                <w:rFonts w:hint="default" w:ascii="Times New Roman" w:hAnsi="Times New Roman" w:eastAsia="宋体" w:cs="Times New Roman"/>
                <w:color w:val="000000"/>
                <w:sz w:val="24"/>
                <w:szCs w:val="24"/>
                <w:shd w:val="clear" w:color="auto" w:fill="auto"/>
              </w:rPr>
              <w:t>t/a，项目COD排放总量为0.0</w:t>
            </w:r>
            <w:r>
              <w:rPr>
                <w:rFonts w:hint="default" w:ascii="Times New Roman" w:hAnsi="Times New Roman" w:eastAsia="宋体" w:cs="Times New Roman"/>
                <w:color w:val="000000"/>
                <w:sz w:val="24"/>
                <w:szCs w:val="24"/>
                <w:shd w:val="clear" w:color="auto" w:fill="auto"/>
                <w:lang w:val="en-US" w:eastAsia="zh-CN"/>
              </w:rPr>
              <w:t>43</w:t>
            </w:r>
            <w:r>
              <w:rPr>
                <w:rFonts w:hint="default" w:ascii="Times New Roman" w:hAnsi="Times New Roman" w:eastAsia="宋体" w:cs="Times New Roman"/>
                <w:color w:val="000000"/>
                <w:sz w:val="24"/>
                <w:szCs w:val="24"/>
                <w:shd w:val="clear" w:color="auto" w:fill="auto"/>
              </w:rPr>
              <w:t>t/a，NH</w:t>
            </w:r>
            <w:r>
              <w:rPr>
                <w:rFonts w:hint="default" w:ascii="Times New Roman" w:hAnsi="Times New Roman" w:eastAsia="宋体" w:cs="Times New Roman"/>
                <w:color w:val="000000"/>
                <w:sz w:val="24"/>
                <w:szCs w:val="24"/>
                <w:shd w:val="clear" w:color="auto" w:fill="auto"/>
                <w:vertAlign w:val="subscript"/>
              </w:rPr>
              <w:t>3</w:t>
            </w:r>
            <w:r>
              <w:rPr>
                <w:rFonts w:hint="default" w:ascii="Times New Roman" w:hAnsi="Times New Roman" w:eastAsia="宋体" w:cs="Times New Roman"/>
                <w:color w:val="000000"/>
                <w:sz w:val="24"/>
                <w:szCs w:val="24"/>
                <w:shd w:val="clear" w:color="auto" w:fill="auto"/>
              </w:rPr>
              <w:t>-N排放总量为0.00</w:t>
            </w:r>
            <w:r>
              <w:rPr>
                <w:rFonts w:hint="default" w:ascii="Times New Roman" w:hAnsi="Times New Roman" w:eastAsia="宋体" w:cs="Times New Roman"/>
                <w:color w:val="000000"/>
                <w:sz w:val="24"/>
                <w:szCs w:val="24"/>
                <w:shd w:val="clear" w:color="auto" w:fill="auto"/>
                <w:lang w:val="en-US" w:eastAsia="zh-CN"/>
              </w:rPr>
              <w:t>58</w:t>
            </w:r>
            <w:r>
              <w:rPr>
                <w:rFonts w:hint="default" w:ascii="Times New Roman" w:hAnsi="Times New Roman" w:eastAsia="宋体" w:cs="Times New Roman"/>
                <w:color w:val="000000"/>
                <w:sz w:val="24"/>
                <w:szCs w:val="24"/>
                <w:shd w:val="clear" w:color="auto" w:fill="auto"/>
              </w:rPr>
              <w:t>t/a。根据《泉州市环保局关</w:t>
            </w:r>
            <w:r>
              <w:rPr>
                <w:rFonts w:hint="default" w:ascii="Times New Roman" w:hAnsi="Times New Roman" w:eastAsia="宋体" w:cs="Times New Roman"/>
                <w:color w:val="000000"/>
                <w:sz w:val="24"/>
                <w:szCs w:val="24"/>
              </w:rPr>
              <w:t>于全面实施排污权有偿使用和交易后做好建设项目总量指标管理工作有关意见的通知》(泉环保总量[2017]1号：项目生活污水纳入惠安县污水处理厂集中处理，不纳入总量指标管理。</w:t>
            </w:r>
            <w:r>
              <w:rPr>
                <w:rFonts w:hint="default" w:ascii="Times New Roman" w:hAnsi="Times New Roman" w:eastAsia="宋体" w:cs="Times New Roman"/>
                <w:color w:val="000000"/>
                <w:sz w:val="24"/>
                <w:szCs w:val="24"/>
                <w:highlight w:val="none"/>
              </w:rPr>
              <w:t>量控制指标为</w:t>
            </w:r>
            <w:r>
              <w:rPr>
                <w:rFonts w:hint="default" w:ascii="Times New Roman" w:hAnsi="Times New Roman" w:eastAsia="宋体" w:cs="Times New Roman"/>
                <w:color w:val="000000"/>
                <w:sz w:val="24"/>
                <w:szCs w:val="24"/>
                <w:highlight w:val="none"/>
                <w:lang w:val="en-US" w:eastAsia="zh-CN"/>
              </w:rPr>
              <w:t>2.2</w:t>
            </w:r>
            <w:r>
              <w:rPr>
                <w:rFonts w:hint="default" w:ascii="Times New Roman" w:hAnsi="Times New Roman" w:eastAsia="宋体" w:cs="Times New Roman"/>
                <w:color w:val="000000"/>
                <w:sz w:val="24"/>
                <w:szCs w:val="24"/>
                <w:highlight w:val="none"/>
              </w:rPr>
              <w:t>t/a，NOx总量控制指标为</w:t>
            </w:r>
            <w:r>
              <w:rPr>
                <w:rFonts w:hint="default" w:ascii="Times New Roman" w:hAnsi="Times New Roman" w:eastAsia="宋体" w:cs="Times New Roman"/>
                <w:color w:val="000000"/>
                <w:sz w:val="24"/>
                <w:szCs w:val="24"/>
                <w:highlight w:val="none"/>
                <w:lang w:val="en-US" w:eastAsia="zh-CN"/>
              </w:rPr>
              <w:t>2.2</w:t>
            </w:r>
            <w:r>
              <w:rPr>
                <w:rFonts w:hint="default" w:ascii="Times New Roman" w:hAnsi="Times New Roman" w:eastAsia="宋体" w:cs="Times New Roman"/>
                <w:color w:val="000000"/>
                <w:sz w:val="24"/>
                <w:szCs w:val="24"/>
                <w:highlight w:val="none"/>
              </w:rPr>
              <w:t>t/a，该总量控制建议指标须报地方环</w:t>
            </w:r>
          </w:p>
          <w:p>
            <w:pPr>
              <w:pStyle w:val="68"/>
              <w:keepNext w:val="0"/>
              <w:keepLines w:val="0"/>
              <w:pageBreakBefore w:val="0"/>
              <w:widowControl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lang w:eastAsia="zh-CN"/>
              </w:rPr>
              <w:t>项目</w:t>
            </w:r>
            <w:r>
              <w:rPr>
                <w:rFonts w:hint="default" w:ascii="Times New Roman" w:hAnsi="Times New Roman" w:eastAsia="宋体" w:cs="Times New Roman"/>
                <w:color w:val="000000"/>
                <w:sz w:val="24"/>
                <w:szCs w:val="24"/>
                <w:highlight w:val="none"/>
              </w:rPr>
              <w:t>外排废气量为</w:t>
            </w:r>
            <w:r>
              <w:rPr>
                <w:rFonts w:hint="default" w:ascii="Times New Roman" w:hAnsi="Times New Roman" w:eastAsia="宋体" w:cs="Times New Roman"/>
                <w:color w:val="000000"/>
                <w:sz w:val="24"/>
                <w:szCs w:val="24"/>
                <w:highlight w:val="none"/>
                <w:lang w:val="en-US" w:eastAsia="zh-CN"/>
              </w:rPr>
              <w:t>748.8万</w:t>
            </w:r>
            <w:r>
              <w:rPr>
                <w:rFonts w:hint="default" w:ascii="Times New Roman" w:hAnsi="Times New Roman" w:eastAsia="宋体" w:cs="Times New Roman"/>
                <w:color w:val="000000"/>
                <w:sz w:val="24"/>
                <w:szCs w:val="24"/>
                <w:highlight w:val="none"/>
              </w:rPr>
              <w:t>m</w:t>
            </w:r>
            <w:r>
              <w:rPr>
                <w:rFonts w:hint="default" w:ascii="Times New Roman" w:hAnsi="Times New Roman" w:eastAsia="宋体" w:cs="Times New Roman"/>
                <w:color w:val="000000"/>
                <w:sz w:val="24"/>
                <w:szCs w:val="24"/>
                <w:highlight w:val="none"/>
                <w:vertAlign w:val="superscript"/>
              </w:rPr>
              <w:t>3</w:t>
            </w:r>
            <w:r>
              <w:rPr>
                <w:rFonts w:hint="default" w:ascii="Times New Roman" w:hAnsi="Times New Roman" w:eastAsia="宋体" w:cs="Times New Roman"/>
                <w:color w:val="000000"/>
                <w:sz w:val="24"/>
                <w:szCs w:val="24"/>
                <w:highlight w:val="none"/>
              </w:rPr>
              <w:t>/a，其中SO</w:t>
            </w:r>
            <w:r>
              <w:rPr>
                <w:rFonts w:hint="default" w:ascii="Times New Roman" w:hAnsi="Times New Roman" w:eastAsia="宋体" w:cs="Times New Roman"/>
                <w:color w:val="000000"/>
                <w:sz w:val="24"/>
                <w:szCs w:val="24"/>
                <w:highlight w:val="none"/>
                <w:vertAlign w:val="subscript"/>
              </w:rPr>
              <w:t>2</w:t>
            </w:r>
            <w:r>
              <w:rPr>
                <w:rFonts w:hint="default" w:ascii="Times New Roman" w:hAnsi="Times New Roman" w:eastAsia="宋体" w:cs="Times New Roman"/>
                <w:color w:val="000000"/>
                <w:sz w:val="24"/>
                <w:szCs w:val="24"/>
                <w:highlight w:val="none"/>
              </w:rPr>
              <w:t>总保主管部门批准认可后，</w:t>
            </w:r>
            <w:r>
              <w:rPr>
                <w:rFonts w:hint="default" w:ascii="Times New Roman" w:hAnsi="Times New Roman" w:eastAsia="宋体" w:cs="Times New Roman"/>
                <w:color w:val="000000"/>
                <w:sz w:val="24"/>
                <w:szCs w:val="24"/>
              </w:rPr>
              <w:t>由建设单位向海峡股权交易中心申请购买</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highlight w:val="none"/>
              </w:rPr>
              <w:t>方可作为本项目污染物排放总量控制指标。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根据《福建省生态环境厅关于印发&lt;进一步优化环评审批服务 助推两大协同发展区高质量发展的意见&gt;的函》(闽环发[2018]26号)：对实行排污权交易的二氧化硫、氮氧化物、化学需氧量、氨氮指标，调整管理方式，不再要求建设单位在环评审批前取得，建设单位在书面承诺投产前取得上述指标并依法申领排污许可证后，即可审批，进一步缩短项目开工建设时间。建设单位承诺在未依法取得废</w:t>
            </w:r>
            <w:r>
              <w:rPr>
                <w:rFonts w:hint="default" w:ascii="Times New Roman" w:hAnsi="Times New Roman" w:eastAsia="宋体" w:cs="Times New Roman"/>
                <w:color w:val="000000"/>
                <w:sz w:val="24"/>
                <w:szCs w:val="24"/>
                <w:lang w:eastAsia="zh-CN"/>
              </w:rPr>
              <w:t>气</w:t>
            </w:r>
            <w:r>
              <w:rPr>
                <w:rFonts w:hint="default" w:ascii="Times New Roman" w:hAnsi="Times New Roman" w:eastAsia="宋体" w:cs="Times New Roman"/>
                <w:color w:val="000000"/>
                <w:sz w:val="24"/>
                <w:szCs w:val="24"/>
              </w:rPr>
              <w:t>排放指标并依法申领排污许可证前不投产。</w:t>
            </w:r>
          </w:p>
          <w:p>
            <w:pPr>
              <w:keepNext w:val="0"/>
              <w:keepLines w:val="0"/>
              <w:pageBreakBefore w:val="0"/>
              <w:widowControl w:val="0"/>
              <w:tabs>
                <w:tab w:val="left" w:pos="180"/>
              </w:tabs>
              <w:kinsoku/>
              <w:wordWrap/>
              <w:overflowPunct/>
              <w:topLinePunct w:val="0"/>
              <w:autoSpaceDE/>
              <w:autoSpaceDN/>
              <w:bidi w:val="0"/>
              <w:snapToGrid w:val="0"/>
              <w:spacing w:line="360" w:lineRule="auto"/>
              <w:ind w:firstLine="482" w:firstLineChars="200"/>
              <w:jc w:val="both"/>
              <w:textAlignment w:val="auto"/>
              <w:outlineLvl w:val="1"/>
              <w:rPr>
                <w:rFonts w:hint="default" w:ascii="Times New Roman" w:hAnsi="Times New Roman" w:eastAsia="宋体" w:cs="Times New Roman"/>
                <w:b/>
                <w:color w:val="000000"/>
                <w:sz w:val="24"/>
                <w:szCs w:val="24"/>
                <w:lang w:val="en-US" w:eastAsia="zh-CN"/>
              </w:rPr>
            </w:pPr>
            <w:r>
              <w:rPr>
                <w:rFonts w:hint="default" w:ascii="Times New Roman" w:hAnsi="Times New Roman" w:eastAsia="宋体" w:cs="Times New Roman"/>
                <w:b/>
                <w:color w:val="000000"/>
                <w:sz w:val="24"/>
                <w:szCs w:val="24"/>
                <w:lang w:val="en-US" w:eastAsia="zh-CN"/>
              </w:rPr>
              <w:t>5总结论</w:t>
            </w:r>
          </w:p>
          <w:p>
            <w:pPr>
              <w:pStyle w:val="12"/>
              <w:keepNext w:val="0"/>
              <w:keepLines w:val="0"/>
              <w:pageBreakBefore w:val="0"/>
              <w:widowControl/>
              <w:kinsoku/>
              <w:wordWrap/>
              <w:overflowPunct/>
              <w:topLinePunct w:val="0"/>
              <w:autoSpaceDE/>
              <w:autoSpaceDN/>
              <w:bidi w:val="0"/>
              <w:adjustRightInd w:val="0"/>
              <w:snapToGrid w:val="0"/>
              <w:spacing w:line="360" w:lineRule="auto"/>
              <w:ind w:left="0" w:right="0" w:firstLine="448"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sz w:val="24"/>
                <w:szCs w:val="24"/>
                <w:lang w:eastAsia="zh-CN"/>
              </w:rPr>
              <w:t>泉州玛塔生态科技有限公司惠安县牡蛎壳固废垃圾综合处理与利用项目</w:t>
            </w:r>
            <w:r>
              <w:rPr>
                <w:rFonts w:hint="default" w:ascii="Times New Roman" w:hAnsi="Times New Roman" w:eastAsia="宋体" w:cs="Times New Roman"/>
                <w:color w:val="000000"/>
                <w:sz w:val="24"/>
                <w:szCs w:val="24"/>
              </w:rPr>
              <w:t>选址于</w:t>
            </w:r>
            <w:r>
              <w:rPr>
                <w:rFonts w:hint="default" w:ascii="Times New Roman" w:hAnsi="Times New Roman" w:eastAsia="宋体" w:cs="Times New Roman"/>
                <w:color w:val="000000"/>
                <w:sz w:val="24"/>
                <w:szCs w:val="24"/>
                <w:lang w:eastAsia="zh-CN"/>
              </w:rPr>
              <w:t>福建省泉州市惠安县辋川镇轻工园区</w:t>
            </w:r>
            <w:r>
              <w:rPr>
                <w:rFonts w:hint="default" w:ascii="Times New Roman" w:hAnsi="Times New Roman" w:eastAsia="宋体" w:cs="Times New Roman"/>
                <w:color w:val="000000"/>
                <w:sz w:val="24"/>
                <w:szCs w:val="24"/>
              </w:rPr>
              <w:t>，总投资</w:t>
            </w:r>
            <w:r>
              <w:rPr>
                <w:rFonts w:hint="default" w:ascii="Times New Roman" w:hAnsi="Times New Roman" w:eastAsia="宋体" w:cs="Times New Roman"/>
                <w:color w:val="000000"/>
                <w:sz w:val="24"/>
                <w:szCs w:val="24"/>
                <w:lang w:val="en-US" w:eastAsia="zh-CN"/>
              </w:rPr>
              <w:t>5000</w:t>
            </w:r>
            <w:r>
              <w:rPr>
                <w:rFonts w:hint="default" w:ascii="Times New Roman" w:hAnsi="Times New Roman" w:eastAsia="宋体" w:cs="Times New Roman"/>
                <w:color w:val="000000"/>
                <w:sz w:val="24"/>
                <w:szCs w:val="24"/>
              </w:rPr>
              <w:t>万元</w:t>
            </w:r>
            <w:r>
              <w:rPr>
                <w:rFonts w:hint="default" w:ascii="Times New Roman" w:hAnsi="Times New Roman" w:eastAsia="宋体" w:cs="Times New Roman"/>
                <w:color w:val="000000"/>
                <w:sz w:val="24"/>
                <w:szCs w:val="24"/>
                <w:lang w:eastAsia="zh-CN"/>
              </w:rPr>
              <w:t>建设</w:t>
            </w:r>
            <w:r>
              <w:rPr>
                <w:rFonts w:hint="default" w:ascii="Times New Roman" w:hAnsi="Times New Roman" w:eastAsia="宋体" w:cs="Times New Roman"/>
                <w:color w:val="000000"/>
                <w:sz w:val="24"/>
                <w:szCs w:val="24"/>
              </w:rPr>
              <w:t>年产</w:t>
            </w:r>
            <w:r>
              <w:rPr>
                <w:rFonts w:hint="default" w:ascii="Times New Roman" w:hAnsi="Times New Roman" w:eastAsia="宋体" w:cs="Times New Roman"/>
                <w:color w:val="000000"/>
                <w:sz w:val="24"/>
                <w:szCs w:val="24"/>
                <w:lang w:eastAsia="zh-CN"/>
              </w:rPr>
              <w:t>牡蛎壳土壤改良剂、重金属污染耕地修复剂</w:t>
            </w:r>
            <w:r>
              <w:rPr>
                <w:rFonts w:hint="default" w:ascii="Times New Roman" w:hAnsi="Times New Roman" w:eastAsia="宋体" w:cs="Times New Roman"/>
                <w:color w:val="000000"/>
                <w:sz w:val="24"/>
                <w:szCs w:val="24"/>
                <w:lang w:val="en-US" w:eastAsia="zh-CN"/>
              </w:rPr>
              <w:t>10万吨</w:t>
            </w:r>
            <w:r>
              <w:rPr>
                <w:rFonts w:hint="default" w:ascii="Times New Roman" w:hAnsi="Times New Roman" w:eastAsia="宋体" w:cs="Times New Roman"/>
                <w:color w:val="000000"/>
                <w:sz w:val="24"/>
                <w:szCs w:val="24"/>
              </w:rPr>
              <w:t>，项目</w:t>
            </w:r>
            <w:r>
              <w:rPr>
                <w:rFonts w:hint="default" w:ascii="Times New Roman" w:hAnsi="Times New Roman" w:eastAsia="宋体" w:cs="Times New Roman"/>
                <w:color w:val="000000"/>
                <w:sz w:val="24"/>
                <w:szCs w:val="24"/>
                <w:lang w:eastAsia="zh-CN"/>
              </w:rPr>
              <w:t>建设</w:t>
            </w:r>
            <w:r>
              <w:rPr>
                <w:rFonts w:hint="default" w:ascii="Times New Roman" w:hAnsi="Times New Roman" w:eastAsia="宋体" w:cs="Times New Roman"/>
                <w:color w:val="000000"/>
                <w:sz w:val="24"/>
                <w:szCs w:val="24"/>
              </w:rPr>
              <w:t>符合国家产业政策；选址合理，符合用地</w:t>
            </w:r>
            <w:r>
              <w:rPr>
                <w:rFonts w:hint="default" w:ascii="Times New Roman" w:hAnsi="Times New Roman" w:eastAsia="宋体" w:cs="Times New Roman"/>
                <w:color w:val="000000"/>
                <w:sz w:val="24"/>
                <w:szCs w:val="24"/>
                <w:lang w:eastAsia="zh-CN"/>
              </w:rPr>
              <w:t>规划</w:t>
            </w:r>
            <w:r>
              <w:rPr>
                <w:rFonts w:hint="default" w:ascii="Times New Roman" w:hAnsi="Times New Roman" w:eastAsia="宋体" w:cs="Times New Roman"/>
                <w:color w:val="000000"/>
                <w:sz w:val="24"/>
                <w:szCs w:val="24"/>
              </w:rPr>
              <w:t>要求</w:t>
            </w:r>
            <w:r>
              <w:rPr>
                <w:rFonts w:hint="default" w:ascii="Times New Roman" w:hAnsi="Times New Roman" w:eastAsia="宋体" w:cs="Times New Roman"/>
                <w:color w:val="000000"/>
                <w:sz w:val="24"/>
                <w:szCs w:val="24"/>
                <w:lang w:eastAsia="zh-CN"/>
              </w:rPr>
              <w:t>，符合“三线一</w:t>
            </w:r>
            <w:r>
              <w:rPr>
                <w:rFonts w:hint="default" w:ascii="Times New Roman" w:hAnsi="Times New Roman" w:eastAsia="宋体" w:cs="Times New Roman"/>
                <w:color w:val="000000" w:themeColor="text1"/>
                <w:sz w:val="24"/>
                <w:szCs w:val="24"/>
                <w:lang w:eastAsia="zh-CN"/>
                <w14:textFill>
                  <w14:solidFill>
                    <w14:schemeClr w14:val="tx1"/>
                  </w14:solidFill>
                </w14:textFill>
              </w:rPr>
              <w:t>单”要求</w:t>
            </w:r>
            <w:r>
              <w:rPr>
                <w:rFonts w:hint="default" w:ascii="Times New Roman" w:hAnsi="Times New Roman" w:eastAsia="宋体" w:cs="Times New Roman"/>
                <w:color w:val="000000" w:themeColor="text1"/>
                <w:sz w:val="24"/>
                <w:szCs w:val="24"/>
                <w14:textFill>
                  <w14:solidFill>
                    <w14:schemeClr w14:val="tx1"/>
                  </w14:solidFill>
                </w14:textFill>
              </w:rPr>
              <w:t>；经采取环保措施后，污染物能够达标排放，并符合总量控制的要求；项目所在区域的环境功能区能够达标；同时项目区域环境容量满足项目建设的需要。因此,该项目的建设从环境保护的角度分析是可行的。</w:t>
            </w:r>
          </w:p>
          <w:p>
            <w:pPr>
              <w:widowControl/>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二</w:t>
            </w:r>
            <w:r>
              <w:rPr>
                <w:rFonts w:hint="eastAsia" w:ascii="Times New Roman" w:hAnsi="Times New Roman" w:eastAsia="宋体" w:cs="Times New Roman"/>
                <w:b/>
                <w:bCs/>
                <w:color w:val="000000" w:themeColor="text1"/>
                <w:sz w:val="24"/>
                <w:szCs w:val="24"/>
                <w14:textFill>
                  <w14:solidFill>
                    <w14:schemeClr w14:val="tx1"/>
                  </w14:solidFill>
                </w14:textFill>
              </w:rPr>
              <w:t>、</w:t>
            </w:r>
            <w:r>
              <w:rPr>
                <w:rFonts w:ascii="Times New Roman" w:hAnsi="Times New Roman" w:eastAsia="宋体" w:cs="Times New Roman"/>
                <w:b/>
                <w:bCs/>
                <w:color w:val="000000" w:themeColor="text1"/>
                <w:sz w:val="24"/>
                <w:szCs w:val="24"/>
                <w14:textFill>
                  <w14:solidFill>
                    <w14:schemeClr w14:val="tx1"/>
                  </w14:solidFill>
                </w14:textFill>
              </w:rPr>
              <w:t>审批部门审批决定</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themeColor="text1"/>
                <w:sz w:val="24"/>
                <w:szCs w:val="24"/>
                <w14:textFill>
                  <w14:solidFill>
                    <w14:schemeClr w14:val="tx1"/>
                  </w14:solidFill>
                </w14:textFill>
              </w:rPr>
              <w:t>泉州玛塔生态科技有限公</w:t>
            </w:r>
            <w:r>
              <w:rPr>
                <w:rFonts w:hint="default" w:ascii="Times New Roman" w:hAnsi="Times New Roman" w:eastAsia="宋体" w:cs="Times New Roman"/>
                <w:sz w:val="24"/>
                <w:szCs w:val="24"/>
              </w:rPr>
              <w:t>司：</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你公司申请环境影响评价手续审批的相关材料收悉，根据漳州源晟环保科技有限公司编制的《惠安县牡蛎壳固废垃圾综合处理与利用项目环境影响报告表》(以下简称“报告表”）评价结论，经研究，批复如下：</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根据《惠安县人民政府专题会议纪要》（[2018]27号）、《惠安县HG挂-2019-8#地块规划设计条件》（惠自然资[2019]240号)，结合该项目环境影响评价结论，在落实报告表中提出的各项环保措施的前提下，从环境保护角度分析，项目建设是可行的，我局同意泉州玛塔生态科技有限公司在惠安县辋川镇轻工业园区建设“惠安县牡蛎壳固废垃圾综合处理与利用项目”。</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二、建设内容及规模。该项目年产10万吨牡蛎壳土壤改良剂、重金属污染耕地修复剂，总投资5000万元，其中环保投资55万元。占地面积23620m，建筑面积18163m，具体建设内容及规模以报告表核定为准。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三、项目实施过程中应重点做好以下工作</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1.项目外排废水主要为生活污水，应经预处理达到《污水综合排放标准》（GB8978-1996)表4的三级标准和惠安县污水处理厂进水水质要求后通过市政污水管网排入惠安县污水处理厂处理。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项目烘干炉产生的废气应经“袋式除尘器+碱液喷淋”处理达到《锅炉大气污染物排放标准》（GB13271-2014)表2的燃煤锅炉标准后通过20米高排气筒排放。项目运输、储存及粉磨风选工序中产生的颗粒物应经“袋式除尘器”处理达到《大气污染物综合排放标准》（GB16297-1996）表2二级标准后通过15米高排气筒排放；造粒、烘干、筛分、冷却及包装等工序所产生的颗粒物分别经“袋式除尘器”处理达到《大气污染物综合排放标准》（GB16297-1996)表2无组织排放限值要求后排放。项目原料堆场地面应做好防雨、防渗及防漏等措施并定期喷洒除臭剂，加强生产运行管理，尽量减少原料在厂内的存放时间，外排废气执行《恶臭污染物排放标准》（GB14554-93）相关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3.噪声源应采取切实有效的消声隔音、减振措施，项目厂界噪声执行GB12348-2008《工业企业厂界环境噪声排放标准》的3类标准，即昼间≤65dB(A)、夜间≤55dB(A)。</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4.生活垃圾及一般工业固体废物应分类收集，妥善处置，严禁随意外排、堆放或焚烧；除尘器收集的粉尘应集中收集回用于生产；烘干炉炉渣应集中收集后周边农户回收利用。</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5.项目主要污染物总量指标为S02：2.2464吨/年、NOx：2.2464吨/年，你公司应按承诺意见，在投产前取得本项目新增污染物S02、NOx排污权指标，并依法申领排污许可证后，方能投入生产。</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6.你单位应严格执行建设项目环境保护“三同时”制度，程序，对项目开展竣工环保验收。验收过程不得弄虚作假，并依法向社会公开验收报告。</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该项目环境影响报告表批复后，若工程建设的性质、规模、地点、工艺及防治污染措施等发生重大变化时，应依法重新办理环境影响评价审批手续。项目自批复之日起五年内未开工建设，环境影响评价文件应重新审核。</w:t>
            </w:r>
          </w:p>
          <w:p>
            <w:pPr>
              <w:pStyle w:val="31"/>
              <w:spacing w:line="360" w:lineRule="auto"/>
              <w:ind w:firstLine="482" w:firstLineChars="200"/>
              <w:jc w:val="both"/>
              <w:rPr>
                <w:rFonts w:hint="eastAsia" w:ascii="Times New Roman" w:hAnsi="Times New Roman" w:cs="Times New Roman"/>
                <w:b/>
                <w:bCs/>
                <w:color w:val="0000FF"/>
                <w:lang w:val="en-US" w:eastAsia="zh-CN"/>
              </w:rPr>
            </w:pPr>
          </w:p>
          <w:p>
            <w:pPr>
              <w:pStyle w:val="31"/>
              <w:spacing w:line="360" w:lineRule="auto"/>
              <w:ind w:firstLine="482" w:firstLineChars="200"/>
              <w:jc w:val="both"/>
              <w:rPr>
                <w:rFonts w:hint="eastAsia" w:ascii="Times New Roman" w:hAnsi="Times New Roman" w:cs="Times New Roman"/>
                <w:b/>
                <w:bCs/>
                <w:color w:val="0000FF"/>
                <w:lang w:val="en-US" w:eastAsia="zh-CN"/>
              </w:rPr>
            </w:pPr>
          </w:p>
          <w:p>
            <w:pPr>
              <w:pStyle w:val="31"/>
              <w:spacing w:line="360" w:lineRule="auto"/>
              <w:ind w:firstLine="482" w:firstLineChars="200"/>
              <w:jc w:val="both"/>
              <w:rPr>
                <w:rFonts w:hint="eastAsia" w:ascii="Times New Roman" w:hAnsi="Times New Roman" w:cs="Times New Roman"/>
                <w:b/>
                <w:bCs/>
                <w:color w:val="0000FF"/>
                <w:lang w:val="en-US" w:eastAsia="zh-CN"/>
              </w:rPr>
            </w:pPr>
          </w:p>
          <w:p>
            <w:pPr>
              <w:pStyle w:val="31"/>
              <w:spacing w:line="360" w:lineRule="auto"/>
              <w:ind w:firstLine="482" w:firstLineChars="200"/>
              <w:jc w:val="both"/>
              <w:rPr>
                <w:rFonts w:hint="eastAsia" w:ascii="Times New Roman" w:hAnsi="Times New Roman" w:cs="Times New Roman"/>
                <w:b/>
                <w:bCs/>
                <w:color w:val="0000FF"/>
                <w:lang w:val="en-US" w:eastAsia="zh-CN"/>
              </w:rPr>
            </w:pPr>
          </w:p>
          <w:p>
            <w:pPr>
              <w:pStyle w:val="31"/>
              <w:spacing w:line="360" w:lineRule="auto"/>
              <w:ind w:firstLine="482" w:firstLineChars="200"/>
              <w:jc w:val="both"/>
              <w:rPr>
                <w:rFonts w:hint="eastAsia" w:ascii="Times New Roman" w:hAnsi="Times New Roman" w:cs="Times New Roman"/>
                <w:b/>
                <w:bCs/>
                <w:color w:val="0000FF"/>
                <w:lang w:val="en-US" w:eastAsia="zh-CN"/>
              </w:rPr>
            </w:pPr>
          </w:p>
          <w:p>
            <w:pPr>
              <w:pStyle w:val="31"/>
              <w:spacing w:line="360" w:lineRule="auto"/>
              <w:ind w:firstLine="482" w:firstLineChars="200"/>
              <w:jc w:val="both"/>
              <w:rPr>
                <w:rFonts w:hint="eastAsia" w:ascii="Times New Roman" w:hAnsi="Times New Roman" w:cs="Times New Roman"/>
                <w:b/>
                <w:bCs/>
                <w:color w:val="0000FF"/>
                <w:lang w:val="en-US" w:eastAsia="zh-CN"/>
              </w:rPr>
            </w:pPr>
          </w:p>
          <w:p>
            <w:pPr>
              <w:pStyle w:val="31"/>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lang w:val="en-US" w:eastAsia="zh-CN"/>
                <w14:textFill>
                  <w14:solidFill>
                    <w14:schemeClr w14:val="tx1"/>
                  </w14:solidFill>
                </w14:textFill>
              </w:rPr>
              <w:t>三</w:t>
            </w:r>
            <w:r>
              <w:rPr>
                <w:rFonts w:ascii="Times New Roman" w:hAnsi="Times New Roman" w:cs="Times New Roman"/>
                <w:b/>
                <w:bCs/>
                <w:color w:val="000000" w:themeColor="text1"/>
                <w14:textFill>
                  <w14:solidFill>
                    <w14:schemeClr w14:val="tx1"/>
                  </w14:solidFill>
                </w14:textFill>
              </w:rPr>
              <w:t>、环境影响报告表及批复意见落实情况调查</w:t>
            </w:r>
          </w:p>
          <w:p>
            <w:pPr>
              <w:pStyle w:val="31"/>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表4-</w:t>
            </w:r>
            <w:r>
              <w:rPr>
                <w:rFonts w:hint="eastAsia" w:ascii="Times New Roman" w:hAnsi="Times New Roman" w:cs="Times New Roman"/>
                <w:b/>
                <w:bCs/>
                <w:color w:val="000000" w:themeColor="text1"/>
                <w:sz w:val="21"/>
                <w:szCs w:val="21"/>
                <w:lang w:val="en-US" w:eastAsia="zh-CN"/>
                <w14:textFill>
                  <w14:solidFill>
                    <w14:schemeClr w14:val="tx1"/>
                  </w14:solidFill>
                </w14:textFill>
              </w:rPr>
              <w:t>2</w:t>
            </w:r>
            <w:r>
              <w:rPr>
                <w:rFonts w:ascii="Times New Roman" w:hAnsi="Times New Roman" w:cs="Times New Roman"/>
                <w:b/>
                <w:bCs/>
                <w:color w:val="000000" w:themeColor="text1"/>
                <w:sz w:val="21"/>
                <w:szCs w:val="21"/>
                <w14:textFill>
                  <w14:solidFill>
                    <w14:schemeClr w14:val="tx1"/>
                  </w14:solidFill>
                </w14:textFill>
              </w:rPr>
              <w:t xml:space="preserve"> 环境影响报告表批复意见落实一览表</w:t>
            </w:r>
          </w:p>
          <w:tbl>
            <w:tblPr>
              <w:tblStyle w:val="25"/>
              <w:tblW w:w="86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3"/>
              <w:gridCol w:w="4502"/>
              <w:gridCol w:w="34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82" w:type="pc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599" w:type="pc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批复情况</w:t>
                  </w:r>
                </w:p>
              </w:tc>
              <w:tc>
                <w:tcPr>
                  <w:tcW w:w="2017" w:type="pc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实际执行情况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0" w:hRule="atLeast"/>
                <w:jc w:val="center"/>
              </w:trPr>
              <w:tc>
                <w:tcPr>
                  <w:tcW w:w="382" w:type="pct"/>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w:t>
                  </w:r>
                </w:p>
              </w:tc>
              <w:tc>
                <w:tcPr>
                  <w:tcW w:w="2599" w:type="pct"/>
                  <w:tcBorders>
                    <w:tl2br w:val="nil"/>
                    <w:tr2bl w:val="nil"/>
                  </w:tcBorders>
                  <w:vAlign w:val="center"/>
                </w:tcPr>
                <w:p>
                  <w:pPr>
                    <w:pStyle w:val="31"/>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项目外排废水主要为生活污水，应经预处理达到《污水综合排放标准》（GB8978-1996)表4的三级标准和惠安县污水处理厂进水水质要求后通过市政污水管网排入惠安县污水处理厂处理。</w:t>
                  </w:r>
                </w:p>
              </w:tc>
              <w:tc>
                <w:tcPr>
                  <w:tcW w:w="2017" w:type="pct"/>
                  <w:tcBorders>
                    <w:tl2br w:val="nil"/>
                    <w:tr2bl w:val="nil"/>
                  </w:tcBorders>
                  <w:vAlign w:val="center"/>
                </w:tcPr>
                <w:p>
                  <w:pPr>
                    <w:pStyle w:val="31"/>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颗粒土壤改良剂生产过程中需使用黄腐酸钾，外购的黄腐酸钾为颗粒状，使用过程中需加水进行溶解，该部分用水全部进入产品，没有废水产生。烘干焙烧废气脱硫除尘水经沉淀后回用，不外排，及时补充已损失量。生活污水经三级化粪池处理后排入惠安污水处理厂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382" w:type="pc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2</w:t>
                  </w:r>
                </w:p>
              </w:tc>
              <w:tc>
                <w:tcPr>
                  <w:tcW w:w="2599" w:type="pct"/>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烘干炉产生的废气应经“袋式除尘器+碱液喷淋”处理达到《锅炉大气污染物排放标准》（GB13271-2014)表2的燃煤锅炉标准后通过20米高排气筒排放。项目运输、储存及粉磨风选工序中产生的颗粒物应经“袋式除尘器”处理达到《大气污染物综合排放标准》（GB16297-1996）表2二级标准后通过15米高排气筒排放；造粒、烘干、筛分、冷却及包装等工序所产生的颗粒物分别经“袋式除尘器”处理达到《大气污染物综合排放标准》（GB16297-1996)表2无组织排放限值要求后排放。项目原料堆场地面应做好防雨、防渗及防漏等措施并定期喷洒除臭剂，加强生产运行管理，尽量减少原料在厂内的存放时间，外排废气执行《恶臭污染物排放标准》（GB14554-93）相关要求</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c>
                <w:tcPr>
                  <w:tcW w:w="2017" w:type="pct"/>
                  <w:tcBorders>
                    <w:tl2br w:val="nil"/>
                    <w:tr2bl w:val="nil"/>
                  </w:tcBorders>
                  <w:vAlign w:val="center"/>
                </w:tcPr>
                <w:p>
                  <w:pPr>
                    <w:widowControl/>
                    <w:numPr>
                      <w:ilvl w:val="0"/>
                      <w:numId w:val="0"/>
                    </w:numPr>
                    <w:spacing w:line="240" w:lineRule="auto"/>
                    <w:jc w:val="both"/>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堆场异味</w:t>
                  </w:r>
                  <w:r>
                    <w:rPr>
                      <w:rFonts w:hint="default" w:ascii="Times New Roman" w:hAnsi="Times New Roman" w:eastAsia="宋体" w:cs="Times New Roman"/>
                      <w:color w:val="auto"/>
                      <w:sz w:val="21"/>
                      <w:szCs w:val="21"/>
                      <w:lang w:val="en-US" w:eastAsia="zh-CN" w:bidi="ar-SA"/>
                    </w:rPr>
                    <w:t>废气为无组织排放，原料堆场地面做硬化、堆场上方</w:t>
                  </w:r>
                  <w:r>
                    <w:rPr>
                      <w:rFonts w:hint="eastAsia" w:ascii="Times New Roman" w:hAnsi="Times New Roman" w:eastAsia="宋体" w:cs="Times New Roman"/>
                      <w:color w:val="auto"/>
                      <w:sz w:val="21"/>
                      <w:szCs w:val="21"/>
                      <w:lang w:val="en-US" w:eastAsia="zh-CN" w:bidi="ar-SA"/>
                    </w:rPr>
                    <w:t>及周边</w:t>
                  </w:r>
                  <w:r>
                    <w:rPr>
                      <w:rFonts w:hint="default" w:ascii="Times New Roman" w:hAnsi="Times New Roman" w:eastAsia="宋体" w:cs="Times New Roman"/>
                      <w:color w:val="auto"/>
                      <w:sz w:val="21"/>
                      <w:szCs w:val="21"/>
                      <w:lang w:val="en-US" w:eastAsia="zh-CN" w:bidi="ar-SA"/>
                    </w:rPr>
                    <w:t>搭建防雨棚，</w:t>
                  </w:r>
                  <w:r>
                    <w:rPr>
                      <w:rFonts w:hint="eastAsia" w:ascii="Times New Roman" w:hAnsi="Times New Roman" w:eastAsia="宋体" w:cs="Times New Roman"/>
                      <w:color w:val="auto"/>
                      <w:sz w:val="21"/>
                      <w:szCs w:val="21"/>
                      <w:lang w:val="en-US" w:eastAsia="zh-CN" w:bidi="ar-SA"/>
                    </w:rPr>
                    <w:t>做防雨、防渗及防漏等措施</w:t>
                  </w:r>
                  <w:r>
                    <w:rPr>
                      <w:rFonts w:hint="default" w:ascii="Times New Roman" w:hAnsi="Times New Roman" w:eastAsia="宋体" w:cs="Times New Roman"/>
                      <w:color w:val="auto"/>
                      <w:sz w:val="21"/>
                      <w:szCs w:val="21"/>
                      <w:lang w:val="en-US" w:eastAsia="zh-CN" w:bidi="ar-SA"/>
                    </w:rPr>
                    <w:t>并定期喷洒除臭剂</w:t>
                  </w:r>
                  <w:r>
                    <w:rPr>
                      <w:rFonts w:hint="eastAsia" w:ascii="Times New Roman" w:hAnsi="Times New Roman" w:eastAsia="宋体" w:cs="Times New Roman"/>
                      <w:color w:val="auto"/>
                      <w:sz w:val="21"/>
                      <w:szCs w:val="21"/>
                      <w:lang w:val="en-US" w:eastAsia="zh-CN" w:bidi="ar-SA"/>
                    </w:rPr>
                    <w:t>。</w:t>
                  </w:r>
                </w:p>
                <w:p>
                  <w:pPr>
                    <w:widowControl/>
                    <w:numPr>
                      <w:ilvl w:val="0"/>
                      <w:numId w:val="0"/>
                    </w:numPr>
                    <w:spacing w:line="240" w:lineRule="auto"/>
                    <w:jc w:val="both"/>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烘干废气通过袋式除尘器+碱液喷淋处理后通过15m高排气筒排放。</w:t>
                  </w:r>
                </w:p>
                <w:p>
                  <w:pPr>
                    <w:pStyle w:val="2"/>
                    <w:spacing w:line="240" w:lineRule="auto"/>
                    <w:ind w:left="0" w:leftChars="0" w:firstLine="0" w:firstLineChars="0"/>
                    <w:rPr>
                      <w:rFonts w:hint="default"/>
                      <w:sz w:val="21"/>
                      <w:szCs w:val="21"/>
                      <w:lang w:val="en-US" w:eastAsia="zh-CN"/>
                    </w:rPr>
                  </w:pPr>
                  <w:r>
                    <w:rPr>
                      <w:rFonts w:hint="eastAsia" w:ascii="Times New Roman" w:hAnsi="Times New Roman" w:eastAsia="宋体" w:cs="Times New Roman"/>
                      <w:color w:val="auto"/>
                      <w:sz w:val="21"/>
                      <w:szCs w:val="21"/>
                      <w:lang w:val="en-US" w:eastAsia="zh-CN" w:bidi="ar-SA"/>
                    </w:rPr>
                    <w:t>造粒废气通过袋式除尘器+碱液喷淋处理后通过15m高排气筒排放。</w:t>
                  </w:r>
                </w:p>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snapToGrid/>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auto"/>
                      <w:sz w:val="21"/>
                      <w:szCs w:val="21"/>
                      <w:lang w:val="en-US" w:eastAsia="zh-CN" w:bidi="ar-SA"/>
                    </w:rPr>
                    <w:t>半成品输送及储存废气、粉磨风选废气、成品输送及储存、冷却、筛分废气、包装废气通过袋式除尘器收集后回用于生产或作为成品，不外排。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82" w:type="pc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3</w:t>
                  </w:r>
                </w:p>
              </w:tc>
              <w:tc>
                <w:tcPr>
                  <w:tcW w:w="259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噪声源应采取切实有效的消声隔音、减振措施，项目厂界噪声执行GB12348-2008《工业企业厂界环境噪声排放标准》的3类标准，即昼间≤65dB(A)、夜间≤55dB(A)。</w:t>
                  </w:r>
                </w:p>
              </w:tc>
              <w:tc>
                <w:tcPr>
                  <w:tcW w:w="2017" w:type="pct"/>
                  <w:tcBorders>
                    <w:tl2br w:val="nil"/>
                    <w:tr2bl w:val="nil"/>
                  </w:tcBorders>
                  <w:vAlign w:val="center"/>
                </w:tcPr>
                <w:p>
                  <w:pPr>
                    <w:pStyle w:val="31"/>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snapToGrid/>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auto"/>
                      <w:sz w:val="21"/>
                      <w:szCs w:val="21"/>
                      <w:lang w:val="en-US" w:eastAsia="zh-CN"/>
                    </w:rPr>
                    <w:t>通过合理布局，使高噪声设备远离厂界；对噪声值较高的设备基座底部安装减振垫等；定期检查并调整好运动机器部件的静平衡与动平衡的动力，加强设备维护，使其处于良好运行状态，以此来降低环境噪声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82" w:type="pc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4</w:t>
                  </w:r>
                </w:p>
              </w:tc>
              <w:tc>
                <w:tcPr>
                  <w:tcW w:w="25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生活垃圾及一般工业固体废物应分类收集，妥善处置，严禁随意外排、堆放或焚烧；除尘器收集的粉尘应集中收集回用于生产；烘干炉炉渣应集中收集后周边农户回收利用。</w:t>
                  </w:r>
                </w:p>
              </w:tc>
              <w:tc>
                <w:tcPr>
                  <w:tcW w:w="2017" w:type="pct"/>
                  <w:tcBorders>
                    <w:tl2br w:val="nil"/>
                    <w:tr2bl w:val="nil"/>
                  </w:tcBorders>
                  <w:vAlign w:val="center"/>
                </w:tcPr>
                <w:p>
                  <w:pPr>
                    <w:pStyle w:val="54"/>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分选杂质</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、除铁杂质、生活垃圾统一收集后由环卫部门统一清运。热风炉</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炉渣集中收集后</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由周边农户回收利用，不外排。</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除尘器收集的粉尘量集中收集后回用于生产</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w:t>
                  </w:r>
                  <w:r>
                    <w:rPr>
                      <w:rFonts w:hint="eastAsia" w:ascii="Times New Roman" w:hAnsi="Times New Roman" w:eastAsia="宋体" w:cs="Times New Roman"/>
                      <w:color w:val="000000" w:themeColor="text1"/>
                      <w:sz w:val="21"/>
                      <w:szCs w:val="21"/>
                      <w:lang w:val="en-GB" w:eastAsia="zh-CN" w:bidi="ar-SA"/>
                      <w14:textFill>
                        <w14:solidFill>
                          <w14:schemeClr w14:val="tx1"/>
                        </w14:solidFill>
                      </w14:textFill>
                    </w:rPr>
                    <w:t>烘干机废气采用湿法脱硫除尘进行处理，</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产生的淤泥</w:t>
                  </w:r>
                  <w:r>
                    <w:rPr>
                      <w:rFonts w:hint="eastAsia" w:ascii="Times New Roman" w:hAnsi="Times New Roman" w:eastAsia="宋体" w:cs="Times New Roman"/>
                      <w:color w:val="000000" w:themeColor="text1"/>
                      <w:sz w:val="21"/>
                      <w:szCs w:val="21"/>
                      <w:lang w:val="en-GB" w:eastAsia="zh-CN" w:bidi="ar-SA"/>
                      <w14:textFill>
                        <w14:solidFill>
                          <w14:schemeClr w14:val="tx1"/>
                        </w14:solidFill>
                      </w14:textFill>
                    </w:rPr>
                    <w:t>统一收集后由建材厂回收利用，不外排。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382" w:type="pc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5</w:t>
                  </w:r>
                </w:p>
              </w:tc>
              <w:tc>
                <w:tcPr>
                  <w:tcW w:w="2599" w:type="pct"/>
                  <w:tcBorders>
                    <w:tl2br w:val="nil"/>
                    <w:tr2bl w:val="nil"/>
                  </w:tcBorders>
                  <w:vAlign w:val="center"/>
                </w:tcPr>
                <w:p>
                  <w:pPr>
                    <w:pStyle w:val="31"/>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项目主要污染物总量指标为S02：2.2464吨/年、NOx：2.2464吨/年，你公司应按承诺意见，在投产前取得本项目新增污染物S02、NOx排污权指标，并依法申领排污许可证后，方能投入生产。</w:t>
                  </w:r>
                </w:p>
              </w:tc>
              <w:tc>
                <w:tcPr>
                  <w:tcW w:w="2017" w:type="pct"/>
                  <w:tcBorders>
                    <w:tl2br w:val="nil"/>
                    <w:tr2bl w:val="nil"/>
                  </w:tcBorders>
                  <w:vAlign w:val="center"/>
                </w:tcPr>
                <w:p>
                  <w:pPr>
                    <w:keepNext w:val="0"/>
                    <w:keepLines w:val="0"/>
                    <w:pageBreakBefore w:val="0"/>
                    <w:widowControl/>
                    <w:kinsoku/>
                    <w:wordWrap/>
                    <w:overflowPunct/>
                    <w:topLinePunct w:val="0"/>
                    <w:bidi w:val="0"/>
                    <w:adjustRightInd w:val="0"/>
                    <w:spacing w:line="240" w:lineRule="auto"/>
                    <w:ind w:firstLine="0" w:firstLineChars="0"/>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颗粒物排放量为0.6156t/a，二氧化硫排放量为0.7524t/a，氮氧化物排放量为1.9368t/a。废气污染物排放总量满足环评批复要求：二氧化硫排放量2.2464t/a，氮氧化物排放量2.2464t/a。</w:t>
                  </w:r>
                </w:p>
              </w:tc>
            </w:tr>
          </w:tbl>
          <w:p>
            <w:pPr>
              <w:pStyle w:val="31"/>
              <w:spacing w:line="360" w:lineRule="auto"/>
              <w:jc w:val="both"/>
              <w:rPr>
                <w:rFonts w:ascii="Times New Roman" w:hAnsi="Times New Roman" w:cs="Times New Roman"/>
                <w:color w:val="0000FF"/>
              </w:rPr>
            </w:pPr>
          </w:p>
        </w:tc>
      </w:tr>
    </w:tbl>
    <w:p>
      <w:pPr>
        <w:spacing w:line="360" w:lineRule="auto"/>
        <w:rPr>
          <w:rFonts w:ascii="Times New Roman" w:hAnsi="Times New Roman" w:eastAsia="宋体" w:cs="Times New Roman"/>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表五</w:t>
      </w:r>
    </w:p>
    <w:tbl>
      <w:tblPr>
        <w:tblStyle w:val="2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2" w:hRule="atLeast"/>
        </w:trPr>
        <w:tc>
          <w:tcPr>
            <w:tcW w:w="8522" w:type="dxa"/>
          </w:tcPr>
          <w:p>
            <w:pPr>
              <w:widowControl/>
              <w:spacing w:line="360" w:lineRule="auto"/>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验收监测质量保证及质量控制：</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1、监测分析方法</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此次验收监测的分析方法按环境要素说明各项监测因子监测分析方法名称、方法标准号或方法来源、分析方法的最低检出限，详见下表。</w:t>
            </w:r>
          </w:p>
          <w:p>
            <w:pPr>
              <w:widowControl w:val="0"/>
              <w:adjustRightInd/>
              <w:spacing w:line="360" w:lineRule="auto"/>
              <w:ind w:firstLine="422" w:firstLineChars="200"/>
              <w:jc w:val="center"/>
              <w:rPr>
                <w:rFonts w:ascii="Times New Roman" w:hAnsi="Times New Roman" w:eastAsia="宋体" w:cs="Times New Roman"/>
                <w:b/>
                <w:bCs/>
                <w:color w:val="auto"/>
                <w:sz w:val="21"/>
                <w:szCs w:val="21"/>
              </w:rPr>
            </w:pPr>
            <w:bookmarkStart w:id="7" w:name="_Toc1961"/>
            <w:r>
              <w:rPr>
                <w:rFonts w:ascii="Times New Roman" w:hAnsi="Times New Roman" w:eastAsia="宋体" w:cs="Times New Roman"/>
                <w:b/>
                <w:bCs/>
                <w:color w:val="auto"/>
                <w:sz w:val="21"/>
                <w:szCs w:val="21"/>
              </w:rPr>
              <w:t>表5-1 监测分析方法</w:t>
            </w:r>
            <w:bookmarkEnd w:id="7"/>
            <w:r>
              <w:rPr>
                <w:rFonts w:ascii="Times New Roman" w:hAnsi="Times New Roman" w:eastAsia="宋体" w:cs="Times New Roman"/>
                <w:b/>
                <w:bCs/>
                <w:color w:val="auto"/>
                <w:sz w:val="21"/>
                <w:szCs w:val="21"/>
              </w:rPr>
              <w:t>表</w:t>
            </w:r>
          </w:p>
          <w:tbl>
            <w:tblPr>
              <w:tblStyle w:val="24"/>
              <w:tblW w:w="82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452"/>
              <w:gridCol w:w="4370"/>
              <w:gridCol w:w="13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noWrap w:val="0"/>
                  <w:vAlign w:val="center"/>
                </w:tcPr>
                <w:p>
                  <w:pPr>
                    <w:pStyle w:val="45"/>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检测类别</w:t>
                  </w:r>
                </w:p>
              </w:tc>
              <w:tc>
                <w:tcPr>
                  <w:tcW w:w="1452" w:type="dxa"/>
                  <w:noWrap w:val="0"/>
                  <w:vAlign w:val="center"/>
                </w:tcPr>
                <w:p>
                  <w:pPr>
                    <w:pStyle w:val="45"/>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分析项目</w:t>
                  </w:r>
                </w:p>
              </w:tc>
              <w:tc>
                <w:tcPr>
                  <w:tcW w:w="4370" w:type="dxa"/>
                  <w:noWrap w:val="0"/>
                  <w:vAlign w:val="center"/>
                </w:tcPr>
                <w:p>
                  <w:pPr>
                    <w:pStyle w:val="45"/>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依据方法</w:t>
                  </w:r>
                </w:p>
              </w:tc>
              <w:tc>
                <w:tcPr>
                  <w:tcW w:w="1317" w:type="dxa"/>
                  <w:noWrap w:val="0"/>
                  <w:vAlign w:val="center"/>
                </w:tcPr>
                <w:p>
                  <w:pPr>
                    <w:pStyle w:val="45"/>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最低</w:t>
                  </w:r>
                </w:p>
                <w:p>
                  <w:pPr>
                    <w:pStyle w:val="45"/>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检出限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物理因素</w:t>
                  </w:r>
                </w:p>
              </w:tc>
              <w:tc>
                <w:tcPr>
                  <w:tcW w:w="1452"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厂界噪声</w:t>
                  </w:r>
                </w:p>
              </w:tc>
              <w:tc>
                <w:tcPr>
                  <w:tcW w:w="4370" w:type="dxa"/>
                  <w:noWrap w:val="0"/>
                  <w:vAlign w:val="center"/>
                </w:tcPr>
                <w:p>
                  <w:pPr>
                    <w:pStyle w:val="57"/>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w:t>
                  </w:r>
                </w:p>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GB 12348-2008</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kern w:val="2"/>
                      <w:sz w:val="21"/>
                      <w:szCs w:val="21"/>
                      <w:vertAlign w:val="superscript"/>
                      <w:lang w:val="en-US" w:eastAsia="zh-CN" w:bidi="ar-SA"/>
                    </w:rPr>
                  </w:pPr>
                  <w:r>
                    <w:rPr>
                      <w:rFonts w:hint="default" w:ascii="Times New Roman" w:hAnsi="Times New Roman" w:eastAsia="宋体" w:cs="Times New Roman"/>
                      <w:color w:val="auto"/>
                      <w:sz w:val="21"/>
                      <w:szCs w:val="21"/>
                    </w:rPr>
                    <w:t>35dB</w:t>
                  </w:r>
                  <w:r>
                    <w:rPr>
                      <w:rFonts w:hint="default" w:ascii="Times New Roman" w:hAnsi="Times New Roman" w:eastAsia="宋体" w:cs="Times New Roman"/>
                      <w:color w:val="auto"/>
                      <w:sz w:val="21"/>
                      <w:szCs w:val="21"/>
                      <w:lang w:val="en-US" w:eastAsia="zh-CN"/>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restart"/>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有组织废气</w:t>
                  </w:r>
                </w:p>
              </w:tc>
              <w:tc>
                <w:tcPr>
                  <w:tcW w:w="1452"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颗粒物</w:t>
                  </w:r>
                </w:p>
              </w:tc>
              <w:tc>
                <w:tcPr>
                  <w:tcW w:w="4370"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固定源废气 低浓度颗粒物的测定 重量法 HJ836-2017</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1.0mg/m</w:t>
                  </w:r>
                  <w:r>
                    <w:rPr>
                      <w:rFonts w:hint="eastAsia" w:ascii="Times New Roman" w:hAnsi="Times New Roman" w:eastAsia="宋体" w:cs="Times New Roman"/>
                      <w:color w:val="auto"/>
                      <w:sz w:val="21"/>
                      <w:szCs w:val="21"/>
                      <w:vertAlign w:val="superscript"/>
                      <w:lang w:val="en-US" w:eastAsia="zh-CN" w:bidi="ar-SA"/>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shd w:val="clear" w:color="auto" w:fill="auto"/>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颗粒物</w:t>
                  </w:r>
                </w:p>
              </w:tc>
              <w:tc>
                <w:tcPr>
                  <w:tcW w:w="4370" w:type="dxa"/>
                  <w:shd w:val="clear" w:color="auto" w:fill="FFFFFF"/>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固定污染源排气中颗粒物测定与气态污染物采样方法 重量法 GB/T16157-1996及其修改单</w:t>
                  </w:r>
                </w:p>
              </w:tc>
              <w:tc>
                <w:tcPr>
                  <w:tcW w:w="1317" w:type="dxa"/>
                  <w:noWrap w:val="0"/>
                  <w:vAlign w:val="center"/>
                </w:tcPr>
                <w:p>
                  <w:pPr>
                    <w:pStyle w:val="15"/>
                    <w:keepNext w:val="0"/>
                    <w:keepLines w:val="0"/>
                    <w:pageBreakBefore w:val="0"/>
                    <w:widowControl/>
                    <w:kinsoku/>
                    <w:wordWrap/>
                    <w:overflowPunct/>
                    <w:topLinePunct w:val="0"/>
                    <w:autoSpaceDE/>
                    <w:autoSpaceDN/>
                    <w:bidi w:val="0"/>
                    <w:adjustRightInd w:val="0"/>
                    <w:snapToGrid w:val="0"/>
                    <w:spacing w:after="0" w:line="240" w:lineRule="auto"/>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20mg/m</w:t>
                  </w:r>
                  <w:r>
                    <w:rPr>
                      <w:rFonts w:hint="eastAsia" w:ascii="Times New Roman" w:hAnsi="Times New Roman" w:eastAsia="宋体" w:cs="Times New Roman"/>
                      <w:color w:val="auto"/>
                      <w:sz w:val="21"/>
                      <w:szCs w:val="21"/>
                      <w:vertAlign w:val="superscript"/>
                      <w:lang w:val="en-US" w:eastAsia="zh-CN" w:bidi="ar-SA"/>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shd w:val="clear" w:color="auto" w:fill="auto"/>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二氧化硫</w:t>
                  </w:r>
                </w:p>
              </w:tc>
              <w:tc>
                <w:tcPr>
                  <w:tcW w:w="4370" w:type="dxa"/>
                  <w:shd w:val="clear" w:color="auto" w:fill="FFFFFF"/>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固定污染源排气中二氧化硫的测定 定电位电解法 HJ 57-2017</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lang w:val="en-US" w:eastAsia="zh-CN" w:bidi="ar-SA"/>
                    </w:rPr>
                    <w:t>mg/m</w:t>
                  </w:r>
                  <w:r>
                    <w:rPr>
                      <w:rFonts w:hint="eastAsia" w:ascii="Times New Roman" w:hAnsi="Times New Roman" w:eastAsia="宋体" w:cs="Times New Roman"/>
                      <w:color w:val="auto"/>
                      <w:sz w:val="21"/>
                      <w:szCs w:val="21"/>
                      <w:vertAlign w:val="superscript"/>
                      <w:lang w:val="en-US" w:eastAsia="zh-CN" w:bidi="ar-SA"/>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shd w:val="clear" w:color="auto" w:fill="auto"/>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氮氧化物</w:t>
                  </w:r>
                </w:p>
              </w:tc>
              <w:tc>
                <w:tcPr>
                  <w:tcW w:w="4370" w:type="dxa"/>
                  <w:shd w:val="clear" w:color="auto" w:fill="FFFFFF"/>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固定污染源废气 氮氧化物的测定 定电位电解法 HJ 693-2014</w:t>
                  </w:r>
                </w:p>
              </w:tc>
              <w:tc>
                <w:tcPr>
                  <w:tcW w:w="1317" w:type="dxa"/>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lang w:val="en-US" w:eastAsia="zh-CN" w:bidi="ar-SA"/>
                    </w:rPr>
                    <w:t>mg/m</w:t>
                  </w:r>
                  <w:r>
                    <w:rPr>
                      <w:rFonts w:hint="eastAsia" w:ascii="Times New Roman" w:hAnsi="Times New Roman" w:eastAsia="宋体" w:cs="Times New Roman"/>
                      <w:color w:val="auto"/>
                      <w:sz w:val="21"/>
                      <w:szCs w:val="21"/>
                      <w:vertAlign w:val="superscript"/>
                      <w:lang w:val="en-US" w:eastAsia="zh-CN" w:bidi="ar-SA"/>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restart"/>
                  <w:shd w:val="clear" w:color="auto" w:fill="auto"/>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无组织废气</w:t>
                  </w:r>
                </w:p>
              </w:tc>
              <w:tc>
                <w:tcPr>
                  <w:tcW w:w="1452"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颗粒物</w:t>
                  </w:r>
                </w:p>
              </w:tc>
              <w:tc>
                <w:tcPr>
                  <w:tcW w:w="4370" w:type="dxa"/>
                  <w:shd w:val="clear" w:color="auto" w:fill="FFFFFF"/>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环境空气 总悬浮颗粒物的测定 GB/T 15432-1995 及其修改单</w:t>
                  </w:r>
                </w:p>
              </w:tc>
              <w:tc>
                <w:tcPr>
                  <w:tcW w:w="1317"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0.017</w:t>
                  </w:r>
                  <w:r>
                    <w:rPr>
                      <w:rFonts w:hint="eastAsia" w:ascii="Times New Roman" w:hAnsi="Times New Roman" w:eastAsia="宋体" w:cs="Times New Roman"/>
                      <w:color w:val="auto"/>
                      <w:sz w:val="21"/>
                      <w:szCs w:val="21"/>
                      <w:lang w:val="en-US" w:eastAsia="zh-CN" w:bidi="ar-SA"/>
                    </w:rPr>
                    <w:t>mg/m</w:t>
                  </w:r>
                  <w:r>
                    <w:rPr>
                      <w:rFonts w:hint="eastAsia" w:ascii="Times New Roman" w:hAnsi="Times New Roman" w:eastAsia="宋体" w:cs="Times New Roman"/>
                      <w:color w:val="auto"/>
                      <w:sz w:val="21"/>
                      <w:szCs w:val="21"/>
                      <w:vertAlign w:val="superscript"/>
                      <w:lang w:val="en-US" w:eastAsia="zh-CN" w:bidi="ar-SA"/>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shd w:val="clear" w:color="auto" w:fill="auto"/>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硫化氢</w:t>
                  </w:r>
                </w:p>
              </w:tc>
              <w:tc>
                <w:tcPr>
                  <w:tcW w:w="4370" w:type="dxa"/>
                  <w:shd w:val="clear" w:color="auto" w:fill="FFFFFF"/>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亚甲基蓝分光光度法《空气和废气监测分析方法》国家环境保护总局（2003）第四版增补版 第三篇第一章第十一条（二）</w:t>
                  </w:r>
                </w:p>
              </w:tc>
              <w:tc>
                <w:tcPr>
                  <w:tcW w:w="1317"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0.001</w:t>
                  </w:r>
                  <w:r>
                    <w:rPr>
                      <w:rFonts w:hint="eastAsia" w:ascii="Times New Roman" w:hAnsi="Times New Roman" w:eastAsia="宋体" w:cs="Times New Roman"/>
                      <w:color w:val="auto"/>
                      <w:sz w:val="21"/>
                      <w:szCs w:val="21"/>
                      <w:lang w:val="en-US" w:eastAsia="zh-CN" w:bidi="ar-SA"/>
                    </w:rPr>
                    <w:t>mg/m</w:t>
                  </w:r>
                  <w:r>
                    <w:rPr>
                      <w:rFonts w:hint="eastAsia" w:ascii="Times New Roman" w:hAnsi="Times New Roman" w:eastAsia="宋体" w:cs="Times New Roman"/>
                      <w:color w:val="auto"/>
                      <w:sz w:val="21"/>
                      <w:szCs w:val="21"/>
                      <w:vertAlign w:val="superscript"/>
                      <w:lang w:val="en-US" w:eastAsia="zh-CN" w:bidi="ar-SA"/>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Merge w:val="continue"/>
                  <w:shd w:val="clear" w:color="auto" w:fill="auto"/>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color w:val="auto"/>
                      <w:sz w:val="21"/>
                      <w:szCs w:val="21"/>
                    </w:rPr>
                  </w:pPr>
                </w:p>
              </w:tc>
              <w:tc>
                <w:tcPr>
                  <w:tcW w:w="1452"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臭气浓度</w:t>
                  </w:r>
                </w:p>
              </w:tc>
              <w:tc>
                <w:tcPr>
                  <w:tcW w:w="4370" w:type="dxa"/>
                  <w:shd w:val="clear" w:color="auto" w:fill="FFFFFF"/>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空气质量 恶臭的测定 三点比较式臭袋法 GB/T 14675-1996</w:t>
                  </w:r>
                </w:p>
              </w:tc>
              <w:tc>
                <w:tcPr>
                  <w:tcW w:w="1317" w:type="dxa"/>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10无量纲</w:t>
                  </w:r>
                </w:p>
              </w:tc>
            </w:tr>
          </w:tbl>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2、质控措施</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（1）人员：承担监测任务的环境监测站通过资质认定，监测人员持证上岗。</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2）设备：监测过程中使用的仪器设备符合国家有关标准和技术要求。《中华人民共和国强制检定的工作计量器具明细目录》里的仪器设备，经计量检定合格并在有效期内；不属于明细目录里的仪器设备，校准合格并在有效期内使用。</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（3）监测时的工况调查：监测在企业生产设备处于正常运行状态下进行，核查工况，在建设项目竣工环境保护验收技术规范要求的负荷下采样。</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4）采样：采样点位选取应考虑到合适性和代表性，采样严格按技术规范要求进行，采样点位若现场与方案布设的采样点位有出入，在现场记录表格中的右上角用红笔星号（※）做标记以示区别。废气采样时保证采样系统的密封性，测试前气密性检查、校零校标，并提供校准校标记录作为附件；废气采样采集平行样。噪声采样记录上反映监测时的风速，监测时加带风罩，监测前后用标准声源对仪器进行校准，校准结果不超过0.5dB 数据方认为有效。</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（5）样品的保存及运输：凡能做现场测定的项目，均应在现场测定；不能现场测定的，应加保存剂保存并在保存期内测定。</w:t>
            </w:r>
          </w:p>
          <w:p>
            <w:pPr>
              <w:widowControl w:val="0"/>
              <w:adjustRightInd/>
              <w:spacing w:line="360" w:lineRule="auto"/>
              <w:ind w:firstLine="480" w:firstLineChars="200"/>
              <w:jc w:val="both"/>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6）实验室分析：保证实验室条件，实验室用水、使用试剂、器皿符合要求。分析现场采集水质密码样，实验室水质分析、样品分析能做平行双样的加测10%以上平行样。当平行双样测定合格率低于95%时，除对当批样品重新测定外再增加样品数10%～20%的平行样，直至平行双样测定合格率大于95%。平行双样最终结果以双样的平均值报出。有证环境标准样品的带有证环境标准样品进行分析。</w:t>
            </w:r>
          </w:p>
          <w:p>
            <w:pPr>
              <w:widowControl/>
              <w:spacing w:line="360" w:lineRule="auto"/>
              <w:ind w:firstLine="480" w:firstLineChars="200"/>
              <w:jc w:val="both"/>
              <w:rPr>
                <w:color w:val="auto"/>
              </w:rPr>
            </w:pPr>
            <w:r>
              <w:rPr>
                <w:rFonts w:ascii="Times New Roman" w:hAnsi="Times New Roman" w:eastAsia="宋体" w:cs="Times New Roman"/>
                <w:color w:val="auto"/>
                <w:sz w:val="24"/>
                <w:szCs w:val="24"/>
              </w:rPr>
              <w:t>（7）采样记录、分析结果、监测方案及报告均严格执行三级审核制度。</w:t>
            </w:r>
            <w:r>
              <w:rPr>
                <w:rFonts w:hint="eastAsia" w:ascii="Times New Roman" w:hAnsi="Times New Roman" w:eastAsia="宋体" w:cs="Times New Roman"/>
                <w:color w:val="auto"/>
                <w:sz w:val="24"/>
                <w:szCs w:val="24"/>
              </w:rPr>
              <w:t>即所在检测科室的室主任、质控负责人和技术负责人逐级审核，发现问题及时解决，不得进入下一环节。</w:t>
            </w:r>
          </w:p>
          <w:p>
            <w:pPr>
              <w:pStyle w:val="23"/>
              <w:widowControl w:val="0"/>
              <w:rPr>
                <w:color w:val="auto"/>
              </w:rPr>
            </w:pPr>
          </w:p>
          <w:p>
            <w:pPr>
              <w:pStyle w:val="23"/>
              <w:widowControl w:val="0"/>
              <w:rPr>
                <w:color w:val="0000FF"/>
              </w:rPr>
            </w:pPr>
          </w:p>
        </w:tc>
      </w:tr>
    </w:tbl>
    <w:p>
      <w:pPr>
        <w:spacing w:line="360" w:lineRule="auto"/>
        <w:rPr>
          <w:rFonts w:ascii="Times New Roman" w:hAnsi="Times New Roman" w:eastAsia="宋体" w:cs="Times New Roman"/>
          <w:color w:val="0000FF"/>
          <w:sz w:val="21"/>
          <w:szCs w:val="21"/>
        </w:rPr>
      </w:pPr>
    </w:p>
    <w:p>
      <w:pPr>
        <w:spacing w:line="360" w:lineRule="auto"/>
        <w:rPr>
          <w:rFonts w:ascii="Times New Roman" w:hAnsi="Times New Roman" w:eastAsia="宋体" w:cs="Times New Roman"/>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表六</w:t>
      </w:r>
    </w:p>
    <w:tbl>
      <w:tblPr>
        <w:tblStyle w:val="2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6" w:hRule="atLeast"/>
        </w:trPr>
        <w:tc>
          <w:tcPr>
            <w:tcW w:w="8522" w:type="dxa"/>
          </w:tcPr>
          <w:p>
            <w:pPr>
              <w:widowControl/>
              <w:spacing w:line="360" w:lineRule="auto"/>
              <w:jc w:val="both"/>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验收监测内容：</w:t>
            </w:r>
          </w:p>
          <w:p>
            <w:pPr>
              <w:widowControl w:val="0"/>
              <w:adjustRightInd/>
              <w:snapToGrid/>
              <w:spacing w:line="360" w:lineRule="auto"/>
              <w:ind w:firstLine="480" w:firstLineChars="200"/>
              <w:jc w:val="both"/>
              <w:outlineLvl w:val="1"/>
              <w:rPr>
                <w:rFonts w:ascii="Times New Roman" w:hAnsi="Times New Roman" w:eastAsia="宋体" w:cs="Times New Roman"/>
                <w:bCs/>
                <w:color w:val="auto"/>
                <w:sz w:val="24"/>
                <w:szCs w:val="24"/>
              </w:rPr>
            </w:pPr>
            <w:bookmarkStart w:id="8" w:name="_Toc4084"/>
            <w:bookmarkStart w:id="9" w:name="_Toc24246"/>
            <w:r>
              <w:rPr>
                <w:rFonts w:ascii="Times New Roman" w:hAnsi="Times New Roman" w:eastAsia="宋体" w:cs="Times New Roman"/>
                <w:bCs/>
                <w:color w:val="auto"/>
                <w:sz w:val="24"/>
                <w:szCs w:val="24"/>
              </w:rPr>
              <w:t>1、环境保护设施调试效果</w:t>
            </w:r>
            <w:bookmarkEnd w:id="8"/>
            <w:bookmarkEnd w:id="9"/>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通过对各类污染物达标排放排放及各类污染治理设施去除效率的监测，来说明环境保护设施调试效果，具体监测内容如下：</w:t>
            </w:r>
          </w:p>
          <w:p>
            <w:pPr>
              <w:widowControl w:val="0"/>
              <w:numPr>
                <w:ilvl w:val="0"/>
                <w:numId w:val="3"/>
              </w:numPr>
              <w:adjustRightInd/>
              <w:snapToGrid/>
              <w:spacing w:line="360" w:lineRule="auto"/>
              <w:ind w:firstLine="480" w:firstLineChars="200"/>
              <w:jc w:val="both"/>
              <w:rPr>
                <w:rFonts w:hint="eastAsia" w:ascii="Times New Roman" w:hAnsi="Times New Roman" w:eastAsia="宋体" w:cs="Times New Roman"/>
                <w:bCs/>
                <w:color w:val="auto"/>
                <w:sz w:val="24"/>
                <w:szCs w:val="24"/>
                <w:lang w:val="en-US" w:eastAsia="zh-CN"/>
              </w:rPr>
            </w:pPr>
            <w:r>
              <w:rPr>
                <w:rFonts w:ascii="Times New Roman" w:hAnsi="Times New Roman" w:eastAsia="宋体" w:cs="Times New Roman"/>
                <w:bCs/>
                <w:color w:val="auto"/>
                <w:sz w:val="24"/>
                <w:szCs w:val="24"/>
              </w:rPr>
              <w:t>废</w:t>
            </w:r>
            <w:r>
              <w:rPr>
                <w:rFonts w:hint="eastAsia" w:ascii="Times New Roman" w:hAnsi="Times New Roman" w:eastAsia="宋体" w:cs="Times New Roman"/>
                <w:bCs/>
                <w:color w:val="auto"/>
                <w:sz w:val="24"/>
                <w:szCs w:val="24"/>
                <w:lang w:val="en-US" w:eastAsia="zh-CN"/>
              </w:rPr>
              <w:t>水</w:t>
            </w:r>
          </w:p>
          <w:p>
            <w:pPr>
              <w:widowControl/>
              <w:numPr>
                <w:ilvl w:val="0"/>
                <w:numId w:val="0"/>
              </w:numPr>
              <w:spacing w:line="360" w:lineRule="auto"/>
              <w:ind w:firstLine="480" w:firstLineChars="200"/>
              <w:jc w:val="both"/>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lang w:val="en-US" w:eastAsia="zh-CN"/>
              </w:rPr>
              <w:t>本</w:t>
            </w:r>
            <w:r>
              <w:rPr>
                <w:rFonts w:hint="eastAsia" w:ascii="Times New Roman" w:hAnsi="Times New Roman" w:eastAsia="宋体" w:cs="Times New Roman"/>
                <w:color w:val="auto"/>
                <w:sz w:val="24"/>
                <w:szCs w:val="24"/>
                <w:lang w:val="zh-CN" w:eastAsia="zh-CN" w:bidi="ar-SA"/>
              </w:rPr>
              <w:t>项目</w:t>
            </w:r>
            <w:r>
              <w:rPr>
                <w:rFonts w:hint="eastAsia" w:ascii="Times New Roman" w:hAnsi="Times New Roman" w:eastAsia="宋体" w:cs="Times New Roman"/>
                <w:color w:val="auto"/>
                <w:sz w:val="24"/>
                <w:szCs w:val="24"/>
                <w:lang w:val="en-US" w:eastAsia="zh-CN" w:bidi="ar-SA"/>
              </w:rPr>
              <w:t>原料溶解用水全部进入产品，没有废水产生。烘干焙烧废气脱硫除尘水经沉淀后回用，不外排。外排废水为生活污水，生活污水产生量小，且经三级化粪池处理后排入惠安污水处理厂处理，故本次验收不对废水进行监测。</w:t>
            </w:r>
          </w:p>
          <w:p>
            <w:pPr>
              <w:pStyle w:val="3"/>
              <w:widowControl w:val="0"/>
              <w:numPr>
                <w:ilvl w:val="0"/>
                <w:numId w:val="0"/>
              </w:numPr>
              <w:spacing w:line="360" w:lineRule="auto"/>
              <w:ind w:firstLine="480" w:firstLineChars="200"/>
              <w:jc w:val="both"/>
              <w:rPr>
                <w:rFonts w:hint="eastAsia" w:ascii="Times New Roman" w:hAnsi="Times New Roman" w:eastAsia="宋体" w:cs="Times New Roman"/>
                <w:b w:val="0"/>
                <w:bCs/>
                <w:color w:val="auto"/>
                <w:kern w:val="0"/>
                <w:sz w:val="24"/>
                <w:szCs w:val="24"/>
                <w:lang w:val="en-US" w:eastAsia="zh-CN" w:bidi="ar-SA"/>
              </w:rPr>
            </w:pPr>
            <w:r>
              <w:rPr>
                <w:rFonts w:hint="eastAsia" w:ascii="Times New Roman" w:hAnsi="Times New Roman" w:eastAsia="宋体" w:cs="Times New Roman"/>
                <w:b w:val="0"/>
                <w:bCs/>
                <w:color w:val="auto"/>
                <w:kern w:val="0"/>
                <w:sz w:val="24"/>
                <w:szCs w:val="24"/>
                <w:lang w:val="en-US" w:eastAsia="zh-CN" w:bidi="ar-SA"/>
              </w:rPr>
              <w:t>（2）废气</w:t>
            </w:r>
          </w:p>
          <w:p>
            <w:pPr>
              <w:widowControl w:val="0"/>
              <w:adjustRightInd/>
              <w:snapToGri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本次验收废气监测内容明细表见下表。</w:t>
            </w:r>
          </w:p>
          <w:p>
            <w:pPr>
              <w:widowControl w:val="0"/>
              <w:adjustRightInd/>
              <w:snapToGrid/>
              <w:spacing w:beforeLines="5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1</w:t>
            </w:r>
            <w:r>
              <w:rPr>
                <w:rFonts w:ascii="Times New Roman" w:hAnsi="Times New Roman" w:eastAsia="宋体" w:cs="Times New Roman"/>
                <w:b/>
                <w:color w:val="auto"/>
                <w:sz w:val="21"/>
                <w:szCs w:val="21"/>
              </w:rPr>
              <w:t>废气监测明内容细</w:t>
            </w:r>
          </w:p>
          <w:tbl>
            <w:tblPr>
              <w:tblStyle w:val="25"/>
              <w:tblW w:w="794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023"/>
              <w:gridCol w:w="2868"/>
              <w:gridCol w:w="1370"/>
              <w:gridCol w:w="16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jc w:val="center"/>
              </w:trPr>
              <w:tc>
                <w:tcPr>
                  <w:tcW w:w="2023"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2868"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37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473" w:hRule="atLeast"/>
                <w:jc w:val="center"/>
              </w:trPr>
              <w:tc>
                <w:tcPr>
                  <w:tcW w:w="202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颗粒物、二氧化硫、氮氧化物</w:t>
                  </w:r>
                </w:p>
              </w:tc>
              <w:tc>
                <w:tcPr>
                  <w:tcW w:w="2868"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烘干筒废气排气筒进出口</w:t>
                  </w:r>
                </w:p>
              </w:tc>
              <w:tc>
                <w:tcPr>
                  <w:tcW w:w="137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布袋除尘+碱液喷淋</w:t>
                  </w:r>
                </w:p>
              </w:tc>
              <w:tc>
                <w:tcPr>
                  <w:tcW w:w="168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rPr>
                    <w:t>3次/天，2天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473" w:hRule="atLeast"/>
                <w:jc w:val="center"/>
              </w:trPr>
              <w:tc>
                <w:tcPr>
                  <w:tcW w:w="2023"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颗粒物、二氧化硫、氮氧化物</w:t>
                  </w:r>
                </w:p>
              </w:tc>
              <w:tc>
                <w:tcPr>
                  <w:tcW w:w="2868"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造粒废气排气筒进出口</w:t>
                  </w:r>
                </w:p>
              </w:tc>
              <w:tc>
                <w:tcPr>
                  <w:tcW w:w="137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布袋除尘+碱液喷淋</w:t>
                  </w:r>
                </w:p>
              </w:tc>
              <w:tc>
                <w:tcPr>
                  <w:tcW w:w="168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3次/天，2天</w:t>
                  </w:r>
                </w:p>
              </w:tc>
            </w:tr>
          </w:tbl>
          <w:p>
            <w:pPr>
              <w:widowControl w:val="0"/>
              <w:adjustRightInd/>
              <w:spacing w:line="240" w:lineRule="auto"/>
              <w:jc w:val="center"/>
              <w:outlineLvl w:val="2"/>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2无组织</w:t>
            </w:r>
            <w:r>
              <w:rPr>
                <w:rFonts w:ascii="Times New Roman" w:hAnsi="Times New Roman" w:eastAsia="宋体" w:cs="Times New Roman"/>
                <w:b/>
                <w:color w:val="auto"/>
                <w:sz w:val="21"/>
                <w:szCs w:val="21"/>
              </w:rPr>
              <w:t>废气监测明内容细</w:t>
            </w:r>
          </w:p>
          <w:tbl>
            <w:tblPr>
              <w:tblStyle w:val="25"/>
              <w:tblW w:w="794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45"/>
              <w:gridCol w:w="3146"/>
              <w:gridCol w:w="1370"/>
              <w:gridCol w:w="16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jc w:val="center"/>
              </w:trPr>
              <w:tc>
                <w:tcPr>
                  <w:tcW w:w="174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3146"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37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1680"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473" w:hRule="atLeast"/>
                <w:jc w:val="center"/>
              </w:trPr>
              <w:tc>
                <w:tcPr>
                  <w:tcW w:w="1745"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颗粒物、硫化氢、臭气浓度</w:t>
                  </w:r>
                </w:p>
              </w:tc>
              <w:tc>
                <w:tcPr>
                  <w:tcW w:w="3146"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上风向1个点位</w:t>
                  </w:r>
                  <w:r>
                    <w:rPr>
                      <w:rFonts w:hint="eastAsia" w:ascii="Times New Roman" w:hAnsi="Times New Roman" w:eastAsia="宋体" w:cs="Times New Roman"/>
                      <w:bCs/>
                      <w:color w:val="auto"/>
                      <w:sz w:val="21"/>
                      <w:szCs w:val="21"/>
                      <w:lang w:val="en-US" w:eastAsia="zh-CN"/>
                    </w:rPr>
                    <w:br w:type="textWrapping"/>
                  </w:r>
                  <w:r>
                    <w:rPr>
                      <w:rFonts w:hint="eastAsia" w:ascii="Times New Roman" w:hAnsi="Times New Roman" w:eastAsia="宋体" w:cs="Times New Roman"/>
                      <w:bCs/>
                      <w:color w:val="auto"/>
                      <w:sz w:val="21"/>
                      <w:szCs w:val="21"/>
                      <w:lang w:val="en-US" w:eastAsia="zh-CN"/>
                    </w:rPr>
                    <w:t>下风向3个点位</w:t>
                  </w:r>
                  <w:r>
                    <w:rPr>
                      <w:rFonts w:hint="eastAsia" w:ascii="Times New Roman" w:hAnsi="Times New Roman" w:eastAsia="宋体" w:cs="Times New Roman"/>
                      <w:bCs/>
                      <w:color w:val="auto"/>
                      <w:sz w:val="21"/>
                      <w:szCs w:val="21"/>
                      <w:lang w:val="en-US" w:eastAsia="zh-CN"/>
                    </w:rPr>
                    <w:br w:type="textWrapping"/>
                  </w:r>
                  <w:r>
                    <w:rPr>
                      <w:rFonts w:hint="eastAsia" w:ascii="Times New Roman" w:hAnsi="Times New Roman" w:eastAsia="宋体" w:cs="Times New Roman"/>
                      <w:bCs/>
                      <w:color w:val="auto"/>
                      <w:sz w:val="21"/>
                      <w:szCs w:val="21"/>
                      <w:lang w:val="en-US" w:eastAsia="zh-CN"/>
                    </w:rPr>
                    <w:t>厂区内1个点位</w:t>
                  </w:r>
                </w:p>
              </w:tc>
              <w:tc>
                <w:tcPr>
                  <w:tcW w:w="1370" w:type="dxa"/>
                  <w:tcBorders>
                    <w:tl2br w:val="nil"/>
                    <w:tr2bl w:val="nil"/>
                  </w:tcBorders>
                  <w:vAlign w:val="center"/>
                </w:tcPr>
                <w:p>
                  <w:pPr>
                    <w:widowControl w:val="0"/>
                    <w:adjustRightInd/>
                    <w:snapToGrid/>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w:t>
                  </w:r>
                </w:p>
              </w:tc>
              <w:tc>
                <w:tcPr>
                  <w:tcW w:w="168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3次/天，2天</w:t>
                  </w:r>
                </w:p>
              </w:tc>
            </w:tr>
          </w:tbl>
          <w:p>
            <w:pPr>
              <w:widowControl w:val="0"/>
              <w:adjustRightInd/>
              <w:spacing w:line="360" w:lineRule="auto"/>
              <w:ind w:firstLine="480" w:firstLineChars="200"/>
              <w:jc w:val="both"/>
              <w:outlineLvl w:val="2"/>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w:t>
            </w:r>
            <w:r>
              <w:rPr>
                <w:rFonts w:hint="eastAsia" w:ascii="Times New Roman" w:hAnsi="Times New Roman" w:eastAsia="宋体" w:cs="Times New Roman"/>
                <w:bCs/>
                <w:color w:val="auto"/>
                <w:sz w:val="24"/>
                <w:szCs w:val="24"/>
                <w:lang w:val="en-US" w:eastAsia="zh-CN"/>
              </w:rPr>
              <w:t>3</w:t>
            </w:r>
            <w:r>
              <w:rPr>
                <w:rFonts w:ascii="Times New Roman" w:hAnsi="Times New Roman" w:eastAsia="宋体" w:cs="Times New Roman"/>
                <w:bCs/>
                <w:color w:val="auto"/>
                <w:sz w:val="24"/>
                <w:szCs w:val="24"/>
              </w:rPr>
              <w:t>）厂界噪声监测</w:t>
            </w:r>
          </w:p>
          <w:p>
            <w:pPr>
              <w:widowControl w:val="0"/>
              <w:adjustRightInd/>
              <w:spacing w:line="360" w:lineRule="auto"/>
              <w:ind w:firstLine="480" w:firstLineChars="200"/>
              <w:jc w:val="both"/>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t>本次验收厂界噪声监测明细表见下表。</w:t>
            </w:r>
          </w:p>
          <w:p>
            <w:pPr>
              <w:widowControl w:val="0"/>
              <w:adjustRightInd/>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表6-</w:t>
            </w:r>
            <w:r>
              <w:rPr>
                <w:rFonts w:hint="eastAsia" w:ascii="Times New Roman" w:hAnsi="Times New Roman" w:eastAsia="宋体" w:cs="Times New Roman"/>
                <w:b/>
                <w:color w:val="auto"/>
                <w:sz w:val="21"/>
                <w:szCs w:val="21"/>
                <w:lang w:val="en-US" w:eastAsia="zh-CN"/>
              </w:rPr>
              <w:t>3</w:t>
            </w:r>
            <w:r>
              <w:rPr>
                <w:rFonts w:ascii="Times New Roman" w:hAnsi="Times New Roman" w:eastAsia="宋体" w:cs="Times New Roman"/>
                <w:b/>
                <w:color w:val="auto"/>
                <w:sz w:val="21"/>
                <w:szCs w:val="21"/>
              </w:rPr>
              <w:t xml:space="preserve"> 厂界噪声监测内容明细</w:t>
            </w:r>
          </w:p>
          <w:tbl>
            <w:tblPr>
              <w:tblStyle w:val="25"/>
              <w:tblW w:w="795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61"/>
              <w:gridCol w:w="1955"/>
              <w:gridCol w:w="1415"/>
              <w:gridCol w:w="282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61"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监测项目</w:t>
                  </w:r>
                </w:p>
              </w:tc>
              <w:tc>
                <w:tcPr>
                  <w:tcW w:w="195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监测点位</w:t>
                  </w:r>
                </w:p>
              </w:tc>
              <w:tc>
                <w:tcPr>
                  <w:tcW w:w="1415"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环保设施</w:t>
                  </w:r>
                </w:p>
              </w:tc>
              <w:tc>
                <w:tcPr>
                  <w:tcW w:w="2827" w:type="dxa"/>
                  <w:tcBorders>
                    <w:tl2br w:val="nil"/>
                    <w:tr2bl w:val="nil"/>
                  </w:tcBorders>
                  <w:vAlign w:val="center"/>
                </w:tcPr>
                <w:p>
                  <w:pPr>
                    <w:widowControl w:val="0"/>
                    <w:adjustRightInd/>
                    <w:snapToGri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厂界噪声</w:t>
                  </w: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厂界1</w:t>
                  </w:r>
                </w:p>
              </w:tc>
              <w:tc>
                <w:tcPr>
                  <w:tcW w:w="1415" w:type="dxa"/>
                  <w:vMerge w:val="restart"/>
                  <w:tcBorders>
                    <w:tl2br w:val="nil"/>
                    <w:tr2bl w:val="nil"/>
                  </w:tcBorders>
                  <w:vAlign w:val="center"/>
                </w:tcPr>
                <w:p>
                  <w:pPr>
                    <w:widowControl w:val="0"/>
                    <w:adjustRightInd/>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隔声</w:t>
                  </w:r>
                  <w:r>
                    <w:rPr>
                      <w:rFonts w:hint="eastAsia" w:ascii="Times New Roman" w:hAnsi="Times New Roman" w:eastAsia="宋体" w:cs="Times New Roman"/>
                      <w:bCs/>
                      <w:color w:val="auto"/>
                      <w:sz w:val="21"/>
                      <w:szCs w:val="21"/>
                    </w:rPr>
                    <w:t>、合理布局机台</w:t>
                  </w:r>
                </w:p>
              </w:tc>
              <w:tc>
                <w:tcPr>
                  <w:tcW w:w="2827"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昼</w:t>
                  </w:r>
                  <w:r>
                    <w:rPr>
                      <w:rFonts w:hint="eastAsia" w:ascii="Times New Roman" w:hAnsi="Times New Roman" w:eastAsia="宋体" w:cs="Times New Roman"/>
                      <w:bCs/>
                      <w:color w:val="auto"/>
                      <w:sz w:val="21"/>
                      <w:szCs w:val="21"/>
                    </w:rPr>
                    <w:t>间</w:t>
                  </w:r>
                  <w:r>
                    <w:rPr>
                      <w:rFonts w:ascii="Times New Roman" w:hAnsi="Times New Roman" w:eastAsia="宋体" w:cs="Times New Roman"/>
                      <w:bCs/>
                      <w:color w:val="auto"/>
                      <w:sz w:val="21"/>
                      <w:szCs w:val="21"/>
                    </w:rPr>
                    <w:t>1次/天，2天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厂界2</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ascii="Times New Roman" w:hAnsi="Times New Roman" w:eastAsia="宋体" w:cs="Times New Roman"/>
                      <w:bCs/>
                      <w:color w:val="auto"/>
                      <w:sz w:val="21"/>
                      <w:szCs w:val="21"/>
                    </w:rPr>
                  </w:pPr>
                  <w:r>
                    <w:rPr>
                      <w:rFonts w:ascii="Times New Roman" w:hAnsi="Times New Roman" w:eastAsia="宋体" w:cs="Times New Roman"/>
                      <w:color w:val="auto"/>
                      <w:sz w:val="21"/>
                      <w:szCs w:val="21"/>
                    </w:rPr>
                    <w:t>厂界3</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63"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1955"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厂界</w:t>
                  </w:r>
                  <w:r>
                    <w:rPr>
                      <w:rFonts w:hint="eastAsia" w:ascii="Times New Roman" w:hAnsi="Times New Roman" w:eastAsia="宋体" w:cs="Times New Roman"/>
                      <w:color w:val="auto"/>
                      <w:sz w:val="21"/>
                      <w:szCs w:val="21"/>
                      <w:lang w:val="en-US" w:eastAsia="zh-CN"/>
                    </w:rPr>
                    <w:t>4</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auto"/>
                      <w:sz w:val="21"/>
                      <w:szCs w:val="21"/>
                    </w:rPr>
                  </w:pPr>
                </w:p>
              </w:tc>
            </w:tr>
          </w:tbl>
          <w:p>
            <w:pPr>
              <w:pStyle w:val="23"/>
              <w:widowControl w:val="0"/>
              <w:ind w:left="0" w:leftChars="0" w:firstLine="480" w:firstLineChars="200"/>
              <w:jc w:val="both"/>
              <w:rPr>
                <w:rFonts w:hint="eastAsia" w:ascii="Times New Roman" w:hAnsi="Times New Roman" w:eastAsia="宋体" w:cs="Times New Roman"/>
                <w:color w:val="auto"/>
                <w:sz w:val="24"/>
                <w:szCs w:val="24"/>
              </w:rPr>
            </w:pPr>
          </w:p>
          <w:p>
            <w:pPr>
              <w:pStyle w:val="23"/>
              <w:widowControl w:val="0"/>
              <w:ind w:left="0" w:leftChars="0" w:firstLine="480" w:firstLineChars="200"/>
              <w:jc w:val="both"/>
              <w:rPr>
                <w:rFonts w:hint="eastAsia" w:ascii="Times New Roman" w:hAnsi="Times New Roman" w:eastAsia="宋体" w:cs="Times New Roman"/>
                <w:color w:val="auto"/>
                <w:sz w:val="24"/>
                <w:szCs w:val="24"/>
              </w:rPr>
            </w:pPr>
          </w:p>
          <w:p>
            <w:pPr>
              <w:pStyle w:val="23"/>
              <w:widowControl w:val="0"/>
              <w:ind w:left="0" w:leftChars="0" w:firstLine="480" w:firstLineChars="200"/>
              <w:jc w:val="both"/>
              <w:rPr>
                <w:rFonts w:hint="eastAsia" w:ascii="Times New Roman" w:hAnsi="Times New Roman" w:eastAsia="宋体" w:cs="Times New Roman"/>
                <w:color w:val="auto"/>
                <w:sz w:val="24"/>
                <w:szCs w:val="24"/>
              </w:rPr>
            </w:pPr>
          </w:p>
          <w:p>
            <w:pPr>
              <w:pStyle w:val="23"/>
              <w:widowControl w:val="0"/>
              <w:ind w:left="0" w:leftChars="0" w:firstLine="480" w:firstLineChars="200"/>
              <w:jc w:val="both"/>
              <w:rPr>
                <w:rFonts w:hint="eastAsia" w:ascii="Times New Roman" w:hAnsi="Times New Roman" w:eastAsia="宋体" w:cs="Times New Roman"/>
                <w:color w:val="auto"/>
                <w:sz w:val="24"/>
                <w:szCs w:val="24"/>
              </w:rPr>
            </w:pPr>
          </w:p>
          <w:p>
            <w:pPr>
              <w:pStyle w:val="23"/>
              <w:widowControl w:val="0"/>
              <w:ind w:left="0" w:leftChars="0" w:firstLine="480" w:firstLineChars="200"/>
              <w:jc w:val="both"/>
              <w:rPr>
                <w:rFonts w:hint="eastAsia" w:ascii="Times New Roman" w:hAnsi="Times New Roman" w:eastAsia="宋体" w:cs="Times New Roman"/>
                <w:color w:val="auto"/>
                <w:sz w:val="24"/>
                <w:szCs w:val="24"/>
              </w:rPr>
            </w:pPr>
          </w:p>
          <w:p>
            <w:pPr>
              <w:pStyle w:val="23"/>
              <w:widowControl w:val="0"/>
              <w:ind w:left="0" w:leftChars="0" w:firstLine="480" w:firstLineChars="200"/>
              <w:jc w:val="both"/>
              <w:rPr>
                <w:rFonts w:hint="eastAsia" w:ascii="Times New Roman" w:hAnsi="Times New Roman" w:eastAsia="宋体" w:cs="Times New Roman"/>
                <w:color w:val="auto"/>
                <w:sz w:val="24"/>
                <w:szCs w:val="24"/>
              </w:rPr>
            </w:pPr>
          </w:p>
          <w:p>
            <w:pPr>
              <w:pStyle w:val="23"/>
              <w:widowControl w:val="0"/>
              <w:ind w:left="0" w:leftChars="0" w:firstLine="480" w:firstLineChars="200"/>
              <w:jc w:val="both"/>
              <w:rPr>
                <w:rFonts w:hint="eastAsia" w:ascii="Times New Roman" w:hAnsi="Times New Roman" w:eastAsia="宋体" w:cs="Times New Roman"/>
                <w:color w:val="auto"/>
                <w:sz w:val="24"/>
                <w:szCs w:val="24"/>
              </w:rPr>
            </w:pPr>
          </w:p>
          <w:p>
            <w:pPr>
              <w:pStyle w:val="23"/>
              <w:widowControl w:val="0"/>
              <w:ind w:left="0" w:leftChars="0" w:firstLine="480" w:firstLineChars="200"/>
              <w:jc w:val="both"/>
              <w:rPr>
                <w:rFonts w:hint="eastAsia" w:ascii="Times New Roman" w:hAnsi="Times New Roman" w:eastAsia="宋体" w:cs="Times New Roman"/>
                <w:color w:val="auto"/>
                <w:sz w:val="24"/>
                <w:szCs w:val="24"/>
              </w:rPr>
            </w:pPr>
          </w:p>
          <w:p>
            <w:pPr>
              <w:pStyle w:val="23"/>
              <w:widowControl w:val="0"/>
              <w:ind w:left="0" w:leftChars="0" w:firstLine="480" w:firstLineChars="200"/>
              <w:jc w:val="both"/>
              <w:rPr>
                <w:rFonts w:hint="eastAsia" w:ascii="Times New Roman" w:hAnsi="Times New Roman" w:eastAsia="宋体" w:cs="Times New Roman"/>
                <w:color w:val="auto"/>
                <w:sz w:val="24"/>
                <w:szCs w:val="24"/>
              </w:rPr>
            </w:pPr>
          </w:p>
          <w:p>
            <w:pPr>
              <w:pStyle w:val="23"/>
              <w:widowControl w:val="0"/>
              <w:ind w:left="0" w:leftChars="0" w:firstLine="480" w:firstLineChars="200"/>
              <w:jc w:val="both"/>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具体监测点位见图6-1：</w:t>
            </w:r>
          </w:p>
          <w:p>
            <w:pPr>
              <w:pStyle w:val="23"/>
              <w:widowControl w:val="0"/>
              <w:ind w:left="0" w:leftChars="0" w:firstLine="0" w:firstLineChars="0"/>
              <w:jc w:val="both"/>
            </w:pPr>
            <w:r>
              <w:drawing>
                <wp:inline distT="0" distB="0" distL="114300" distR="114300">
                  <wp:extent cx="5270500" cy="3394710"/>
                  <wp:effectExtent l="0" t="0" r="6350" b="1524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3"/>
                          <a:stretch>
                            <a:fillRect/>
                          </a:stretch>
                        </pic:blipFill>
                        <pic:spPr>
                          <a:xfrm>
                            <a:off x="0" y="0"/>
                            <a:ext cx="5270500" cy="3394710"/>
                          </a:xfrm>
                          <a:prstGeom prst="rect">
                            <a:avLst/>
                          </a:prstGeom>
                          <a:noFill/>
                          <a:ln>
                            <a:noFill/>
                          </a:ln>
                        </pic:spPr>
                      </pic:pic>
                    </a:graphicData>
                  </a:graphic>
                </wp:inline>
              </w:drawing>
            </w:r>
          </w:p>
          <w:p>
            <w:pPr>
              <w:pStyle w:val="23"/>
              <w:widowControl w:val="0"/>
              <w:ind w:left="0" w:leftChars="0" w:firstLine="0" w:firstLineChars="0"/>
              <w:jc w:val="both"/>
              <w:rPr>
                <w:rFonts w:hint="eastAsia"/>
                <w:lang w:eastAsia="zh-CN"/>
              </w:rPr>
            </w:pPr>
          </w:p>
          <w:p>
            <w:pPr>
              <w:pStyle w:val="23"/>
              <w:widowControl w:val="0"/>
              <w:ind w:left="0" w:leftChars="0" w:firstLine="0" w:firstLineChars="0"/>
              <w:jc w:val="center"/>
              <w:rPr>
                <w:color w:val="0000FF"/>
              </w:rPr>
            </w:pPr>
            <w:r>
              <w:drawing>
                <wp:inline distT="0" distB="0" distL="114300" distR="114300">
                  <wp:extent cx="5273040" cy="4384040"/>
                  <wp:effectExtent l="0" t="0" r="3810" b="1651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4"/>
                          <a:stretch>
                            <a:fillRect/>
                          </a:stretch>
                        </pic:blipFill>
                        <pic:spPr>
                          <a:xfrm>
                            <a:off x="0" y="0"/>
                            <a:ext cx="5273040" cy="4384040"/>
                          </a:xfrm>
                          <a:prstGeom prst="rect">
                            <a:avLst/>
                          </a:prstGeom>
                          <a:noFill/>
                          <a:ln>
                            <a:noFill/>
                          </a:ln>
                        </pic:spPr>
                      </pic:pic>
                    </a:graphicData>
                  </a:graphic>
                </wp:inline>
              </w:drawing>
            </w:r>
            <w:r>
              <w:rPr>
                <w:rFonts w:hint="eastAsia" w:ascii="Times New Roman" w:hAnsi="Times New Roman" w:eastAsia="宋体" w:cs="Times New Roman"/>
                <w:b/>
                <w:bCs/>
                <w:color w:val="auto"/>
                <w:sz w:val="21"/>
                <w:szCs w:val="21"/>
              </w:rPr>
              <w:t>图6-1 监测点位图</w:t>
            </w:r>
          </w:p>
        </w:tc>
      </w:tr>
    </w:tbl>
    <w:p>
      <w:pPr>
        <w:spacing w:line="360" w:lineRule="auto"/>
        <w:outlineLvl w:val="0"/>
        <w:rPr>
          <w:rFonts w:ascii="Times New Roman" w:hAnsi="Times New Roman" w:eastAsia="宋体" w:cs="Times New Roman"/>
          <w:b/>
          <w:color w:val="0000FF"/>
          <w:sz w:val="21"/>
          <w:szCs w:val="21"/>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表七</w:t>
      </w:r>
    </w:p>
    <w:tbl>
      <w:tblPr>
        <w:tblStyle w:val="2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23" w:hRule="atLeast"/>
        </w:trPr>
        <w:tc>
          <w:tcPr>
            <w:tcW w:w="8522" w:type="dxa"/>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验收监测期间生产工况记录：</w:t>
            </w: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bookmarkStart w:id="10" w:name="_Toc23720"/>
            <w:bookmarkStart w:id="11" w:name="_Toc8105"/>
            <w:r>
              <w:rPr>
                <w:rFonts w:ascii="Times New Roman" w:hAnsi="Times New Roman" w:eastAsia="宋体" w:cs="Times New Roman"/>
                <w:color w:val="000000" w:themeColor="text1"/>
                <w:sz w:val="24"/>
                <w:szCs w:val="24"/>
                <w14:textFill>
                  <w14:solidFill>
                    <w14:schemeClr w14:val="tx1"/>
                  </w14:solidFill>
                </w14:textFill>
              </w:rPr>
              <w:t>1、生产工况</w:t>
            </w:r>
            <w:bookmarkEnd w:id="10"/>
            <w:bookmarkEnd w:id="11"/>
          </w:p>
          <w:p>
            <w:pPr>
              <w:widowControl w:val="0"/>
              <w:adjustRightInd/>
              <w:snapToGrid/>
              <w:spacing w:line="360" w:lineRule="auto"/>
              <w:ind w:firstLine="480" w:firstLineChars="200"/>
              <w:jc w:val="both"/>
              <w:rPr>
                <w:rFonts w:ascii="Times New Roman" w:hAnsi="Times New Roman" w:eastAsia="宋体" w:cs="Times New Roman"/>
                <w:color w:val="0000FF"/>
                <w:sz w:val="24"/>
                <w:szCs w:val="24"/>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厦门威正检测技术有限公司于2021年5月11日—5月12日到泉州玛塔生态科技有限公司进行现场监测，</w:t>
            </w:r>
            <w:r>
              <w:rPr>
                <w:rFonts w:hint="eastAsia" w:ascii="Times New Roman" w:hAnsi="Times New Roman" w:eastAsia="宋体" w:cs="Times New Roman"/>
                <w:color w:val="000000" w:themeColor="text1"/>
                <w:sz w:val="24"/>
                <w:szCs w:val="24"/>
                <w14:textFill>
                  <w14:solidFill>
                    <w14:schemeClr w14:val="tx1"/>
                  </w14:solidFill>
                </w14:textFill>
              </w:rPr>
              <w:t>项目环评设计</w:t>
            </w:r>
            <w:r>
              <w:rPr>
                <w:rFonts w:hint="default" w:ascii="Times New Roman" w:hAnsi="Times New Roman" w:eastAsia="宋体" w:cs="Times New Roman"/>
                <w:color w:val="000000" w:themeColor="text1"/>
                <w:sz w:val="24"/>
                <w:szCs w:val="24"/>
                <w14:textFill>
                  <w14:solidFill>
                    <w14:schemeClr w14:val="tx1"/>
                  </w14:solidFill>
                </w14:textFill>
              </w:rPr>
              <w:t>年产</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10万吨</w:t>
            </w:r>
            <w:r>
              <w:rPr>
                <w:rFonts w:hint="eastAsia" w:ascii="Times New Roman" w:hAnsi="Times New Roman" w:eastAsia="宋体" w:cs="Times New Roman"/>
                <w:color w:val="000000" w:themeColor="text1"/>
                <w:sz w:val="24"/>
                <w:szCs w:val="24"/>
                <w:lang w:eastAsia="zh-CN"/>
                <w14:textFill>
                  <w14:solidFill>
                    <w14:schemeClr w14:val="tx1"/>
                  </w14:solidFill>
                </w14:textFill>
              </w:rPr>
              <w:t>牡蛎壳土壤改良剂、重金属污染耕地修复剂</w:t>
            </w:r>
            <w:r>
              <w:rPr>
                <w:rFonts w:hint="eastAsia" w:ascii="Times New Roman" w:hAnsi="Times New Roman" w:eastAsia="宋体" w:cs="Times New Roman"/>
                <w:color w:val="000000" w:themeColor="text1"/>
                <w:sz w:val="24"/>
                <w:szCs w:val="24"/>
                <w14:textFill>
                  <w14:solidFill>
                    <w14:schemeClr w14:val="tx1"/>
                  </w14:solidFill>
                </w14:textFill>
              </w:rPr>
              <w:t>，目前项目实际生产能力为</w:t>
            </w:r>
            <w:r>
              <w:rPr>
                <w:rFonts w:hint="default" w:ascii="Times New Roman" w:hAnsi="Times New Roman" w:eastAsia="宋体" w:cs="Times New Roman"/>
                <w:color w:val="000000" w:themeColor="text1"/>
                <w:sz w:val="24"/>
                <w:szCs w:val="24"/>
                <w14:textFill>
                  <w14:solidFill>
                    <w14:schemeClr w14:val="tx1"/>
                  </w14:solidFill>
                </w14:textFill>
              </w:rPr>
              <w:t>年产</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10万吨</w:t>
            </w:r>
            <w:r>
              <w:rPr>
                <w:rFonts w:hint="eastAsia" w:ascii="Times New Roman" w:hAnsi="Times New Roman" w:eastAsia="宋体" w:cs="Times New Roman"/>
                <w:color w:val="000000" w:themeColor="text1"/>
                <w:sz w:val="24"/>
                <w:szCs w:val="24"/>
                <w:lang w:eastAsia="zh-CN"/>
                <w14:textFill>
                  <w14:solidFill>
                    <w14:schemeClr w14:val="tx1"/>
                  </w14:solidFill>
                </w14:textFill>
              </w:rPr>
              <w:t>牡蛎壳土壤改良剂、重金属污染耕地修复剂</w:t>
            </w:r>
            <w:r>
              <w:rPr>
                <w:rFonts w:hint="eastAsia" w:ascii="Times New Roman" w:hAnsi="Times New Roman" w:eastAsia="宋体" w:cs="Times New Roman"/>
                <w:color w:val="000000" w:themeColor="text1"/>
                <w:sz w:val="24"/>
                <w:szCs w:val="24"/>
                <w14:textFill>
                  <w14:solidFill>
                    <w14:schemeClr w14:val="tx1"/>
                  </w14:solidFill>
                </w14:textFill>
              </w:rPr>
              <w:t>。在验收期间，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14:textFill>
                  <w14:solidFill>
                    <w14:schemeClr w14:val="tx1"/>
                  </w14:solidFill>
                </w14:textFill>
              </w:rPr>
              <w:t>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11</w:t>
            </w:r>
            <w:r>
              <w:rPr>
                <w:rFonts w:hint="eastAsia" w:ascii="Times New Roman" w:hAnsi="Times New Roman" w:eastAsia="宋体" w:cs="Times New Roman"/>
                <w:color w:val="000000" w:themeColor="text1"/>
                <w:sz w:val="24"/>
                <w:szCs w:val="24"/>
                <w14:textFill>
                  <w14:solidFill>
                    <w14:schemeClr w14:val="tx1"/>
                  </w14:solidFill>
                </w14:textFill>
              </w:rPr>
              <w:t>日</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生产300吨</w:t>
            </w:r>
            <w:r>
              <w:rPr>
                <w:rFonts w:hint="eastAsia" w:ascii="Times New Roman" w:hAnsi="Times New Roman" w:eastAsia="宋体" w:cs="Times New Roman"/>
                <w:color w:val="000000" w:themeColor="text1"/>
                <w:sz w:val="24"/>
                <w:szCs w:val="24"/>
                <w:lang w:eastAsia="zh-CN"/>
                <w14:textFill>
                  <w14:solidFill>
                    <w14:schemeClr w14:val="tx1"/>
                  </w14:solidFill>
                </w14:textFill>
              </w:rPr>
              <w:t>牡蛎壳土壤改良剂、重金属污染耕地修复剂</w:t>
            </w:r>
            <w:r>
              <w:rPr>
                <w:rFonts w:hint="eastAsia" w:ascii="Times New Roman" w:hAnsi="Times New Roman" w:eastAsia="宋体" w:cs="Times New Roman"/>
                <w:color w:val="000000" w:themeColor="text1"/>
                <w:sz w:val="24"/>
                <w:szCs w:val="24"/>
                <w14:textFill>
                  <w14:solidFill>
                    <w14:schemeClr w14:val="tx1"/>
                  </w14:solidFill>
                </w14:textFill>
              </w:rPr>
              <w:t>，生产负荷率为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90</w:t>
            </w:r>
            <w:r>
              <w:rPr>
                <w:rFonts w:hint="eastAsia"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14:textFill>
                  <w14:solidFill>
                    <w14:schemeClr w14:val="tx1"/>
                  </w14:solidFill>
                </w14:textFill>
              </w:rPr>
              <w:t>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12</w:t>
            </w:r>
            <w:r>
              <w:rPr>
                <w:rFonts w:hint="eastAsia" w:ascii="Times New Roman" w:hAnsi="Times New Roman" w:eastAsia="宋体" w:cs="Times New Roman"/>
                <w:color w:val="000000" w:themeColor="text1"/>
                <w:sz w:val="24"/>
                <w:szCs w:val="24"/>
                <w14:textFill>
                  <w14:solidFill>
                    <w14:schemeClr w14:val="tx1"/>
                  </w14:solidFill>
                </w14:textFill>
              </w:rPr>
              <w:t>号</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生产300吨</w:t>
            </w:r>
            <w:r>
              <w:rPr>
                <w:rFonts w:hint="eastAsia" w:ascii="Times New Roman" w:hAnsi="Times New Roman" w:eastAsia="宋体" w:cs="Times New Roman"/>
                <w:color w:val="000000" w:themeColor="text1"/>
                <w:sz w:val="24"/>
                <w:szCs w:val="24"/>
                <w:lang w:eastAsia="zh-CN"/>
                <w14:textFill>
                  <w14:solidFill>
                    <w14:schemeClr w14:val="tx1"/>
                  </w14:solidFill>
                </w14:textFill>
              </w:rPr>
              <w:t>牡蛎壳土壤改良剂、重金属污染耕地修复剂</w:t>
            </w:r>
            <w:r>
              <w:rPr>
                <w:rFonts w:hint="eastAsia" w:ascii="Times New Roman" w:hAnsi="Times New Roman" w:eastAsia="宋体" w:cs="Times New Roman"/>
                <w:color w:val="000000" w:themeColor="text1"/>
                <w:sz w:val="24"/>
                <w:szCs w:val="24"/>
                <w14:textFill>
                  <w14:solidFill>
                    <w14:schemeClr w14:val="tx1"/>
                  </w14:solidFill>
                </w14:textFill>
              </w:rPr>
              <w:t>，生产负荷率为9</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0</w:t>
            </w:r>
            <w:r>
              <w:rPr>
                <w:rFonts w:hint="eastAsia" w:ascii="Times New Roman" w:hAnsi="Times New Roman" w:eastAsia="宋体" w:cs="Times New Roman"/>
                <w:color w:val="000000" w:themeColor="text1"/>
                <w:sz w:val="24"/>
                <w:szCs w:val="24"/>
                <w14:textFill>
                  <w14:solidFill>
                    <w14:schemeClr w14:val="tx1"/>
                  </w14:solidFill>
                </w14:textFill>
              </w:rPr>
              <w:t>%。采样期间的现场工况见下表。</w:t>
            </w:r>
          </w:p>
          <w:p>
            <w:pPr>
              <w:widowControl w:val="0"/>
              <w:adjustRightInd/>
              <w:jc w:val="center"/>
              <w:rPr>
                <w:rFonts w:ascii="Times New Roman" w:hAnsi="Times New Roman" w:eastAsia="宋体" w:cs="Times New Roman"/>
                <w:b/>
                <w:bCs/>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1"/>
                <w:szCs w:val="21"/>
                <w14:textFill>
                  <w14:solidFill>
                    <w14:schemeClr w14:val="tx1"/>
                  </w14:solidFill>
                </w14:textFill>
              </w:rPr>
              <w:t>表7-1 生产负荷表</w:t>
            </w:r>
          </w:p>
          <w:tbl>
            <w:tblPr>
              <w:tblStyle w:val="25"/>
              <w:tblW w:w="4729"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553"/>
              <w:gridCol w:w="1392"/>
              <w:gridCol w:w="2663"/>
              <w:gridCol w:w="995"/>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日期</w:t>
                  </w:r>
                </w:p>
              </w:tc>
              <w:tc>
                <w:tcPr>
                  <w:tcW w:w="990"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环评设计产能</w:t>
                  </w:r>
                </w:p>
              </w:tc>
              <w:tc>
                <w:tcPr>
                  <w:tcW w:w="887"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实际产能</w:t>
                  </w:r>
                </w:p>
              </w:tc>
              <w:tc>
                <w:tcPr>
                  <w:tcW w:w="1697"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采样当天产能</w:t>
                  </w:r>
                </w:p>
              </w:tc>
              <w:tc>
                <w:tcPr>
                  <w:tcW w:w="634"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负荷</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14:textFill>
                        <w14:solidFill>
                          <w14:schemeClr w14:val="tx1"/>
                        </w14:solidFill>
                      </w14:textFill>
                    </w:rPr>
                    <w:t>月</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w:t>
                  </w:r>
                  <w:r>
                    <w:rPr>
                      <w:rFonts w:hint="eastAsia" w:ascii="Times New Roman" w:hAnsi="Times New Roman" w:eastAsia="宋体" w:cs="Times New Roman"/>
                      <w:color w:val="000000" w:themeColor="text1"/>
                      <w:sz w:val="21"/>
                      <w:szCs w:val="21"/>
                      <w14:textFill>
                        <w14:solidFill>
                          <w14:schemeClr w14:val="tx1"/>
                        </w14:solidFill>
                      </w14:textFill>
                    </w:rPr>
                    <w:t>日</w:t>
                  </w:r>
                </w:p>
              </w:tc>
              <w:tc>
                <w:tcPr>
                  <w:tcW w:w="990"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年产</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10万吨</w:t>
                  </w:r>
                  <w:r>
                    <w:rPr>
                      <w:rFonts w:hint="eastAsia" w:ascii="Times New Roman" w:hAnsi="Times New Roman" w:eastAsia="宋体" w:cs="Times New Roman"/>
                      <w:color w:val="000000" w:themeColor="text1"/>
                      <w:sz w:val="21"/>
                      <w:szCs w:val="21"/>
                      <w:lang w:eastAsia="zh-CN"/>
                      <w14:textFill>
                        <w14:solidFill>
                          <w14:schemeClr w14:val="tx1"/>
                        </w14:solidFill>
                      </w14:textFill>
                    </w:rPr>
                    <w:t>牡蛎壳土壤改良剂、重金属污染耕地修复剂</w:t>
                  </w:r>
                </w:p>
              </w:tc>
              <w:tc>
                <w:tcPr>
                  <w:tcW w:w="887"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年产</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10万吨</w:t>
                  </w:r>
                  <w:r>
                    <w:rPr>
                      <w:rFonts w:hint="eastAsia" w:ascii="Times New Roman" w:hAnsi="Times New Roman" w:eastAsia="宋体" w:cs="Times New Roman"/>
                      <w:color w:val="000000" w:themeColor="text1"/>
                      <w:sz w:val="21"/>
                      <w:szCs w:val="21"/>
                      <w:lang w:eastAsia="zh-CN"/>
                      <w14:textFill>
                        <w14:solidFill>
                          <w14:schemeClr w14:val="tx1"/>
                        </w14:solidFill>
                      </w14:textFill>
                    </w:rPr>
                    <w:t>牡蛎壳土壤改良剂、重金属污染耕地修复剂</w:t>
                  </w:r>
                </w:p>
              </w:tc>
              <w:tc>
                <w:tcPr>
                  <w:tcW w:w="1697" w:type="pct"/>
                  <w:tcBorders>
                    <w:tl2br w:val="nil"/>
                    <w:tr2bl w:val="nil"/>
                  </w:tcBorders>
                  <w:vAlign w:val="center"/>
                </w:tcPr>
                <w:p>
                  <w:pPr>
                    <w:widowControl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生产300吨</w:t>
                  </w:r>
                  <w:r>
                    <w:rPr>
                      <w:rFonts w:hint="eastAsia" w:ascii="Times New Roman" w:hAnsi="Times New Roman" w:eastAsia="宋体" w:cs="Times New Roman"/>
                      <w:color w:val="000000" w:themeColor="text1"/>
                      <w:sz w:val="21"/>
                      <w:szCs w:val="21"/>
                      <w:lang w:eastAsia="zh-CN"/>
                      <w14:textFill>
                        <w14:solidFill>
                          <w14:schemeClr w14:val="tx1"/>
                        </w14:solidFill>
                      </w14:textFill>
                    </w:rPr>
                    <w:t>牡蛎壳土壤改良剂、重金属污染耕地修复剂</w:t>
                  </w:r>
                </w:p>
              </w:tc>
              <w:tc>
                <w:tcPr>
                  <w:tcW w:w="634" w:type="pct"/>
                  <w:vMerge w:val="restar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14:textFill>
                        <w14:solidFill>
                          <w14:schemeClr w14:val="tx1"/>
                        </w14:solidFill>
                      </w14:textFill>
                    </w:rPr>
                    <w:t>月</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r>
                    <w:rPr>
                      <w:rFonts w:hint="eastAsia" w:ascii="Times New Roman" w:hAnsi="Times New Roman" w:eastAsia="宋体" w:cs="Times New Roman"/>
                      <w:color w:val="000000" w:themeColor="text1"/>
                      <w:sz w:val="21"/>
                      <w:szCs w:val="21"/>
                      <w14:textFill>
                        <w14:solidFill>
                          <w14:schemeClr w14:val="tx1"/>
                        </w14:solidFill>
                      </w14:textFill>
                    </w:rPr>
                    <w:t>日</w:t>
                  </w:r>
                </w:p>
              </w:tc>
              <w:tc>
                <w:tcPr>
                  <w:tcW w:w="990"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0000FF"/>
                      <w:sz w:val="21"/>
                      <w:szCs w:val="21"/>
                      <w:lang w:val="en-US" w:eastAsia="zh-CN"/>
                    </w:rPr>
                  </w:pPr>
                </w:p>
              </w:tc>
              <w:tc>
                <w:tcPr>
                  <w:tcW w:w="887"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0000FF"/>
                      <w:sz w:val="21"/>
                      <w:szCs w:val="21"/>
                      <w:lang w:val="en-US" w:eastAsia="zh-CN"/>
                    </w:rPr>
                  </w:pPr>
                </w:p>
              </w:tc>
              <w:tc>
                <w:tcPr>
                  <w:tcW w:w="1697" w:type="pct"/>
                  <w:tcBorders>
                    <w:tl2br w:val="nil"/>
                    <w:tr2bl w:val="nil"/>
                  </w:tcBorders>
                  <w:vAlign w:val="center"/>
                </w:tcPr>
                <w:p>
                  <w:pPr>
                    <w:widowControl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生产300吨</w:t>
                  </w:r>
                  <w:r>
                    <w:rPr>
                      <w:rFonts w:hint="eastAsia" w:ascii="Times New Roman" w:hAnsi="Times New Roman" w:eastAsia="宋体" w:cs="Times New Roman"/>
                      <w:color w:val="000000" w:themeColor="text1"/>
                      <w:sz w:val="21"/>
                      <w:szCs w:val="21"/>
                      <w:lang w:eastAsia="zh-CN"/>
                      <w14:textFill>
                        <w14:solidFill>
                          <w14:schemeClr w14:val="tx1"/>
                        </w14:solidFill>
                      </w14:textFill>
                    </w:rPr>
                    <w:t>牡蛎壳土壤改良剂、重金属污染耕地修复剂</w:t>
                  </w:r>
                </w:p>
              </w:tc>
              <w:tc>
                <w:tcPr>
                  <w:tcW w:w="634" w:type="pct"/>
                  <w:vMerge w:val="continue"/>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p>
              </w:tc>
            </w:tr>
          </w:tbl>
          <w:p>
            <w:pPr>
              <w:widowControl/>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w:t>
            </w:r>
            <w:r>
              <w:rPr>
                <w:rFonts w:hint="eastAsia" w:ascii="Times New Roman" w:hAnsi="Times New Roman" w:eastAsia="宋体" w:cs="Times New Roman"/>
                <w:color w:val="000000" w:themeColor="text1"/>
                <w:sz w:val="24"/>
                <w:szCs w:val="24"/>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验收监测结果：</w:t>
            </w:r>
          </w:p>
          <w:p>
            <w:pPr>
              <w:pStyle w:val="31"/>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eastAsia" w:ascii="Times New Roman" w:hAnsi="Times New Roman" w:cs="Times New Roman"/>
                <w:b w:val="0"/>
                <w:bCs w:val="0"/>
                <w:color w:val="000000" w:themeColor="text1"/>
                <w:sz w:val="24"/>
                <w:szCs w:val="24"/>
                <w:lang w:val="en-US" w:eastAsia="zh-CN"/>
                <w14:textFill>
                  <w14:solidFill>
                    <w14:schemeClr w14:val="tx1"/>
                  </w14:solidFill>
                </w14:textFill>
              </w:rPr>
            </w:pPr>
            <w:r>
              <w:rPr>
                <w:rFonts w:ascii="Times New Roman" w:hAnsi="Times New Roman" w:eastAsia="宋体" w:cs="Times New Roman"/>
                <w:b w:val="0"/>
                <w:bCs w:val="0"/>
                <w:color w:val="000000" w:themeColor="text1"/>
                <w:sz w:val="24"/>
                <w:szCs w:val="24"/>
                <w14:textFill>
                  <w14:solidFill>
                    <w14:schemeClr w14:val="tx1"/>
                  </w14:solidFill>
                </w14:textFill>
              </w:rPr>
              <w:t>（1）</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废水</w:t>
            </w:r>
          </w:p>
          <w:p>
            <w:pPr>
              <w:pStyle w:val="31"/>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hint="eastAsia" w:ascii="Times New Roman" w:hAnsi="Times New Roman"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w:t>
            </w:r>
            <w:r>
              <w:rPr>
                <w:rFonts w:hint="eastAsia" w:ascii="Times New Roman" w:hAnsi="Times New Roman" w:eastAsia="宋体" w:cs="Times New Roman"/>
                <w:color w:val="000000" w:themeColor="text1"/>
                <w:sz w:val="24"/>
                <w:szCs w:val="24"/>
                <w:lang w:val="zh-CN" w:eastAsia="zh-CN" w:bidi="ar-SA"/>
                <w14:textFill>
                  <w14:solidFill>
                    <w14:schemeClr w14:val="tx1"/>
                  </w14:solidFill>
                </w14:textFill>
              </w:rPr>
              <w:t>项目</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原料溶解用水全部进入产品，没</w:t>
            </w:r>
            <w:bookmarkStart w:id="13" w:name="_GoBack"/>
            <w:bookmarkEnd w:id="13"/>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有废水产生。烘干焙烧废气脱硫除尘水经沉淀后回用，不外排。外排废水为生活污水，生活污水产生量小，且经三级化粪池处理后排入惠安污水处理厂处理，故本次验收不对废水进行监测。</w:t>
            </w:r>
          </w:p>
          <w:p>
            <w:pPr>
              <w:pStyle w:val="31"/>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jc w:val="left"/>
              <w:textAlignment w:val="auto"/>
              <w:outlineLvl w:val="9"/>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cs="Times New Roman"/>
                <w:b w:val="0"/>
                <w:bCs w:val="0"/>
                <w:color w:val="000000" w:themeColor="text1"/>
                <w:sz w:val="24"/>
                <w:szCs w:val="24"/>
                <w:lang w:eastAsia="zh-CN"/>
                <w14:textFill>
                  <w14:solidFill>
                    <w14:schemeClr w14:val="tx1"/>
                  </w14:solidFill>
                </w14:textFill>
              </w:rPr>
              <w:t>（</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2</w:t>
            </w:r>
            <w:r>
              <w:rPr>
                <w:rFonts w:hint="eastAsia" w:ascii="Times New Roman" w:hAnsi="Times New Roman" w:cs="Times New Roman"/>
                <w:b w:val="0"/>
                <w:bCs w:val="0"/>
                <w:color w:val="000000" w:themeColor="text1"/>
                <w:sz w:val="24"/>
                <w:szCs w:val="24"/>
                <w:lang w:eastAsia="zh-CN"/>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废气</w:t>
            </w:r>
          </w:p>
          <w:p>
            <w:pPr>
              <w:pStyle w:val="31"/>
              <w:spacing w:line="24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废气监测结果见下表。</w:t>
            </w:r>
          </w:p>
          <w:p>
            <w:pPr>
              <w:pStyle w:val="31"/>
              <w:ind w:firstLine="422" w:firstLineChars="20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2</w:t>
            </w:r>
            <w:r>
              <w:rPr>
                <w:rFonts w:ascii="Times New Roman" w:hAnsi="Times New Roman" w:cs="Times New Roman"/>
                <w:b/>
                <w:bCs/>
                <w:color w:val="000000" w:themeColor="text1"/>
                <w:sz w:val="21"/>
                <w:szCs w:val="21"/>
                <w14:textFill>
                  <w14:solidFill>
                    <w14:schemeClr w14:val="tx1"/>
                  </w14:solidFill>
                </w14:textFill>
              </w:rPr>
              <w:t xml:space="preserve"> 废气监测结果</w:t>
            </w:r>
          </w:p>
          <w:tbl>
            <w:tblPr>
              <w:tblStyle w:val="25"/>
              <w:tblW w:w="8306"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5"/>
              <w:gridCol w:w="975"/>
              <w:gridCol w:w="1215"/>
              <w:gridCol w:w="2655"/>
              <w:gridCol w:w="1177"/>
              <w:gridCol w:w="8"/>
              <w:gridCol w:w="1170"/>
              <w:gridCol w:w="70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0" w:hRule="atLeast"/>
                <w:jc w:val="center"/>
              </w:trPr>
              <w:tc>
                <w:tcPr>
                  <w:tcW w:w="405" w:type="dxa"/>
                  <w:vMerge w:val="restart"/>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项目</w:t>
                  </w:r>
                </w:p>
              </w:tc>
              <w:tc>
                <w:tcPr>
                  <w:tcW w:w="975" w:type="dxa"/>
                  <w:vMerge w:val="restart"/>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设施</w:t>
                  </w:r>
                </w:p>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名称</w:t>
                  </w:r>
                </w:p>
              </w:tc>
              <w:tc>
                <w:tcPr>
                  <w:tcW w:w="3870" w:type="dxa"/>
                  <w:gridSpan w:val="2"/>
                  <w:vMerge w:val="restart"/>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-68580</wp:posOffset>
                            </wp:positionH>
                            <wp:positionV relativeFrom="paragraph">
                              <wp:posOffset>20955</wp:posOffset>
                            </wp:positionV>
                            <wp:extent cx="2059940" cy="323215"/>
                            <wp:effectExtent l="635" t="4445" r="15875" b="15240"/>
                            <wp:wrapNone/>
                            <wp:docPr id="187" name="直接连接符 187"/>
                            <wp:cNvGraphicFramePr/>
                            <a:graphic xmlns:a="http://schemas.openxmlformats.org/drawingml/2006/main">
                              <a:graphicData uri="http://schemas.microsoft.com/office/word/2010/wordprocessingShape">
                                <wps:wsp>
                                  <wps:cNvCnPr/>
                                  <wps:spPr>
                                    <a:xfrm>
                                      <a:off x="2165985" y="6535420"/>
                                      <a:ext cx="2059940" cy="3232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pt;margin-top:1.65pt;height:25.45pt;width:162.2pt;z-index:251659264;mso-width-relative:page;mso-height-relative:page;" filled="f" stroked="t" coordsize="21600,21600" o:gfxdata="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xi5g/XAAAACAEAAA8AAAAAAAAAAQAgAAAAIgAAAGRycy9kb3ducmV2LnhtbFBL&#10;AQIUABQAAAAIAIdO4kA0/eKQ9wEAAMYDAAAOAAAAAAAAAAEAIAAAACYBAABkcnMvZTJvRG9jLnht&#10;bFBLBQYAAAAABgAGAFkBAACPBQAAAAA=&#10;">
                            <v:fill on="f" focussize="0,0"/>
                            <v:stroke weight="0.5pt" color="#000000 [3213]" miterlimit="8" joinstyle="miter"/>
                            <v:imagedata o:title=""/>
                            <o:lock v:ext="edit" aspectratio="f"/>
                          </v:line>
                        </w:pict>
                      </mc:Fallback>
                    </mc:AlternateContent>
                  </w: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 xml:space="preserve">                 监测内容</w:t>
                  </w:r>
                </w:p>
                <w:p>
                  <w:pPr>
                    <w:pStyle w:val="31"/>
                    <w:ind w:firstLine="422" w:firstLineChars="200"/>
                    <w:jc w:val="both"/>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监测点位</w:t>
                  </w:r>
                </w:p>
              </w:tc>
              <w:tc>
                <w:tcPr>
                  <w:tcW w:w="2355" w:type="dxa"/>
                  <w:gridSpan w:val="3"/>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监测结果</w:t>
                  </w:r>
                </w:p>
              </w:tc>
              <w:tc>
                <w:tcPr>
                  <w:tcW w:w="701" w:type="dxa"/>
                  <w:vMerge w:val="restart"/>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标准</w:t>
                  </w:r>
                </w:p>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限值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3870" w:type="dxa"/>
                  <w:gridSpan w:val="2"/>
                  <w:vMerge w:val="continue"/>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p>
              </w:tc>
              <w:tc>
                <w:tcPr>
                  <w:tcW w:w="1185" w:type="dxa"/>
                  <w:gridSpan w:val="2"/>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z w:val="21"/>
                      <w:szCs w:val="21"/>
                      <w:vertAlign w:val="baseline"/>
                      <w:lang w:val="en-US" w:eastAsia="zh-CN"/>
                      <w14:textFill>
                        <w14:solidFill>
                          <w14:schemeClr w14:val="tx1"/>
                        </w14:solidFill>
                      </w14:textFill>
                    </w:rPr>
                    <w:t>20210511</w:t>
                  </w:r>
                </w:p>
              </w:tc>
              <w:tc>
                <w:tcPr>
                  <w:tcW w:w="1170" w:type="dxa"/>
                  <w:tcBorders>
                    <w:tl2br w:val="nil"/>
                    <w:tr2bl w:val="nil"/>
                  </w:tcBorders>
                  <w:vAlign w:val="center"/>
                </w:tcPr>
                <w:p>
                  <w:pPr>
                    <w:pStyle w:val="31"/>
                    <w:jc w:val="cente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z w:val="21"/>
                      <w:szCs w:val="21"/>
                      <w:vertAlign w:val="baseline"/>
                      <w:lang w:val="en-US" w:eastAsia="zh-CN"/>
                      <w14:textFill>
                        <w14:solidFill>
                          <w14:schemeClr w14:val="tx1"/>
                        </w14:solidFill>
                      </w14:textFill>
                    </w:rPr>
                    <w:t>20210512</w:t>
                  </w:r>
                </w:p>
              </w:tc>
              <w:tc>
                <w:tcPr>
                  <w:tcW w:w="701"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废气</w:t>
                  </w:r>
                </w:p>
              </w:tc>
              <w:tc>
                <w:tcPr>
                  <w:tcW w:w="97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w:t>
                  </w:r>
                </w:p>
              </w:tc>
              <w:tc>
                <w:tcPr>
                  <w:tcW w:w="1215" w:type="dxa"/>
                  <w:vMerge w:val="restart"/>
                  <w:tcBorders>
                    <w:tl2br w:val="nil"/>
                    <w:tr2bl w:val="nil"/>
                  </w:tcBorders>
                  <w:vAlign w:val="center"/>
                </w:tcPr>
                <w:p>
                  <w:pPr>
                    <w:pStyle w:val="31"/>
                    <w:jc w:val="cente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烘干筒废气排气筒进口〇A</w:t>
                  </w:r>
                </w:p>
              </w:tc>
              <w:tc>
                <w:tcPr>
                  <w:tcW w:w="2655" w:type="dxa"/>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sz w:val="21"/>
                      <w:szCs w:val="21"/>
                      <w:vertAlign w:val="baseline"/>
                      <w:lang w:val="en-US" w:eastAsia="zh-CN"/>
                      <w14:textFill>
                        <w14:solidFill>
                          <w14:schemeClr w14:val="tx1"/>
                        </w14:solidFill>
                      </w14:textFill>
                    </w:rPr>
                    <w:t>标杆流量</w:t>
                  </w:r>
                  <w:r>
                    <w:rPr>
                      <w:rFonts w:hint="default" w:ascii="Times New Roman" w:hAnsi="Times New Roman" w:eastAsia="宋体" w:cs="Times New Roman"/>
                      <w:b w:val="0"/>
                      <w:bCs w:val="0"/>
                      <w:color w:val="000000" w:themeColor="text1"/>
                      <w:szCs w:val="21"/>
                      <w14:textFill>
                        <w14:solidFill>
                          <w14:schemeClr w14:val="tx1"/>
                        </w14:solidFill>
                      </w14:textFill>
                    </w:rPr>
                    <w:t>m</w:t>
                  </w:r>
                  <w:r>
                    <w:rPr>
                      <w:rFonts w:hint="default" w:ascii="Times New Roman" w:hAnsi="Times New Roman" w:eastAsia="宋体" w:cs="Times New Roman"/>
                      <w:b w:val="0"/>
                      <w:bCs w:val="0"/>
                      <w:color w:val="000000" w:themeColor="text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Cs w:val="21"/>
                      <w14:textFill>
                        <w14:solidFill>
                          <w14:schemeClr w14:val="tx1"/>
                        </w14:solidFill>
                      </w14:textFill>
                    </w:rPr>
                    <w:t>/h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14500</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14400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15.3</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15.9</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36.7</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38.2</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0.222</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0.229</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35</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35</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84</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84</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0.508</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0.504</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54</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55</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130</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132</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0.783</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0.792</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布袋除尘+碱液喷淋</w:t>
                  </w:r>
                </w:p>
              </w:tc>
              <w:tc>
                <w:tcPr>
                  <w:tcW w:w="121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烘干筒废气排气筒</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出口</w:t>
                  </w: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〇B</w:t>
                  </w:r>
                </w:p>
              </w:tc>
              <w:tc>
                <w:tcPr>
                  <w:tcW w:w="2655" w:type="dxa"/>
                  <w:tcBorders>
                    <w:tl2br w:val="nil"/>
                    <w:tr2bl w:val="nil"/>
                  </w:tcBorders>
                  <w:vAlign w:val="center"/>
                </w:tcPr>
                <w:p>
                  <w:pPr>
                    <w:pStyle w:val="31"/>
                    <w:jc w:val="cente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sz w:val="21"/>
                      <w:szCs w:val="21"/>
                      <w:vertAlign w:val="baseline"/>
                      <w:lang w:val="en-US" w:eastAsia="zh-CN"/>
                      <w14:textFill>
                        <w14:solidFill>
                          <w14:schemeClr w14:val="tx1"/>
                        </w14:solidFill>
                      </w14:textFill>
                    </w:rPr>
                    <w:t>标杆流量</w:t>
                  </w:r>
                  <w:r>
                    <w:rPr>
                      <w:rFonts w:hint="default" w:ascii="Times New Roman" w:hAnsi="Times New Roman" w:eastAsia="宋体" w:cs="Times New Roman"/>
                      <w:b w:val="0"/>
                      <w:bCs w:val="0"/>
                      <w:color w:val="000000" w:themeColor="text1"/>
                      <w:szCs w:val="21"/>
                      <w14:textFill>
                        <w14:solidFill>
                          <w14:schemeClr w14:val="tx1"/>
                        </w14:solidFill>
                      </w14:textFill>
                    </w:rPr>
                    <w:t>m</w:t>
                  </w:r>
                  <w:r>
                    <w:rPr>
                      <w:rFonts w:hint="default" w:ascii="Times New Roman" w:hAnsi="Times New Roman" w:eastAsia="宋体" w:cs="Times New Roman"/>
                      <w:b w:val="0"/>
                      <w:bCs w:val="0"/>
                      <w:color w:val="000000" w:themeColor="text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Cs w:val="21"/>
                      <w14:textFill>
                        <w14:solidFill>
                          <w14:schemeClr w14:val="tx1"/>
                        </w14:solidFill>
                      </w14:textFill>
                    </w:rPr>
                    <w:t>/h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12800</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12700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1.6</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2.0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4.4</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5.6</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0.020</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0.025</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23</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24</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63</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67</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0.294</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0.305</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38</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36</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104</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100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0.486</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0.457</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烟气黑度</w:t>
                  </w:r>
                </w:p>
              </w:tc>
              <w:tc>
                <w:tcPr>
                  <w:tcW w:w="2355"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w:t>
                  </w:r>
                </w:p>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造粒废气排气筒进口〇C</w:t>
                  </w:r>
                </w:p>
              </w:tc>
              <w:tc>
                <w:tcPr>
                  <w:tcW w:w="2655" w:type="dxa"/>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sz w:val="21"/>
                      <w:szCs w:val="21"/>
                      <w:vertAlign w:val="baseline"/>
                      <w:lang w:val="en-US" w:eastAsia="zh-CN"/>
                      <w14:textFill>
                        <w14:solidFill>
                          <w14:schemeClr w14:val="tx1"/>
                        </w14:solidFill>
                      </w14:textFill>
                    </w:rPr>
                    <w:t>标杆流量</w:t>
                  </w:r>
                  <w:r>
                    <w:rPr>
                      <w:rFonts w:hint="default" w:ascii="Times New Roman" w:hAnsi="Times New Roman" w:eastAsia="宋体" w:cs="Times New Roman"/>
                      <w:b w:val="0"/>
                      <w:bCs w:val="0"/>
                      <w:color w:val="000000" w:themeColor="text1"/>
                      <w:szCs w:val="21"/>
                      <w14:textFill>
                        <w14:solidFill>
                          <w14:schemeClr w14:val="tx1"/>
                        </w14:solidFill>
                      </w14:textFill>
                    </w:rPr>
                    <w:t>m</w:t>
                  </w:r>
                  <w:r>
                    <w:rPr>
                      <w:rFonts w:hint="default" w:ascii="Times New Roman" w:hAnsi="Times New Roman" w:eastAsia="宋体" w:cs="Times New Roman"/>
                      <w:b w:val="0"/>
                      <w:bCs w:val="0"/>
                      <w:color w:val="000000" w:themeColor="text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Cs w:val="21"/>
                      <w14:textFill>
                        <w14:solidFill>
                          <w14:schemeClr w14:val="tx1"/>
                        </w14:solidFill>
                      </w14:textFill>
                    </w:rPr>
                    <w:t>/h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11300</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11300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14.4</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14.7</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41.1</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43.0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0.163</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0.166</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6</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7</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17</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20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0.068</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0.079</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43</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44</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123</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129</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0.486</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0.497</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布袋除尘+碱液喷淋</w:t>
                  </w:r>
                </w:p>
              </w:tc>
              <w:tc>
                <w:tcPr>
                  <w:tcW w:w="121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造粒废气排气筒出口〇D</w:t>
                  </w:r>
                </w:p>
              </w:tc>
              <w:tc>
                <w:tcPr>
                  <w:tcW w:w="2655" w:type="dxa"/>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sz w:val="21"/>
                      <w:szCs w:val="21"/>
                      <w:vertAlign w:val="baseline"/>
                      <w:lang w:val="en-US" w:eastAsia="zh-CN"/>
                      <w14:textFill>
                        <w14:solidFill>
                          <w14:schemeClr w14:val="tx1"/>
                        </w14:solidFill>
                      </w14:textFill>
                    </w:rPr>
                    <w:t>标杆流量</w:t>
                  </w:r>
                  <w:r>
                    <w:rPr>
                      <w:rFonts w:hint="default" w:ascii="Times New Roman" w:hAnsi="Times New Roman" w:eastAsia="宋体" w:cs="Times New Roman"/>
                      <w:b w:val="0"/>
                      <w:bCs w:val="0"/>
                      <w:color w:val="000000" w:themeColor="text1"/>
                      <w:szCs w:val="21"/>
                      <w14:textFill>
                        <w14:solidFill>
                          <w14:schemeClr w14:val="tx1"/>
                        </w14:solidFill>
                      </w14:textFill>
                    </w:rPr>
                    <w:t>m</w:t>
                  </w:r>
                  <w:r>
                    <w:rPr>
                      <w:rFonts w:hint="default" w:ascii="Times New Roman" w:hAnsi="Times New Roman" w:eastAsia="宋体" w:cs="Times New Roman"/>
                      <w:b w:val="0"/>
                      <w:bCs w:val="0"/>
                      <w:color w:val="000000" w:themeColor="text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Cs w:val="21"/>
                      <w14:textFill>
                        <w14:solidFill>
                          <w14:schemeClr w14:val="tx1"/>
                        </w14:solidFill>
                      </w14:textFill>
                    </w:rPr>
                    <w:t>/h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9330</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9310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2.4</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2.4</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9.0</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9.0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0.022</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0.022</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二氧化硫排放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37</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35</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氮氧化物折算</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139</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131</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氮氧化物排放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85"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0.345</w:t>
                  </w:r>
                </w:p>
              </w:tc>
              <w:tc>
                <w:tcPr>
                  <w:tcW w:w="11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0.326</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烟气黑度</w:t>
                  </w:r>
                </w:p>
              </w:tc>
              <w:tc>
                <w:tcPr>
                  <w:tcW w:w="2355"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＜1</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4845" w:type="dxa"/>
                  <w:gridSpan w:val="3"/>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bCs/>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i w:val="0"/>
                      <w:iCs w:val="0"/>
                      <w:color w:val="000000" w:themeColor="text1"/>
                      <w:kern w:val="0"/>
                      <w:sz w:val="21"/>
                      <w:szCs w:val="21"/>
                      <w:vertAlign w:val="baseline"/>
                      <w:lang w:val="en-US" w:eastAsia="zh-CN" w:bidi="ar-SA"/>
                      <w14:textFill>
                        <w14:solidFill>
                          <w14:schemeClr w14:val="tx1"/>
                        </w14:solidFill>
                      </w14:textFill>
                    </w:rPr>
                    <w:t>日期</w:t>
                  </w:r>
                </w:p>
              </w:tc>
              <w:tc>
                <w:tcPr>
                  <w:tcW w:w="117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bCs/>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i w:val="0"/>
                      <w:iCs w:val="0"/>
                      <w:color w:val="000000" w:themeColor="text1"/>
                      <w:kern w:val="0"/>
                      <w:sz w:val="21"/>
                      <w:szCs w:val="21"/>
                      <w:vertAlign w:val="baseline"/>
                      <w:lang w:val="en-US" w:eastAsia="zh-CN" w:bidi="ar-SA"/>
                      <w14:textFill>
                        <w14:solidFill>
                          <w14:schemeClr w14:val="tx1"/>
                        </w14:solidFill>
                      </w14:textFill>
                    </w:rPr>
                    <w:t>20210309</w:t>
                  </w:r>
                </w:p>
              </w:tc>
              <w:tc>
                <w:tcPr>
                  <w:tcW w:w="11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bCs/>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i w:val="0"/>
                      <w:iCs w:val="0"/>
                      <w:color w:val="000000" w:themeColor="text1"/>
                      <w:kern w:val="0"/>
                      <w:sz w:val="21"/>
                      <w:szCs w:val="21"/>
                      <w:vertAlign w:val="baseline"/>
                      <w:lang w:val="en-US" w:eastAsia="zh-CN" w:bidi="ar-SA"/>
                      <w14:textFill>
                        <w14:solidFill>
                          <w14:schemeClr w14:val="tx1"/>
                        </w14:solidFill>
                      </w14:textFill>
                    </w:rPr>
                    <w:t>20210310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布袋除尘</w:t>
                  </w:r>
                </w:p>
              </w:tc>
              <w:tc>
                <w:tcPr>
                  <w:tcW w:w="1215" w:type="dxa"/>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成品冷却废气排气筒出口</w:t>
                  </w: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〇</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H</w:t>
                  </w:r>
                </w:p>
              </w:tc>
              <w:tc>
                <w:tcPr>
                  <w:tcW w:w="2655" w:type="dxa"/>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sz w:val="21"/>
                      <w:szCs w:val="21"/>
                      <w:vertAlign w:val="baseline"/>
                      <w:lang w:val="en-US" w:eastAsia="zh-CN"/>
                      <w14:textFill>
                        <w14:solidFill>
                          <w14:schemeClr w14:val="tx1"/>
                        </w14:solidFill>
                      </w14:textFill>
                    </w:rPr>
                    <w:t>标杆流量</w:t>
                  </w:r>
                  <w:r>
                    <w:rPr>
                      <w:rFonts w:hint="default" w:ascii="Times New Roman" w:hAnsi="Times New Roman" w:eastAsia="宋体" w:cs="Times New Roman"/>
                      <w:b w:val="0"/>
                      <w:bCs w:val="0"/>
                      <w:color w:val="000000" w:themeColor="text1"/>
                      <w:szCs w:val="21"/>
                      <w14:textFill>
                        <w14:solidFill>
                          <w14:schemeClr w14:val="tx1"/>
                        </w14:solidFill>
                      </w14:textFill>
                    </w:rPr>
                    <w:t>m</w:t>
                  </w:r>
                  <w:r>
                    <w:rPr>
                      <w:rFonts w:hint="default" w:ascii="Times New Roman" w:hAnsi="Times New Roman" w:eastAsia="宋体" w:cs="Times New Roman"/>
                      <w:b w:val="0"/>
                      <w:bCs w:val="0"/>
                      <w:color w:val="000000" w:themeColor="text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Cs w:val="21"/>
                      <w14:textFill>
                        <w14:solidFill>
                          <w14:schemeClr w14:val="tx1"/>
                        </w14:solidFill>
                      </w14:textFill>
                    </w:rPr>
                    <w:t>/h</w:t>
                  </w:r>
                </w:p>
              </w:tc>
              <w:tc>
                <w:tcPr>
                  <w:tcW w:w="117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28100</w:t>
                  </w:r>
                </w:p>
              </w:tc>
              <w:tc>
                <w:tcPr>
                  <w:tcW w:w="11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28100</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颗粒物实测</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浓度(mg/m³)</w:t>
                  </w:r>
                </w:p>
              </w:tc>
              <w:tc>
                <w:tcPr>
                  <w:tcW w:w="117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7.3</w:t>
                  </w:r>
                </w:p>
              </w:tc>
              <w:tc>
                <w:tcPr>
                  <w:tcW w:w="11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7.8</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t>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97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1215" w:type="dxa"/>
                  <w:vMerge w:val="continue"/>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65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颗粒物排放</w:t>
                  </w:r>
                  <w:r>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速率(kg/h）</w:t>
                  </w:r>
                </w:p>
              </w:tc>
              <w:tc>
                <w:tcPr>
                  <w:tcW w:w="1177"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0.205</w:t>
                  </w:r>
                </w:p>
              </w:tc>
              <w:tc>
                <w:tcPr>
                  <w:tcW w:w="1178" w:type="dxa"/>
                  <w:gridSpan w:val="2"/>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vertAlign w:val="baseline"/>
                      <w:lang w:val="en-US" w:eastAsia="zh-CN" w:bidi="ar-SA"/>
                      <w14:textFill>
                        <w14:solidFill>
                          <w14:schemeClr w14:val="tx1"/>
                        </w14:solidFill>
                      </w14:textFill>
                    </w:rPr>
                    <w:t>0.219</w:t>
                  </w:r>
                </w:p>
              </w:tc>
              <w:tc>
                <w:tcPr>
                  <w:tcW w:w="70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000000" w:themeColor="text1"/>
                      <w:sz w:val="21"/>
                      <w:szCs w:val="21"/>
                      <w:vertAlign w:val="baseline"/>
                      <w:lang w:val="en-US" w:eastAsia="zh-CN" w:bidi="ar-SA"/>
                      <w14:textFill>
                        <w14:solidFill>
                          <w14:schemeClr w14:val="tx1"/>
                        </w14:solidFill>
                      </w14:textFill>
                    </w:rPr>
                  </w:pPr>
                </w:p>
              </w:tc>
            </w:tr>
          </w:tbl>
          <w:p>
            <w:pPr>
              <w:pStyle w:val="23"/>
              <w:widowControl w:val="0"/>
              <w:numPr>
                <w:ilvl w:val="0"/>
                <w:numId w:val="0"/>
              </w:numPr>
              <w:spacing w:after="60" w:line="360" w:lineRule="auto"/>
              <w:ind w:leftChars="0" w:firstLine="480" w:firstLineChars="200"/>
              <w:jc w:val="both"/>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由上表7-</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2</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监测结果可知，</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项目</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有组织废气颗粒物、二氧化硫、氮氧化物排放满足</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《无机化学工业污染物排放标准》(GB31573-2015）中表3大气污染物排放限值</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。即：颗粒物≤30mg/m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；氮氧化物≤200mg/m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；二氧化硫≤100mg/m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vertAlign w:val="baseline"/>
                <w:lang w:val="en-US" w:eastAsia="zh-CN" w:bidi="ar-SA"/>
                <w14:textFill>
                  <w14:solidFill>
                    <w14:schemeClr w14:val="tx1"/>
                  </w14:solidFill>
                </w14:textFill>
              </w:rPr>
              <w:t>。</w:t>
            </w:r>
          </w:p>
          <w:p>
            <w:pPr>
              <w:pStyle w:val="31"/>
              <w:ind w:firstLine="422" w:firstLineChars="20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3</w:t>
            </w:r>
            <w:r>
              <w:rPr>
                <w:rFonts w:ascii="Times New Roman" w:hAnsi="Times New Roman" w:cs="Times New Roman"/>
                <w:b/>
                <w:bCs/>
                <w:color w:val="000000" w:themeColor="text1"/>
                <w:sz w:val="21"/>
                <w:szCs w:val="21"/>
                <w14:textFill>
                  <w14:solidFill>
                    <w14:schemeClr w14:val="tx1"/>
                  </w14:solidFill>
                </w14:textFill>
              </w:rPr>
              <w:t xml:space="preserve"> 无组织废气监测结果</w:t>
            </w:r>
          </w:p>
          <w:tbl>
            <w:tblPr>
              <w:tblStyle w:val="25"/>
              <w:tblW w:w="4933"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257"/>
              <w:gridCol w:w="1419"/>
              <w:gridCol w:w="1072"/>
              <w:gridCol w:w="1016"/>
              <w:gridCol w:w="1046"/>
              <w:gridCol w:w="1174"/>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pct"/>
                  <w:vMerge w:val="restar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w:t>
                  </w:r>
                </w:p>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时间</w:t>
                  </w:r>
                </w:p>
              </w:tc>
              <w:tc>
                <w:tcPr>
                  <w:tcW w:w="768" w:type="pct"/>
                  <w:vMerge w:val="restar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监测点位</w:t>
                  </w:r>
                </w:p>
              </w:tc>
              <w:tc>
                <w:tcPr>
                  <w:tcW w:w="867" w:type="pct"/>
                  <w:vMerge w:val="restar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分析</w:t>
                  </w:r>
                </w:p>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w:t>
                  </w:r>
                </w:p>
              </w:tc>
              <w:tc>
                <w:tcPr>
                  <w:tcW w:w="2632" w:type="pct"/>
                  <w:gridSpan w:val="4"/>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监测结果</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655" w:type="pc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w:t>
                  </w:r>
                </w:p>
              </w:tc>
              <w:tc>
                <w:tcPr>
                  <w:tcW w:w="621" w:type="pc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w:t>
                  </w:r>
                </w:p>
              </w:tc>
              <w:tc>
                <w:tcPr>
                  <w:tcW w:w="639" w:type="pc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w:t>
                  </w:r>
                </w:p>
              </w:tc>
              <w:tc>
                <w:tcPr>
                  <w:tcW w:w="716" w:type="pc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最大值</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731" w:type="pct"/>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20210309</w:t>
                  </w:r>
                </w:p>
              </w:tc>
              <w:tc>
                <w:tcPr>
                  <w:tcW w:w="768" w:type="pct"/>
                  <w:vMerge w:val="restart"/>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A</w:t>
                  </w:r>
                </w:p>
              </w:tc>
              <w:tc>
                <w:tcPr>
                  <w:tcW w:w="867"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0.134</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0.101</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0.117</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0.134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硫化氢</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1016" w:type="dxa"/>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1046" w:type="dxa"/>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臭气浓度</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1016" w:type="dxa"/>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1046" w:type="dxa"/>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restart"/>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B</w:t>
                  </w:r>
                </w:p>
              </w:tc>
              <w:tc>
                <w:tcPr>
                  <w:tcW w:w="867"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0.336</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0.352</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0.386</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0.386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硫化氢</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0.004</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0.006</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0.006</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臭气浓度</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restart"/>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C</w:t>
                  </w: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0.43</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0.421</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0.455</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0.455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硫化氢</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0.007</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0.008</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0.009</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臭气浓度</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16</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17</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restar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D</w:t>
                  </w: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0.268</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0.285</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0.235</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0.285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硫化氢</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0.002</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0.003</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臭气浓度</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restart"/>
                  <w:tcBorders>
                    <w:tl2br w:val="nil"/>
                    <w:tr2bl w:val="nil"/>
                  </w:tcBorders>
                  <w:vAlign w:val="center"/>
                </w:tcPr>
                <w:p>
                  <w:pPr>
                    <w:pStyle w:val="31"/>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20210310</w:t>
                  </w:r>
                </w:p>
              </w:tc>
              <w:tc>
                <w:tcPr>
                  <w:tcW w:w="768" w:type="pct"/>
                  <w:vMerge w:val="restar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A</w:t>
                  </w: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0.100</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0.117</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0.151</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0.151</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硫化氢</w:t>
                  </w:r>
                </w:p>
              </w:tc>
              <w:tc>
                <w:tcPr>
                  <w:tcW w:w="1072" w:type="dxa"/>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1016" w:type="dxa"/>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1046" w:type="dxa"/>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臭气浓度</w:t>
                  </w:r>
                </w:p>
              </w:tc>
              <w:tc>
                <w:tcPr>
                  <w:tcW w:w="1072" w:type="dxa"/>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1016" w:type="dxa"/>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1046" w:type="dxa"/>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restar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B</w:t>
                  </w: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0.369</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0.403</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0.353</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0.403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硫化氢</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0.005</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0.006</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0.007</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0.007</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臭气浓度</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restart"/>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C</w:t>
                  </w: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颗粒物</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0.472</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0.489</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0.456</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0.489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硫化氢</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0.008</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0.009</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0.009</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臭气浓度</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16</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17</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17</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restart"/>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上风向〇</w:t>
                  </w:r>
                  <w:r>
                    <w:rPr>
                      <w:rFonts w:hint="eastAsia" w:ascii="Times New Roman" w:hAnsi="Times New Roman" w:cs="Times New Roman"/>
                      <w:color w:val="000000" w:themeColor="text1"/>
                      <w:sz w:val="21"/>
                      <w:szCs w:val="21"/>
                      <w:lang w:val="en-US" w:eastAsia="zh-CN"/>
                      <w14:textFill>
                        <w14:solidFill>
                          <w14:schemeClr w14:val="tx1"/>
                        </w14:solidFill>
                      </w14:textFill>
                    </w:rPr>
                    <w:t>D</w:t>
                  </w: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0.235</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0.251</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0.302</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0.302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硫化氢</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0.002</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0.002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731" w:type="pct"/>
                  <w:vMerge w:val="continue"/>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p>
              </w:tc>
              <w:tc>
                <w:tcPr>
                  <w:tcW w:w="768" w:type="pct"/>
                  <w:vMerge w:val="continue"/>
                  <w:tcBorders>
                    <w:tl2br w:val="nil"/>
                    <w:tr2bl w:val="nil"/>
                  </w:tcBorders>
                  <w:vAlign w:val="center"/>
                </w:tcPr>
                <w:p>
                  <w:pPr>
                    <w:pStyle w:val="31"/>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867" w:type="pct"/>
                  <w:tcBorders>
                    <w:tl2br w:val="nil"/>
                    <w:tr2bl w:val="nil"/>
                  </w:tcBorders>
                  <w:vAlign w:val="center"/>
                </w:tcPr>
                <w:p>
                  <w:pPr>
                    <w:widowControl/>
                    <w:jc w:val="center"/>
                    <w:textAlignment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臭气浓度</w:t>
                  </w:r>
                </w:p>
              </w:tc>
              <w:tc>
                <w:tcPr>
                  <w:tcW w:w="655"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w:t>
                  </w:r>
                </w:p>
              </w:tc>
              <w:tc>
                <w:tcPr>
                  <w:tcW w:w="621"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639"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w:t>
                  </w:r>
                </w:p>
              </w:tc>
              <w:tc>
                <w:tcPr>
                  <w:tcW w:w="716" w:type="pct"/>
                  <w:tcBorders>
                    <w:tl2br w:val="nil"/>
                    <w:tr2bl w:val="nil"/>
                  </w:tcBorders>
                  <w:vAlign w:val="center"/>
                </w:tcPr>
                <w:p>
                  <w:pPr>
                    <w:widowControl/>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13</w:t>
                  </w:r>
                </w:p>
              </w:tc>
            </w:tr>
          </w:tbl>
          <w:p>
            <w:pPr>
              <w:pStyle w:val="31"/>
              <w:numPr>
                <w:ilvl w:val="0"/>
                <w:numId w:val="0"/>
              </w:numPr>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由上表7-3监测结果可知，本项目无组织废气臭气浓度排放满足</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《恶臭污染物排放标准》(GB14554-1993)排放限值</w:t>
            </w:r>
            <w:r>
              <w:rPr>
                <w:rFonts w:hint="eastAsia" w:ascii="Times New Roman" w:hAnsi="Times New Roman" w:cs="Times New Roman"/>
                <w:color w:val="000000" w:themeColor="text1"/>
                <w:sz w:val="24"/>
                <w:szCs w:val="24"/>
                <w:lang w:val="en-US" w:eastAsia="zh-CN" w:bidi="ar-SA"/>
                <w14:textFill>
                  <w14:solidFill>
                    <w14:schemeClr w14:val="tx1"/>
                  </w14:solidFill>
                </w14:textFill>
              </w:rPr>
              <w:t>，即：臭气浓度</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w:t>
            </w:r>
            <w:r>
              <w:rPr>
                <w:rFonts w:hint="eastAsia" w:ascii="Times New Roman" w:hAnsi="Times New Roman" w:cs="Times New Roman"/>
                <w:color w:val="000000" w:themeColor="text1"/>
                <w:sz w:val="24"/>
                <w:szCs w:val="24"/>
                <w:lang w:val="en-US" w:eastAsia="zh-CN" w:bidi="ar-SA"/>
                <w14:textFill>
                  <w14:solidFill>
                    <w14:schemeClr w14:val="tx1"/>
                  </w14:solidFill>
                </w14:textFill>
              </w:rPr>
              <w:t>20；</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硫化氢排放满足</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无机化学工业污染物排放标准</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》（GB</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31573-2015</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）中</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表1二级标准，即：硫</w:t>
            </w:r>
            <w:r>
              <w:rPr>
                <w:rFonts w:hint="eastAsia" w:ascii="Times New Roman" w:hAnsi="Times New Roman" w:cs="Times New Roman"/>
                <w:color w:val="000000" w:themeColor="text1"/>
                <w:sz w:val="24"/>
                <w:szCs w:val="24"/>
                <w:lang w:val="en-US" w:eastAsia="zh-CN" w:bidi="ar-SA"/>
                <w14:textFill>
                  <w14:solidFill>
                    <w14:schemeClr w14:val="tx1"/>
                  </w14:solidFill>
                </w14:textFill>
              </w:rPr>
              <w:t>化氢</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w:t>
            </w:r>
            <w:r>
              <w:rPr>
                <w:rFonts w:hint="eastAsia" w:ascii="Times New Roman" w:hAnsi="Times New Roman" w:cs="Times New Roman"/>
                <w:color w:val="000000" w:themeColor="text1"/>
                <w:sz w:val="24"/>
                <w:szCs w:val="24"/>
                <w:lang w:val="en-US" w:eastAsia="zh-CN" w:bidi="ar-SA"/>
                <w14:textFill>
                  <w14:solidFill>
                    <w14:schemeClr w14:val="tx1"/>
                  </w14:solidFill>
                </w14:textFill>
              </w:rPr>
              <w:t>0.03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；无组织废气颗粒物排放满足</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《大气污染物综合排放标准》（GB16297-1996）表</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2标准</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无组织排放监控浓度限值</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，即：颗粒物≤1.0mg/m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w:t>
            </w:r>
          </w:p>
          <w:p>
            <w:pPr>
              <w:pStyle w:val="31"/>
              <w:numPr>
                <w:ilvl w:val="0"/>
                <w:numId w:val="0"/>
              </w:numPr>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3</w:t>
            </w:r>
            <w:r>
              <w:rPr>
                <w:rFonts w:hint="eastAsia" w:ascii="Times New Roman" w:hAnsi="Times New Roman" w:cs="Times New Roman"/>
                <w:color w:val="000000" w:themeColor="text1"/>
                <w:lang w:eastAsia="zh-CN"/>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噪声</w:t>
            </w:r>
          </w:p>
          <w:p>
            <w:pPr>
              <w:pStyle w:val="31"/>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厂界噪声监测结果见下表。</w:t>
            </w:r>
          </w:p>
          <w:p>
            <w:pPr>
              <w:pStyle w:val="31"/>
              <w:ind w:firstLine="422" w:firstLineChars="200"/>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4</w:t>
            </w:r>
            <w:r>
              <w:rPr>
                <w:rFonts w:ascii="Times New Roman" w:hAnsi="Times New Roman" w:cs="Times New Roman"/>
                <w:b/>
                <w:bCs/>
                <w:color w:val="000000" w:themeColor="text1"/>
                <w:sz w:val="21"/>
                <w:szCs w:val="21"/>
                <w14:textFill>
                  <w14:solidFill>
                    <w14:schemeClr w14:val="tx1"/>
                  </w14:solidFill>
                </w14:textFill>
              </w:rPr>
              <w:t xml:space="preserve"> 噪声监测结果</w:t>
            </w:r>
          </w:p>
          <w:tbl>
            <w:tblPr>
              <w:tblStyle w:val="25"/>
              <w:tblW w:w="817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57"/>
              <w:gridCol w:w="1035"/>
              <w:gridCol w:w="930"/>
              <w:gridCol w:w="930"/>
              <w:gridCol w:w="900"/>
              <w:gridCol w:w="1125"/>
              <w:gridCol w:w="250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restart"/>
                  <w:tcBorders>
                    <w:tl2br w:val="nil"/>
                    <w:tr2bl w:val="nil"/>
                  </w:tcBorders>
                  <w:vAlign w:val="center"/>
                </w:tcPr>
                <w:p>
                  <w:pPr>
                    <w:pStyle w:val="35"/>
                    <w:widowControl/>
                    <w:jc w:val="center"/>
                    <w:rPr>
                      <w:rFonts w:ascii="Times New Roman" w:hAnsi="Times New Roman" w:eastAsia="宋体" w:cs="Times New Roman"/>
                      <w:color w:val="000000" w:themeColor="text1"/>
                      <w:sz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监测日期</w:t>
                  </w:r>
                </w:p>
              </w:tc>
              <w:tc>
                <w:tcPr>
                  <w:tcW w:w="1035"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2760" w:type="dxa"/>
                  <w:gridSpan w:val="3"/>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1125"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tabs>
                      <w:tab w:val="left" w:pos="0"/>
                    </w:tabs>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2500"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气象</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pStyle w:val="35"/>
                    <w:widowControl/>
                    <w:jc w:val="center"/>
                    <w:rPr>
                      <w:rFonts w:ascii="Times New Roman" w:hAnsi="Times New Roman" w:eastAsia="宋体" w:cs="Times New Roman"/>
                      <w:color w:val="000000" w:themeColor="text1"/>
                      <w:sz w:val="21"/>
                      <w14:textFill>
                        <w14:solidFill>
                          <w14:schemeClr w14:val="tx1"/>
                        </w14:solidFill>
                      </w14:textFill>
                    </w:rPr>
                  </w:pPr>
                </w:p>
              </w:tc>
              <w:tc>
                <w:tcPr>
                  <w:tcW w:w="1035"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930"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测量值</w:t>
                  </w:r>
                </w:p>
              </w:tc>
              <w:tc>
                <w:tcPr>
                  <w:tcW w:w="930"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背景值</w:t>
                  </w:r>
                </w:p>
              </w:tc>
              <w:tc>
                <w:tcPr>
                  <w:tcW w:w="900"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实际值</w:t>
                  </w:r>
                </w:p>
              </w:tc>
              <w:tc>
                <w:tcPr>
                  <w:tcW w:w="1125" w:type="dxa"/>
                  <w:vMerge w:val="continue"/>
                  <w:tcBorders>
                    <w:tl2br w:val="nil"/>
                    <w:tr2bl w:val="nil"/>
                  </w:tcBorders>
                  <w:vAlign w:val="center"/>
                </w:tcPr>
                <w:p>
                  <w:pPr>
                    <w:widowControl/>
                    <w:tabs>
                      <w:tab w:val="left" w:pos="0"/>
                    </w:tabs>
                    <w:jc w:val="center"/>
                    <w:rPr>
                      <w:rFonts w:ascii="Times New Roman" w:hAnsi="Times New Roman" w:eastAsia="宋体" w:cs="Times New Roman"/>
                      <w:color w:val="000000" w:themeColor="text1"/>
                      <w:sz w:val="21"/>
                      <w:szCs w:val="21"/>
                      <w14:textFill>
                        <w14:solidFill>
                          <w14:schemeClr w14:val="tx1"/>
                        </w14:solidFill>
                      </w14:textFill>
                    </w:rPr>
                  </w:pPr>
                </w:p>
              </w:tc>
              <w:tc>
                <w:tcPr>
                  <w:tcW w:w="2500"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20210309</w:t>
                  </w: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63.2</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56.3</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天气条件：天气：晴； </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气温：18..3℃； </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风速：2.0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大气压：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KPa</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61.8</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55.7</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w:t>
                  </w:r>
                </w:p>
              </w:tc>
              <w:tc>
                <w:tcPr>
                  <w:tcW w:w="1125"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64.1</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56.7</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62.3</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55.4</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w:t>
                  </w:r>
                </w:p>
              </w:tc>
              <w:tc>
                <w:tcPr>
                  <w:tcW w:w="1125" w:type="dxa"/>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监测日期</w:t>
                  </w:r>
                </w:p>
              </w:tc>
              <w:tc>
                <w:tcPr>
                  <w:tcW w:w="1035"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监测点位</w:t>
                  </w:r>
                </w:p>
              </w:tc>
              <w:tc>
                <w:tcPr>
                  <w:tcW w:w="2760" w:type="dxa"/>
                  <w:gridSpan w:val="3"/>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昼间</w:t>
                  </w:r>
                  <w:r>
                    <w:rPr>
                      <w:rFonts w:ascii="Times New Roman" w:hAnsi="Times New Roman" w:eastAsia="宋体" w:cs="Times New Roman"/>
                      <w:color w:val="000000" w:themeColor="text1"/>
                      <w:sz w:val="21"/>
                      <w:szCs w:val="21"/>
                      <w14:textFill>
                        <w14:solidFill>
                          <w14:schemeClr w14:val="tx1"/>
                        </w14:solidFill>
                      </w14:textFill>
                    </w:rPr>
                    <w:t>检测结果dB(A)</w:t>
                  </w:r>
                </w:p>
              </w:tc>
              <w:tc>
                <w:tcPr>
                  <w:tcW w:w="1125" w:type="dxa"/>
                  <w:vMerge w:val="restart"/>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主要</w:t>
                  </w:r>
                </w:p>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声源</w:t>
                  </w:r>
                </w:p>
              </w:tc>
              <w:tc>
                <w:tcPr>
                  <w:tcW w:w="2500" w:type="dxa"/>
                  <w:vMerge w:val="restart"/>
                  <w:tcBorders>
                    <w:tl2br w:val="nil"/>
                    <w:tr2bl w:val="nil"/>
                  </w:tcBorders>
                  <w:vAlign w:val="center"/>
                </w:tcPr>
                <w:p>
                  <w:pPr>
                    <w:pStyle w:val="31"/>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气象</w:t>
                  </w:r>
                </w:p>
                <w:p>
                  <w:pPr>
                    <w:pStyle w:val="3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测量值</w:t>
                  </w:r>
                </w:p>
              </w:tc>
              <w:tc>
                <w:tcPr>
                  <w:tcW w:w="93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背景值</w:t>
                  </w:r>
                </w:p>
              </w:tc>
              <w:tc>
                <w:tcPr>
                  <w:tcW w:w="900"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实际值</w:t>
                  </w:r>
                </w:p>
              </w:tc>
              <w:tc>
                <w:tcPr>
                  <w:tcW w:w="1125" w:type="dxa"/>
                  <w:vMerge w:val="continue"/>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57" w:type="dxa"/>
                  <w:vMerge w:val="restart"/>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20210310</w:t>
                  </w: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62.7</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55.8</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restart"/>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天气条件：天气：晴； </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气温：19℃； </w:t>
                  </w:r>
                </w:p>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风速：2.1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m/s</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p>
                <w:p>
                  <w:pPr>
                    <w:widowControl/>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大气压：</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101.</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763.2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KPa</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62.3</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56.4</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63.4</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55.8</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62</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757"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c>
                <w:tcPr>
                  <w:tcW w:w="103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厂界</w:t>
                  </w:r>
                  <w:r>
                    <w:rPr>
                      <w:rFonts w:hint="eastAsia"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61.9</w:t>
                  </w:r>
                </w:p>
              </w:tc>
              <w:tc>
                <w:tcPr>
                  <w:tcW w:w="93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56.2</w:t>
                  </w:r>
                </w:p>
              </w:tc>
              <w:tc>
                <w:tcPr>
                  <w:tcW w:w="900" w:type="dxa"/>
                  <w:tcBorders>
                    <w:tl2br w:val="nil"/>
                    <w:tr2bl w:val="nil"/>
                  </w:tcBorders>
                  <w:vAlign w:val="center"/>
                </w:tcPr>
                <w:p>
                  <w:pPr>
                    <w:widowControl/>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61</w:t>
                  </w:r>
                </w:p>
              </w:tc>
              <w:tc>
                <w:tcPr>
                  <w:tcW w:w="112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p>
              </w:tc>
              <w:tc>
                <w:tcPr>
                  <w:tcW w:w="2500" w:type="dxa"/>
                  <w:vMerge w:val="continue"/>
                  <w:tcBorders>
                    <w:tl2br w:val="nil"/>
                    <w:tr2bl w:val="nil"/>
                  </w:tcBorders>
                  <w:vAlign w:val="center"/>
                </w:tcPr>
                <w:p>
                  <w:pPr>
                    <w:widowControl/>
                    <w:jc w:val="center"/>
                    <w:rPr>
                      <w:rFonts w:ascii="Times New Roman" w:hAnsi="Times New Roman" w:eastAsia="宋体" w:cs="Times New Roman"/>
                      <w:color w:val="000000" w:themeColor="text1"/>
                      <w:sz w:val="21"/>
                      <w:szCs w:val="21"/>
                      <w14:textFill>
                        <w14:solidFill>
                          <w14:schemeClr w14:val="tx1"/>
                        </w14:solidFill>
                      </w14:textFill>
                    </w:rPr>
                  </w:pPr>
                </w:p>
              </w:tc>
            </w:tr>
          </w:tbl>
          <w:p>
            <w:pPr>
              <w:pStyle w:val="31"/>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由7-</w:t>
            </w:r>
            <w:r>
              <w:rPr>
                <w:rFonts w:hint="eastAsia" w:ascii="Times New Roman" w:hAnsi="Times New Roman" w:cs="Times New Roman"/>
                <w:color w:val="000000" w:themeColor="text1"/>
                <w:lang w:val="en-US" w:eastAsia="zh-CN"/>
                <w14:textFill>
                  <w14:solidFill>
                    <w14:schemeClr w14:val="tx1"/>
                  </w14:solidFill>
                </w14:textFill>
              </w:rPr>
              <w:t>4</w:t>
            </w:r>
            <w:r>
              <w:rPr>
                <w:rFonts w:ascii="Times New Roman" w:hAnsi="Times New Roman" w:cs="Times New Roman"/>
                <w:color w:val="000000" w:themeColor="text1"/>
                <w14:textFill>
                  <w14:solidFill>
                    <w14:schemeClr w14:val="tx1"/>
                  </w14:solidFill>
                </w14:textFill>
              </w:rPr>
              <w:t>噪声监测结果可知，本项目噪声排放符合</w:t>
            </w:r>
            <w:r>
              <w:rPr>
                <w:rFonts w:hint="eastAsia" w:ascii="Times New Roman" w:hAnsi="Times New Roman" w:cs="Times New Roman"/>
                <w:color w:val="000000" w:themeColor="text1"/>
                <w14:textFill>
                  <w14:solidFill>
                    <w14:schemeClr w14:val="tx1"/>
                  </w14:solidFill>
                </w14:textFill>
              </w:rPr>
              <w:t>《工业企业厂界环境噪声排放标准》（GB12348-2008</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中的</w:t>
            </w:r>
            <w:r>
              <w:rPr>
                <w:rFonts w:hint="eastAsia" w:ascii="Times New Roman" w:hAnsi="Times New Roman" w:cs="Times New Roman"/>
                <w:color w:val="000000" w:themeColor="text1"/>
                <w:lang w:val="en-US" w:eastAsia="zh-CN"/>
                <w14:textFill>
                  <w14:solidFill>
                    <w14:schemeClr w14:val="tx1"/>
                  </w14:solidFill>
                </w14:textFill>
              </w:rPr>
              <w:t>3</w:t>
            </w:r>
            <w:r>
              <w:rPr>
                <w:rFonts w:hint="eastAsia" w:ascii="Times New Roman" w:hAnsi="Times New Roman" w:cs="Times New Roman"/>
                <w:color w:val="000000" w:themeColor="text1"/>
                <w14:textFill>
                  <w14:solidFill>
                    <w14:schemeClr w14:val="tx1"/>
                  </w14:solidFill>
                </w14:textFill>
              </w:rPr>
              <w:t>类标准，即：昼间噪声</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6</w:t>
            </w:r>
            <w:r>
              <w:rPr>
                <w:rFonts w:hint="eastAsia" w:ascii="Times New Roman" w:hAnsi="Times New Roman" w:cs="Times New Roman"/>
                <w:color w:val="000000" w:themeColor="text1"/>
                <w:lang w:val="en-US" w:eastAsia="zh-CN"/>
                <w14:textFill>
                  <w14:solidFill>
                    <w14:schemeClr w14:val="tx1"/>
                  </w14:solidFill>
                </w14:textFill>
              </w:rPr>
              <w:t>5</w:t>
            </w:r>
            <w:r>
              <w:rPr>
                <w:rFonts w:hint="eastAsia" w:ascii="Times New Roman" w:hAnsi="Times New Roman" w:cs="Times New Roman"/>
                <w:color w:val="000000" w:themeColor="text1"/>
                <w14:textFill>
                  <w14:solidFill>
                    <w14:schemeClr w14:val="tx1"/>
                  </w14:solidFill>
                </w14:textFill>
              </w:rPr>
              <w:t>，夜间噪声</w:t>
            </w: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5</w:t>
            </w:r>
            <w:r>
              <w:rPr>
                <w:rFonts w:hint="eastAsia" w:ascii="Times New Roman" w:hAnsi="Times New Roman" w:cs="Times New Roman"/>
                <w:color w:val="000000" w:themeColor="text1"/>
                <w:lang w:val="en-US" w:eastAsia="zh-CN"/>
                <w14:textFill>
                  <w14:solidFill>
                    <w14:schemeClr w14:val="tx1"/>
                  </w14:solidFill>
                </w14:textFill>
              </w:rPr>
              <w:t>5</w:t>
            </w:r>
            <w:r>
              <w:rPr>
                <w:rFonts w:ascii="Times New Roman" w:hAnsi="Times New Roman" w:cs="Times New Roman"/>
                <w:color w:val="000000" w:themeColor="text1"/>
                <w14:textFill>
                  <w14:solidFill>
                    <w14:schemeClr w14:val="tx1"/>
                  </w14:solidFill>
                </w14:textFill>
              </w:rPr>
              <w:t>。</w:t>
            </w:r>
          </w:p>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200"/>
              <w:jc w:val="both"/>
              <w:textAlignment w:val="auto"/>
              <w:outlineLvl w:val="9"/>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污染物排放总量核</w:t>
            </w:r>
            <w:r>
              <w:rPr>
                <w:rFonts w:hint="eastAsia" w:ascii="Times New Roman" w:hAnsi="Times New Roman" w:cs="Times New Roman"/>
                <w:color w:val="000000" w:themeColor="text1"/>
                <w:sz w:val="24"/>
                <w:szCs w:val="24"/>
                <w:lang w:val="en-US" w:eastAsia="zh-CN"/>
                <w14:textFill>
                  <w14:solidFill>
                    <w14:schemeClr w14:val="tx1"/>
                  </w14:solidFill>
                </w14:textFill>
              </w:rPr>
              <w:t>算</w:t>
            </w:r>
          </w:p>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Chars="0" w:firstLine="422" w:firstLineChars="200"/>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表7-</w:t>
            </w:r>
            <w:r>
              <w:rPr>
                <w:rFonts w:hint="eastAsia" w:ascii="Times New Roman" w:hAnsi="Times New Roman" w:cs="Times New Roman"/>
                <w:b/>
                <w:bCs/>
                <w:color w:val="auto"/>
                <w:sz w:val="21"/>
                <w:szCs w:val="21"/>
                <w:lang w:val="en-US" w:eastAsia="zh-CN"/>
              </w:rPr>
              <w:t>5</w:t>
            </w:r>
            <w:r>
              <w:rPr>
                <w:rFonts w:hint="default" w:ascii="Times New Roman" w:hAnsi="Times New Roman" w:eastAsia="宋体" w:cs="Times New Roman"/>
                <w:b/>
                <w:bCs/>
                <w:color w:val="auto"/>
                <w:sz w:val="21"/>
                <w:szCs w:val="21"/>
                <w:lang w:val="en-US" w:eastAsia="zh-CN"/>
              </w:rPr>
              <w:t xml:space="preserve"> 废气污染物排放总量</w:t>
            </w:r>
          </w:p>
          <w:tbl>
            <w:tblPr>
              <w:tblStyle w:val="25"/>
              <w:tblW w:w="8254" w:type="dxa"/>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1110"/>
              <w:gridCol w:w="1515"/>
              <w:gridCol w:w="327"/>
              <w:gridCol w:w="2133"/>
              <w:gridCol w:w="199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491" w:hRule="atLeast"/>
              </w:trPr>
              <w:tc>
                <w:tcPr>
                  <w:tcW w:w="1175"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FF"/>
                      <w:sz w:val="21"/>
                      <w:szCs w:val="21"/>
                      <w:vertAlign w:val="baseline"/>
                      <w:lang w:val="en-US" w:eastAsia="zh-CN"/>
                    </w:rPr>
                  </w:pP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烘干筒废气排气筒</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出口</w:t>
                  </w: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〇B</w:t>
                  </w:r>
                </w:p>
              </w:tc>
              <w:tc>
                <w:tcPr>
                  <w:tcW w:w="1110"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w:t>
                  </w:r>
                </w:p>
              </w:tc>
              <w:tc>
                <w:tcPr>
                  <w:tcW w:w="1515"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设施名称</w:t>
                  </w: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标杆流量：m³/h</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12750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颗粒物</w:t>
                  </w:r>
                </w:p>
              </w:tc>
              <w:tc>
                <w:tcPr>
                  <w:tcW w:w="1515"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布袋除尘+碱液喷淋</w:t>
                  </w: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0.0225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3060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排放总量（t/a）</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0.054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二氧化硫</w:t>
                  </w: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23.5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0.2995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3060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排放总量（t/a）</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0.7188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氮氧化物</w:t>
                  </w: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0.4715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3060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排放总量（t/a）</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1.1316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造粒废气排气筒</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出口</w:t>
                  </w: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〇D</w:t>
                  </w:r>
                </w:p>
              </w:tc>
              <w:tc>
                <w:tcPr>
                  <w:tcW w:w="1110"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污染物</w:t>
                  </w:r>
                </w:p>
              </w:tc>
              <w:tc>
                <w:tcPr>
                  <w:tcW w:w="1515"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设施名称</w:t>
                  </w: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标杆流量：m³/h</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9320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颗粒物</w:t>
                  </w:r>
                </w:p>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布袋除尘+碱液喷淋</w:t>
                  </w:r>
                </w:p>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0.022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2236.8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排放总量（t/a）</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0.0528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二氧化硫</w:t>
                  </w:r>
                </w:p>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0.014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994"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2236.8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排放总量（t/a）</w:t>
                  </w:r>
                </w:p>
              </w:tc>
              <w:tc>
                <w:tcPr>
                  <w:tcW w:w="1994"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0.0336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氮氧化物</w:t>
                  </w:r>
                </w:p>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0.3355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90"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2236.8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排放总量（t/a）</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0.8052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成品冷却仓废气排气筒出口</w:t>
                  </w: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〇</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H</w:t>
                  </w:r>
                </w:p>
              </w:tc>
              <w:tc>
                <w:tcPr>
                  <w:tcW w:w="1110"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污染物</w:t>
                  </w:r>
                </w:p>
              </w:tc>
              <w:tc>
                <w:tcPr>
                  <w:tcW w:w="1515"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设施名称</w:t>
                  </w: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标杆流量：m³/h</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bidi="ar-SA"/>
                    </w:rPr>
                    <w:t>28100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颗粒物</w:t>
                  </w:r>
                </w:p>
              </w:tc>
              <w:tc>
                <w:tcPr>
                  <w:tcW w:w="1515" w:type="dxa"/>
                  <w:vMerge w:val="restart"/>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布袋除尘</w:t>
                  </w: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7.55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0.212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259"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6744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7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FF"/>
                      <w:sz w:val="21"/>
                      <w:szCs w:val="21"/>
                      <w:vertAlign w:val="baseline"/>
                      <w:lang w:val="en-US" w:eastAsia="zh-CN"/>
                    </w:rPr>
                  </w:pPr>
                </w:p>
              </w:tc>
              <w:tc>
                <w:tcPr>
                  <w:tcW w:w="1110"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515" w:type="dxa"/>
                  <w:vMerge w:val="continue"/>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460"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排放总量（t/a）</w:t>
                  </w:r>
                </w:p>
              </w:tc>
              <w:tc>
                <w:tcPr>
                  <w:tcW w:w="1994"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0.5088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90" w:hRule="atLeast"/>
              </w:trPr>
              <w:tc>
                <w:tcPr>
                  <w:tcW w:w="1175" w:type="dxa"/>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备注</w:t>
                  </w:r>
                </w:p>
              </w:tc>
              <w:tc>
                <w:tcPr>
                  <w:tcW w:w="7079" w:type="dxa"/>
                  <w:gridSpan w:val="5"/>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项目年工作时间为2400h，</w:t>
                  </w: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造粒废气排气筒</w:t>
                  </w:r>
                  <w:r>
                    <w:rPr>
                      <w:rFonts w:hint="eastAsia" w:ascii="Times New Roman" w:hAnsi="Times New Roman" w:cs="Times New Roman"/>
                      <w:color w:val="000000" w:themeColor="text1"/>
                      <w:sz w:val="21"/>
                      <w:szCs w:val="21"/>
                      <w:vertAlign w:val="baseline"/>
                      <w:lang w:val="en-US" w:eastAsia="zh-CN"/>
                      <w14:textFill>
                        <w14:solidFill>
                          <w14:schemeClr w14:val="tx1"/>
                        </w14:solidFill>
                      </w14:textFill>
                    </w:rPr>
                    <w:t>出口</w:t>
                  </w:r>
                  <w:r>
                    <w:rPr>
                      <w:rFonts w:hint="eastAsia" w:ascii="Times New Roman" w:hAnsi="Times New Roman" w:cs="Times New Roman"/>
                      <w:b w:val="0"/>
                      <w:bCs w:val="0"/>
                      <w:i w:val="0"/>
                      <w:iCs w:val="0"/>
                      <w:color w:val="000000" w:themeColor="text1"/>
                      <w:kern w:val="0"/>
                      <w:sz w:val="21"/>
                      <w:szCs w:val="21"/>
                      <w:vertAlign w:val="baseline"/>
                      <w:lang w:val="en-US" w:eastAsia="zh-CN" w:bidi="ar-SA"/>
                      <w14:textFill>
                        <w14:solidFill>
                          <w14:schemeClr w14:val="tx1"/>
                        </w14:solidFill>
                      </w14:textFill>
                    </w:rPr>
                    <w:t>〇D二氧化硫未检出，故本次计算取检出限一半作为计算数据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90" w:hRule="atLeast"/>
              </w:trPr>
              <w:tc>
                <w:tcPr>
                  <w:tcW w:w="8254" w:type="dxa"/>
                  <w:gridSpan w:val="6"/>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合计排放量</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90" w:hRule="atLeast"/>
              </w:trPr>
              <w:tc>
                <w:tcPr>
                  <w:tcW w:w="4127" w:type="dxa"/>
                  <w:gridSpan w:val="4"/>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废气</w:t>
                  </w:r>
                  <w:r>
                    <w:rPr>
                      <w:rFonts w:hint="default" w:ascii="Times New Roman" w:hAnsi="Times New Roman" w:eastAsia="宋体" w:cs="Times New Roman"/>
                      <w:b/>
                      <w:bCs/>
                      <w:color w:val="auto"/>
                      <w:sz w:val="21"/>
                      <w:szCs w:val="21"/>
                      <w:vertAlign w:val="baseline"/>
                      <w:lang w:val="en-US" w:eastAsia="zh-CN"/>
                    </w:rPr>
                    <w:t>（万标立方米）</w:t>
                  </w:r>
                </w:p>
              </w:tc>
              <w:tc>
                <w:tcPr>
                  <w:tcW w:w="4127"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12040.8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27" w:type="dxa"/>
                  <w:gridSpan w:val="4"/>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颗粒物（t/a）</w:t>
                  </w:r>
                </w:p>
              </w:tc>
              <w:tc>
                <w:tcPr>
                  <w:tcW w:w="4127"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0.6156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27" w:type="dxa"/>
                  <w:gridSpan w:val="4"/>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b/>
                      <w:bCs/>
                      <w:color w:val="auto"/>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二氧化硫（t/a）</w:t>
                  </w:r>
                </w:p>
              </w:tc>
              <w:tc>
                <w:tcPr>
                  <w:tcW w:w="4127"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0.7524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27" w:type="dxa"/>
                  <w:gridSpan w:val="4"/>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eastAsia="宋体" w:cs="Times New Roman"/>
                      <w:b/>
                      <w:bCs/>
                      <w:color w:val="auto"/>
                      <w:sz w:val="21"/>
                      <w:szCs w:val="21"/>
                      <w:vertAlign w:val="baseline"/>
                      <w:lang w:val="en-US" w:eastAsia="zh-CN" w:bidi="ar-SA"/>
                    </w:rPr>
                  </w:pPr>
                  <w:r>
                    <w:rPr>
                      <w:rFonts w:hint="eastAsia" w:ascii="Times New Roman" w:hAnsi="Times New Roman" w:cs="Times New Roman"/>
                      <w:b/>
                      <w:bCs/>
                      <w:color w:val="auto"/>
                      <w:sz w:val="21"/>
                      <w:szCs w:val="21"/>
                      <w:vertAlign w:val="baseline"/>
                      <w:lang w:val="en-US" w:eastAsia="zh-CN"/>
                    </w:rPr>
                    <w:t>氮氧化物（t/a）</w:t>
                  </w:r>
                </w:p>
              </w:tc>
              <w:tc>
                <w:tcPr>
                  <w:tcW w:w="4127" w:type="dxa"/>
                  <w:gridSpan w:val="2"/>
                  <w:tcBorders>
                    <w:tl2br w:val="nil"/>
                    <w:tr2bl w:val="nil"/>
                  </w:tcBorders>
                  <w:vAlign w:val="center"/>
                </w:tcPr>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1.9368</w:t>
                  </w:r>
                </w:p>
              </w:tc>
            </w:tr>
          </w:tbl>
          <w:p>
            <w:pPr>
              <w:pStyle w:val="23"/>
              <w:widowControl w:val="0"/>
              <w:spacing w:line="360" w:lineRule="auto"/>
              <w:ind w:left="0" w:leftChars="0" w:firstLine="480" w:firstLineChars="200"/>
              <w:jc w:val="both"/>
              <w:rPr>
                <w:rFonts w:hint="default"/>
                <w:color w:val="0000FF"/>
                <w:lang w:val="en-US" w:eastAsia="zh-CN"/>
              </w:rPr>
            </w:pP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由表7-</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可知</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，颗粒物排放量为0.6156t/a，二氧化硫排放量为0.7524t/a，氮氧化物排放量为1.9368t/a。废气污染物排放总量满足环评批复要求：二氧化硫排放量2.2464t/a，氮氧化物排放量2.2464t/a。</w:t>
            </w:r>
          </w:p>
        </w:tc>
      </w:tr>
    </w:tbl>
    <w:p>
      <w:pPr>
        <w:pStyle w:val="3"/>
        <w:rPr>
          <w:rFonts w:ascii="Times New Roman" w:hAnsi="Times New Roman" w:eastAsia="宋体" w:cs="Times New Roman"/>
          <w:color w:val="0000FF"/>
        </w:rPr>
        <w:sectPr>
          <w:pgSz w:w="11906" w:h="16838"/>
          <w:pgMar w:top="1440" w:right="1440" w:bottom="1440" w:left="1701" w:header="709" w:footer="709" w:gutter="0"/>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表八</w:t>
      </w:r>
    </w:p>
    <w:tbl>
      <w:tblPr>
        <w:tblStyle w:val="2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6" w:hRule="atLeast"/>
        </w:trPr>
        <w:tc>
          <w:tcPr>
            <w:tcW w:w="8522" w:type="dxa"/>
          </w:tcPr>
          <w:p>
            <w:pPr>
              <w:widowControl w:val="0"/>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验收监测结论：</w:t>
            </w:r>
          </w:p>
          <w:p>
            <w:pPr>
              <w:pStyle w:val="31"/>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本次验收针对</w:t>
            </w:r>
            <w:r>
              <w:rPr>
                <w:rFonts w:hint="eastAsia" w:ascii="Times New Roman" w:hAnsi="Times New Roman" w:cs="Times New Roman"/>
                <w:b/>
                <w:bCs/>
                <w:color w:val="000000" w:themeColor="text1"/>
                <w:lang w:val="en-US" w:eastAsia="zh-CN"/>
                <w14:textFill>
                  <w14:solidFill>
                    <w14:schemeClr w14:val="tx1"/>
                  </w14:solidFill>
                </w14:textFill>
              </w:rPr>
              <w:t>泉州玛塔生态科技有限公司惠安县牡蛎壳固废垃圾综合处理与利用项目</w:t>
            </w:r>
            <w:r>
              <w:rPr>
                <w:rFonts w:ascii="Times New Roman" w:hAnsi="Times New Roman" w:cs="Times New Roman"/>
                <w:b/>
                <w:bCs/>
                <w:color w:val="000000" w:themeColor="text1"/>
                <w14:textFill>
                  <w14:solidFill>
                    <w14:schemeClr w14:val="tx1"/>
                  </w14:solidFill>
                </w14:textFill>
              </w:rPr>
              <w:t>进行验收。验收期间本项目的性质、规模、地点、生产工艺等均未发生重大改变。故本次验收结论如下：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bookmarkStart w:id="12" w:name="_Toc9522"/>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（1） 废水</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eastAsia"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环保竣工验收监测期间，</w:t>
            </w:r>
            <w:r>
              <w:rPr>
                <w:rFonts w:hint="eastAsia" w:ascii="Times New Roman" w:hAnsi="Times New Roman" w:eastAsia="宋体" w:cs="Times New Roman"/>
                <w:color w:val="000000" w:themeColor="text1"/>
                <w:sz w:val="24"/>
                <w:lang w:val="en-US" w:eastAsia="zh-CN"/>
                <w14:textFill>
                  <w14:solidFill>
                    <w14:schemeClr w14:val="tx1"/>
                  </w14:solidFill>
                </w14:textFill>
              </w:rPr>
              <w:t>本</w:t>
            </w:r>
            <w:r>
              <w:rPr>
                <w:rFonts w:hint="eastAsia" w:ascii="Times New Roman" w:hAnsi="Times New Roman" w:eastAsia="宋体" w:cs="Times New Roman"/>
                <w:color w:val="000000" w:themeColor="text1"/>
                <w:sz w:val="24"/>
                <w:szCs w:val="24"/>
                <w:lang w:val="zh-CN" w:eastAsia="zh-CN" w:bidi="ar-SA"/>
                <w14:textFill>
                  <w14:solidFill>
                    <w14:schemeClr w14:val="tx1"/>
                  </w14:solidFill>
                </w14:textFill>
              </w:rPr>
              <w:t>项目</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原料溶解用水全部进入产品，没有废水产生。烘干焙烧废气脱硫除尘水经沉淀后回用，不外排。外排废水为生活污水，生活污水产生量小，且经三级化粪池处理后排入惠安污水处理厂处理，故本次验收不对废水进行监测</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（2）废气</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监测期间，</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项目</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有组织废气颗粒物、二氧化硫、氮氧化物排放满足</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《无机化学工业污染物排放标准》(GB31573-2015）中表3大气污染物排放限值</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。即：颗粒物≤30mg/m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；氮氧化物≤200mg/m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；二氧化硫≤100mg/m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vertAlign w:val="baseline"/>
                <w:lang w:val="en-US" w:eastAsia="zh-CN" w:bidi="ar-SA"/>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无组织废气臭气浓度排放满足</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《恶臭污染物排放标准》(GB14554-1993)排放限值</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，即：臭气浓度≤2</w:t>
            </w:r>
            <w:r>
              <w:rPr>
                <w:rFonts w:hint="eastAsia" w:ascii="Times New Roman" w:hAnsi="Times New Roman" w:cs="Times New Roman"/>
                <w:color w:val="000000" w:themeColor="text1"/>
                <w:sz w:val="24"/>
                <w:szCs w:val="24"/>
                <w:lang w:val="en-US" w:eastAsia="zh-CN" w:bidi="ar-SA"/>
                <w14:textFill>
                  <w14:solidFill>
                    <w14:schemeClr w14:val="tx1"/>
                  </w14:solidFill>
                </w14:textFill>
              </w:rPr>
              <w:t>0；</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硫化氢排放满足</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无机化学工业污染物排放标准</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》（GB</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31573-2015</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）中</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表1二级标准，即：硫化氢≤0.</w:t>
            </w:r>
            <w:r>
              <w:rPr>
                <w:rFonts w:hint="eastAsia" w:ascii="Times New Roman" w:hAnsi="Times New Roman" w:cs="Times New Roman"/>
                <w:color w:val="000000" w:themeColor="text1"/>
                <w:sz w:val="24"/>
                <w:szCs w:val="24"/>
                <w:lang w:val="en-US" w:eastAsia="zh-CN" w:bidi="ar-SA"/>
                <w14:textFill>
                  <w14:solidFill>
                    <w14:schemeClr w14:val="tx1"/>
                  </w14:solidFill>
                </w14:textFill>
              </w:rPr>
              <w:t>03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；无组织废气颗粒物排放满足</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《大气污染物综合排放标准》（GB16297-1996）表</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2标准</w:t>
            </w:r>
            <w:r>
              <w:rPr>
                <w:rFonts w:hint="default" w:ascii="Times New Roman" w:hAnsi="Times New Roman" w:eastAsia="宋体" w:cs="Times New Roman"/>
                <w:color w:val="000000" w:themeColor="text1"/>
                <w:sz w:val="24"/>
                <w:szCs w:val="24"/>
                <w:lang w:val="en-US" w:eastAsia="zh-CN" w:bidi="ar-SA"/>
                <w14:textFill>
                  <w14:solidFill>
                    <w14:schemeClr w14:val="tx1"/>
                  </w14:solidFill>
                </w14:textFill>
              </w:rPr>
              <w:t>无组织排放监控浓度限值</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，即：颗粒物≤1.0mg/m</w:t>
            </w:r>
            <w:r>
              <w:rPr>
                <w:rFonts w:hint="eastAsia" w:ascii="Times New Roman" w:hAnsi="Times New Roman" w:eastAsia="宋体" w:cs="Times New Roman"/>
                <w:color w:val="000000" w:themeColor="text1"/>
                <w:sz w:val="24"/>
                <w:szCs w:val="24"/>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（3） 噪声</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环保竣工验收监测期间，</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bCs/>
                <w:color w:val="000000" w:themeColor="text1"/>
                <w:sz w:val="24"/>
                <w:szCs w:val="24"/>
                <w14:textFill>
                  <w14:solidFill>
                    <w14:schemeClr w14:val="tx1"/>
                  </w14:solidFill>
                </w14:textFill>
              </w:rPr>
              <w:t>项目噪声符合</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《工业企业厂界环境噪声排放标准》（GB12348-2008）的</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类标准</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，即昼间≤65</w:t>
            </w:r>
            <w:r>
              <w:rPr>
                <w:rFonts w:hint="eastAsia" w:ascii="Times New Roman" w:hAnsi="Times New Roman" w:eastAsia="宋体" w:cs="Times New Roman"/>
                <w:bCs/>
                <w:color w:val="000000" w:themeColor="text1"/>
                <w:sz w:val="24"/>
                <w:szCs w:val="24"/>
                <w14:textFill>
                  <w14:solidFill>
                    <w14:schemeClr w14:val="tx1"/>
                  </w14:solidFill>
                </w14:textFill>
              </w:rPr>
              <w:t>dB(A)</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，夜间≤55</w:t>
            </w:r>
            <w:r>
              <w:rPr>
                <w:rFonts w:hint="eastAsia" w:ascii="Times New Roman" w:hAnsi="Times New Roman" w:eastAsia="宋体" w:cs="Times New Roman"/>
                <w:bCs/>
                <w:color w:val="000000" w:themeColor="text1"/>
                <w:sz w:val="24"/>
                <w:szCs w:val="24"/>
                <w14:textFill>
                  <w14:solidFill>
                    <w14:schemeClr w14:val="tx1"/>
                  </w14:solidFill>
                </w14:textFill>
              </w:rPr>
              <w:t>dB(A)</w:t>
            </w:r>
            <w:r>
              <w:rPr>
                <w:rFonts w:hint="default" w:ascii="Times New Roman" w:hAnsi="Times New Roman" w:eastAsia="宋体" w:cs="Times New Roman"/>
                <w:bCs/>
                <w:color w:val="000000" w:themeColor="text1"/>
                <w:sz w:val="24"/>
                <w:szCs w:val="24"/>
                <w14:textFill>
                  <w14:solidFill>
                    <w14:schemeClr w14:val="tx1"/>
                  </w14:solidFill>
                </w14:textFill>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（4）固废</w:t>
            </w:r>
          </w:p>
          <w:p>
            <w:pPr>
              <w:pStyle w:val="40"/>
              <w:pageBreakBefore w:val="0"/>
              <w:kinsoku/>
              <w:wordWrap/>
              <w:overflowPunct/>
              <w:topLinePunct w:val="0"/>
              <w:bidi w:val="0"/>
              <w:ind w:firstLine="480"/>
              <w:jc w:val="both"/>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环保竣工验收监测期间，本项目</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产生的固体废物主要为分选杂质、除铁杂质、</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除尘器收集的粉尘、</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热风炉燃料</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炉渣</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及员工生活垃圾</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w:t>
            </w:r>
          </w:p>
          <w:p>
            <w:pPr>
              <w:pStyle w:val="40"/>
              <w:pageBreakBefore w:val="0"/>
              <w:kinsoku/>
              <w:wordWrap/>
              <w:overflowPunct/>
              <w:topLinePunct w:val="0"/>
              <w:bidi w:val="0"/>
              <w:ind w:firstLine="480"/>
              <w:jc w:val="both"/>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分选杂质</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、除铁杂质、生活垃圾统一收集后由环卫部门统一清运。热风炉</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炉渣集中收集后</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由周边农户回收利用，不外排。</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除尘器收集的粉尘量集中收集后回用于生产</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lang w:val="en-GB" w:eastAsia="zh-CN"/>
                <w14:textFill>
                  <w14:solidFill>
                    <w14:schemeClr w14:val="tx1"/>
                  </w14:solidFill>
                </w14:textFill>
              </w:rPr>
              <w:t>烘干机废气采用湿法脱硫除尘进行处理，</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产生的淤泥</w:t>
            </w:r>
            <w:r>
              <w:rPr>
                <w:rFonts w:hint="eastAsia" w:ascii="Times New Roman" w:hAnsi="Times New Roman" w:eastAsia="宋体" w:cs="Times New Roman"/>
                <w:bCs/>
                <w:color w:val="000000" w:themeColor="text1"/>
                <w:sz w:val="24"/>
                <w:szCs w:val="24"/>
                <w:lang w:val="en-GB" w:eastAsia="zh-CN"/>
                <w14:textFill>
                  <w14:solidFill>
                    <w14:schemeClr w14:val="tx1"/>
                  </w14:solidFill>
                </w14:textFill>
              </w:rPr>
              <w:t>统一收集后由建材厂回收利用，不外排</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w:t>
            </w:r>
          </w:p>
          <w:bookmarkEnd w:id="12"/>
          <w:p>
            <w:pPr>
              <w:pStyle w:val="3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jc w:val="both"/>
              <w:textAlignment w:val="auto"/>
              <w:outlineLvl w:val="9"/>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污染物排放总量核算</w:t>
            </w:r>
          </w:p>
          <w:p>
            <w:pPr>
              <w:pStyle w:val="22"/>
              <w:keepNext w:val="0"/>
              <w:keepLines w:val="0"/>
              <w:pageBreakBefore w:val="0"/>
              <w:widowControl/>
              <w:kinsoku/>
              <w:wordWrap/>
              <w:overflowPunct/>
              <w:topLinePunct w:val="0"/>
              <w:autoSpaceDE/>
              <w:autoSpaceDN/>
              <w:bidi w:val="0"/>
              <w:adjustRightInd w:val="0"/>
              <w:snapToGrid w:val="0"/>
              <w:spacing w:after="0" w:line="360" w:lineRule="auto"/>
              <w:ind w:left="0" w:leftChars="0" w:firstLine="448" w:firstLineChars="200"/>
              <w:jc w:val="both"/>
              <w:textAlignment w:val="auto"/>
              <w:rPr>
                <w:rFonts w:hint="default" w:ascii="Times New Roman" w:hAnsi="Times New Roman" w:eastAsia="宋体" w:cs="Times New Roman"/>
                <w:bCs/>
                <w:snapToGrid/>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Cs/>
                <w:snapToGrid/>
                <w:color w:val="000000" w:themeColor="text1"/>
                <w:kern w:val="0"/>
                <w:sz w:val="24"/>
                <w:szCs w:val="24"/>
                <w:lang w:val="en-US" w:eastAsia="zh-CN" w:bidi="ar-SA"/>
                <w14:textFill>
                  <w14:solidFill>
                    <w14:schemeClr w14:val="tx1"/>
                  </w14:solidFill>
                </w14:textFill>
              </w:rPr>
              <w:t>环保竣工验收监测期间，</w:t>
            </w:r>
            <w:r>
              <w:rPr>
                <w:rFonts w:hint="eastAsia" w:ascii="Times New Roman" w:hAnsi="Times New Roman" w:eastAsia="宋体" w:cs="Times New Roman"/>
                <w:bCs/>
                <w:snapToGrid/>
                <w:color w:val="000000" w:themeColor="text1"/>
                <w:kern w:val="0"/>
                <w:sz w:val="24"/>
                <w:szCs w:val="24"/>
                <w:lang w:val="en-US" w:eastAsia="zh-CN" w:bidi="ar-SA"/>
                <w14:textFill>
                  <w14:solidFill>
                    <w14:schemeClr w14:val="tx1"/>
                  </w14:solidFill>
                </w14:textFill>
              </w:rPr>
              <w:t>颗粒物排放量为0.6156t/a，二氧化硫排放量为0.7524t/a，氮氧化物排放量为1.9368t/a。废气污染物排放总量满足环评批复要求：二氧化硫排放量2.2464t/a，氮氧化物排放量2.2464t/a。</w:t>
            </w: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后续要求：</w:t>
            </w:r>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（1）严格执行环保“三同时”政策，建立健全环保工作责任制度；</w:t>
            </w:r>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（2）对高噪设备的降噪措施及厂区布局进行优化。</w:t>
            </w:r>
          </w:p>
          <w:p>
            <w:pPr>
              <w:widowControl w:val="0"/>
              <w:adjustRightInd/>
              <w:snapToGri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（3）定期维护各项环保设施，确保设施均能够正常运行，使处理效率达到最大化。</w:t>
            </w:r>
          </w:p>
          <w:p>
            <w:pPr>
              <w:widowControl w:val="0"/>
              <w:adjustRightInd/>
              <w:snapToGrid/>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验收结论：</w:t>
            </w:r>
          </w:p>
          <w:p>
            <w:pPr>
              <w:pStyle w:val="31"/>
              <w:spacing w:line="360" w:lineRule="auto"/>
              <w:ind w:firstLine="482" w:firstLineChars="20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根据验收监测报告及现场踏看结果，</w:t>
            </w:r>
            <w:r>
              <w:rPr>
                <w:rFonts w:hint="eastAsia" w:ascii="Times New Roman" w:hAnsi="Times New Roman" w:cs="Times New Roman"/>
                <w:b/>
                <w:bCs/>
                <w:color w:val="000000" w:themeColor="text1"/>
                <w:lang w:val="en-US" w:eastAsia="zh-CN"/>
                <w14:textFill>
                  <w14:solidFill>
                    <w14:schemeClr w14:val="tx1"/>
                  </w14:solidFill>
                </w14:textFill>
              </w:rPr>
              <w:t>泉州玛塔生态科技有限公司惠安县牡蛎壳固废垃圾综合处理与利用项目</w:t>
            </w:r>
            <w:r>
              <w:rPr>
                <w:rFonts w:ascii="Times New Roman" w:hAnsi="Times New Roman" w:cs="Times New Roman"/>
                <w:b/>
                <w:bCs/>
                <w:color w:val="000000" w:themeColor="text1"/>
                <w14:textFill>
                  <w14:solidFill>
                    <w14:schemeClr w14:val="tx1"/>
                  </w14:solidFill>
                </w14:textFill>
              </w:rPr>
              <w:t>基本落实环保“三同时”制度以及环评批复中提出的各项污染防治措施，各类污染物达标排放，符合环评批复要求。项目不涉及《污染影响类建设项目重大变动清单（试行）》</w:t>
            </w:r>
            <w:r>
              <w:rPr>
                <w:rFonts w:hint="eastAsia" w:ascii="Times New Roman" w:hAnsi="Times New Roman" w:cs="Times New Roman"/>
                <w:b/>
                <w:bCs/>
                <w:color w:val="000000" w:themeColor="text1"/>
                <w14:textFill>
                  <w14:solidFill>
                    <w14:schemeClr w14:val="tx1"/>
                  </w14:solidFill>
                </w14:textFill>
              </w:rPr>
              <w:t>（环办环评函[2020]688号）</w:t>
            </w:r>
            <w:r>
              <w:rPr>
                <w:rFonts w:ascii="Times New Roman" w:hAnsi="Times New Roman" w:cs="Times New Roman"/>
                <w:b/>
                <w:bCs/>
                <w:color w:val="000000" w:themeColor="text1"/>
                <w14:textFill>
                  <w14:solidFill>
                    <w14:schemeClr w14:val="tx1"/>
                  </w14:solidFill>
                </w14:textFill>
              </w:rPr>
              <w:t>规定的不符合情形，符合竣工环保验收条件</w:t>
            </w:r>
            <w:r>
              <w:rPr>
                <w:rFonts w:hint="eastAsia" w:ascii="Times New Roman" w:hAnsi="Times New Roman" w:cs="Times New Roman"/>
                <w:b/>
                <w:bCs/>
                <w:color w:val="000000" w:themeColor="text1"/>
                <w14:textFill>
                  <w14:solidFill>
                    <w14:schemeClr w14:val="tx1"/>
                  </w14:solidFill>
                </w14:textFill>
              </w:rPr>
              <w:t>。</w:t>
            </w:r>
          </w:p>
          <w:p>
            <w:pPr>
              <w:pStyle w:val="31"/>
              <w:spacing w:line="360" w:lineRule="auto"/>
              <w:jc w:val="right"/>
              <w:rPr>
                <w:rFonts w:ascii="Times New Roman" w:hAnsi="Times New Roman" w:cs="Times New Roman"/>
                <w:color w:val="0000FF"/>
                <w:sz w:val="21"/>
                <w:szCs w:val="21"/>
              </w:rPr>
            </w:pPr>
          </w:p>
        </w:tc>
      </w:tr>
    </w:tbl>
    <w:p>
      <w:pPr>
        <w:pStyle w:val="31"/>
        <w:rPr>
          <w:rFonts w:ascii="Times New Roman" w:hAnsi="Times New Roman" w:cs="Times New Roman"/>
          <w:color w:val="0000FF"/>
        </w:rPr>
        <w:sectPr>
          <w:pgSz w:w="11906" w:h="16838"/>
          <w:pgMar w:top="1440" w:right="1440" w:bottom="1440" w:left="1701" w:header="709" w:footer="709" w:gutter="0"/>
          <w:cols w:space="0" w:num="1"/>
          <w:docGrid w:linePitch="312" w:charSpace="0"/>
        </w:sectPr>
      </w:pPr>
    </w:p>
    <w:tbl>
      <w:tblPr>
        <w:tblStyle w:val="24"/>
        <w:tblpPr w:leftFromText="180" w:rightFromText="180" w:vertAnchor="page" w:horzAnchor="page" w:tblpX="616" w:tblpY="1710"/>
        <w:tblW w:w="16019" w:type="dxa"/>
        <w:jc w:val="center"/>
        <w:shd w:val="solid" w:color="FFFFFF" w:themeColor="background1" w:fill="FFFFFF" w:themeFill="background1"/>
        <w:tblLayout w:type="fixed"/>
        <w:tblCellMar>
          <w:top w:w="0" w:type="dxa"/>
          <w:left w:w="108" w:type="dxa"/>
          <w:bottom w:w="0" w:type="dxa"/>
          <w:right w:w="108" w:type="dxa"/>
        </w:tblCellMar>
      </w:tblPr>
      <w:tblGrid>
        <w:gridCol w:w="392"/>
        <w:gridCol w:w="453"/>
        <w:gridCol w:w="1544"/>
        <w:gridCol w:w="327"/>
        <w:gridCol w:w="467"/>
        <w:gridCol w:w="608"/>
        <w:gridCol w:w="424"/>
        <w:gridCol w:w="653"/>
        <w:gridCol w:w="285"/>
        <w:gridCol w:w="401"/>
        <w:gridCol w:w="181"/>
        <w:gridCol w:w="430"/>
        <w:gridCol w:w="665"/>
        <w:gridCol w:w="525"/>
        <w:gridCol w:w="1087"/>
        <w:gridCol w:w="968"/>
        <w:gridCol w:w="2569"/>
        <w:gridCol w:w="828"/>
        <w:gridCol w:w="758"/>
        <w:gridCol w:w="567"/>
        <w:gridCol w:w="653"/>
        <w:gridCol w:w="307"/>
        <w:gridCol w:w="927"/>
      </w:tblGrid>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16019" w:type="dxa"/>
            <w:gridSpan w:val="23"/>
            <w:shd w:val="solid" w:color="FFFFFF" w:themeColor="background1" w:fill="FFFFFF" w:themeFill="background1"/>
            <w:vAlign w:val="center"/>
          </w:tcPr>
          <w:p>
            <w:pPr>
              <w:autoSpaceDN w:val="0"/>
              <w:jc w:val="center"/>
              <w:textAlignment w:val="center"/>
              <w:rPr>
                <w:rFonts w:ascii="Times New Roman" w:hAnsi="Times New Roman" w:eastAsia="宋体" w:cs="Times New Roman"/>
                <w:b/>
                <w:color w:val="000000" w:themeColor="text1"/>
                <w:sz w:val="18"/>
                <w:szCs w:val="18"/>
                <w14:textFill>
                  <w14:solidFill>
                    <w14:schemeClr w14:val="tx1"/>
                  </w14:solidFill>
                </w14:textFill>
              </w:rPr>
            </w:pPr>
            <w:r>
              <w:rPr>
                <w:rFonts w:ascii="Times New Roman" w:hAnsi="Times New Roman" w:eastAsia="宋体" w:cs="Times New Roman"/>
                <w:b/>
                <w:color w:val="000000" w:themeColor="text1"/>
                <w:sz w:val="18"/>
                <w:szCs w:val="18"/>
                <w14:textFill>
                  <w14:solidFill>
                    <w14:schemeClr w14:val="tx1"/>
                  </w14:solidFill>
                </w14:textFill>
              </w:rPr>
              <w:t>建设项目工程竣工环境保护“三同时”验收登记表</w:t>
            </w:r>
          </w:p>
          <w:p>
            <w:pPr>
              <w:autoSpaceDN w:val="0"/>
              <w:ind w:firstLine="720" w:firstLineChars="400"/>
              <w:jc w:val="both"/>
              <w:textAlignment w:val="center"/>
              <w:rPr>
                <w:rFonts w:ascii="Times New Roman" w:hAnsi="Times New Roman" w:eastAsia="宋体" w:cs="Times New Roman"/>
                <w:b/>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填表单位（盖章）：</w:t>
            </w:r>
            <w:r>
              <w:rPr>
                <w:rFonts w:hint="eastAsia" w:ascii="Times New Roman" w:hAnsi="Times New Roman" w:eastAsia="宋体" w:cs="Times New Roman"/>
                <w:color w:val="000000" w:themeColor="text1"/>
                <w:sz w:val="18"/>
                <w:szCs w:val="18"/>
                <w:lang w:eastAsia="zh-CN"/>
                <w14:textFill>
                  <w14:solidFill>
                    <w14:schemeClr w14:val="tx1"/>
                  </w14:solidFill>
                </w14:textFill>
              </w:rPr>
              <w:t>泉州玛塔生态科技有限公司</w:t>
            </w:r>
            <w:r>
              <w:rPr>
                <w:rFonts w:ascii="Times New Roman" w:hAnsi="Times New Roman" w:eastAsia="宋体" w:cs="Times New Roman"/>
                <w:color w:val="000000" w:themeColor="text1"/>
                <w:sz w:val="18"/>
                <w:szCs w:val="18"/>
                <w14:textFill>
                  <w14:solidFill>
                    <w14:schemeClr w14:val="tx1"/>
                  </w14:solidFill>
                </w14:textFill>
              </w:rPr>
              <w:t xml:space="preserve">           填表人（签字）：                               项目经办人（签字）：</w:t>
            </w:r>
          </w:p>
        </w:tc>
      </w:tr>
      <w:tr>
        <w:tblPrEx>
          <w:tblCellMar>
            <w:top w:w="0" w:type="dxa"/>
            <w:left w:w="108" w:type="dxa"/>
            <w:bottom w:w="0" w:type="dxa"/>
            <w:right w:w="108" w:type="dxa"/>
          </w:tblCellMar>
        </w:tblPrEx>
        <w:trPr>
          <w:trHeight w:val="239" w:hRule="atLeast"/>
          <w:jc w:val="center"/>
        </w:trPr>
        <w:tc>
          <w:tcPr>
            <w:tcW w:w="392" w:type="dxa"/>
            <w:vMerge w:val="restart"/>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ascii="Times New Roman" w:hAnsi="Times New Roman" w:eastAsia="宋体" w:cs="Times New Roman"/>
                <w:color w:val="000000" w:themeColor="text1"/>
                <w:sz w:val="18"/>
                <w:szCs w:val="18"/>
                <w:shd w:val="clear" w:color="auto" w:fill="C0C0C0"/>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建 设 项 目</w:t>
            </w: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项目名称</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惠安县牡蛎壳固废垃圾综合处理与利用项目</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项目代码</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2018-350521-77-03-076326</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建设地点</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福建省泉州市惠安县辋川镇轻工园区</w:t>
            </w:r>
          </w:p>
        </w:tc>
      </w:tr>
      <w:tr>
        <w:tblPrEx>
          <w:tblCellMar>
            <w:top w:w="0" w:type="dxa"/>
            <w:left w:w="108" w:type="dxa"/>
            <w:bottom w:w="0" w:type="dxa"/>
            <w:right w:w="108" w:type="dxa"/>
          </w:tblCellMar>
        </w:tblPrEx>
        <w:trPr>
          <w:trHeight w:val="249"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行业类别（分类管理名录）</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default" w:ascii="Times New Roman" w:hAnsi="Times New Roman" w:eastAsia="宋体" w:cs="Times New Roman"/>
                <w:color w:val="000000" w:themeColor="text1"/>
                <w:sz w:val="18"/>
                <w:szCs w:val="18"/>
                <w:lang w:val="en-US"/>
                <w14:textFill>
                  <w14:solidFill>
                    <w14:schemeClr w14:val="tx1"/>
                  </w14:solidFill>
                </w14:textFill>
              </w:rPr>
              <w:t>C4220 非金属废料和碎屑加工处理</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建设性质</w:t>
            </w:r>
          </w:p>
        </w:tc>
        <w:tc>
          <w:tcPr>
            <w:tcW w:w="6609" w:type="dxa"/>
            <w:gridSpan w:val="7"/>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 xml:space="preserve">  新建√   改扩建    技术改造    </w:t>
            </w:r>
          </w:p>
        </w:tc>
      </w:tr>
      <w:tr>
        <w:tblPrEx>
          <w:tblCellMar>
            <w:top w:w="0" w:type="dxa"/>
            <w:left w:w="108" w:type="dxa"/>
            <w:bottom w:w="0" w:type="dxa"/>
            <w:right w:w="108" w:type="dxa"/>
          </w:tblCellMar>
        </w:tblPrEx>
        <w:trPr>
          <w:trHeight w:val="405"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建设规模</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48"/>
              <w:spacing w:line="240" w:lineRule="auto"/>
              <w:jc w:val="center"/>
              <w:rPr>
                <w:rFonts w:ascii="Times New Roman" w:hAnsi="Times New Roman" w:eastAsia="宋体" w:cs="Times New Roman"/>
                <w:color w:val="000000" w:themeColor="text1"/>
                <w:sz w:val="18"/>
                <w:szCs w:val="18"/>
                <w:lang w:val="en-US"/>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年产</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10万吨</w:t>
            </w:r>
            <w:r>
              <w:rPr>
                <w:rFonts w:hint="eastAsia" w:ascii="Times New Roman" w:hAnsi="Times New Roman" w:eastAsia="宋体" w:cs="Times New Roman"/>
                <w:color w:val="000000" w:themeColor="text1"/>
                <w:sz w:val="18"/>
                <w:szCs w:val="18"/>
                <w:lang w:eastAsia="zh-CN"/>
                <w14:textFill>
                  <w14:solidFill>
                    <w14:schemeClr w14:val="tx1"/>
                  </w14:solidFill>
                </w14:textFill>
              </w:rPr>
              <w:t>牡蛎壳土壤改良剂、重金属污染耕地修复剂</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实际产能</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pStyle w:val="48"/>
              <w:spacing w:line="240" w:lineRule="auto"/>
              <w:jc w:val="center"/>
              <w:rPr>
                <w:rFonts w:ascii="Times New Roman" w:hAnsi="Times New Roman" w:eastAsia="宋体" w:cs="Times New Roman"/>
                <w:color w:val="000000" w:themeColor="text1"/>
                <w:sz w:val="18"/>
                <w:szCs w:val="18"/>
                <w:lang w:val="en-US"/>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年产</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10万吨</w:t>
            </w:r>
            <w:r>
              <w:rPr>
                <w:rFonts w:hint="eastAsia" w:ascii="Times New Roman" w:hAnsi="Times New Roman" w:eastAsia="宋体" w:cs="Times New Roman"/>
                <w:color w:val="000000" w:themeColor="text1"/>
                <w:sz w:val="18"/>
                <w:szCs w:val="18"/>
                <w:lang w:eastAsia="zh-CN"/>
                <w14:textFill>
                  <w14:solidFill>
                    <w14:schemeClr w14:val="tx1"/>
                  </w14:solidFill>
                </w14:textFill>
              </w:rPr>
              <w:t>牡蛎壳土壤改良剂、重金属污染耕地修复剂</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环评单位</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漳州源晟环保科技有限公司</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环评文件审批机关</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泉州市生态环境局</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审批文号</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泉惠环评（2020）表3号</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环评文件类型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报告表</w:t>
            </w:r>
          </w:p>
        </w:tc>
      </w:tr>
      <w:tr>
        <w:tblPrEx>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开工日期</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20</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w:t>
            </w:r>
            <w:r>
              <w:rPr>
                <w:rFonts w:ascii="Times New Roman" w:hAnsi="Times New Roman" w:eastAsia="宋体" w:cs="Times New Roman"/>
                <w:color w:val="000000" w:themeColor="text1"/>
                <w:sz w:val="18"/>
                <w:szCs w:val="18"/>
                <w14:textFill>
                  <w14:solidFill>
                    <w14:schemeClr w14:val="tx1"/>
                  </w14:solidFill>
                </w14:textFill>
              </w:rPr>
              <w:t>年</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w:t>
            </w:r>
            <w:r>
              <w:rPr>
                <w:rFonts w:ascii="Times New Roman" w:hAnsi="Times New Roman" w:eastAsia="宋体" w:cs="Times New Roman"/>
                <w:color w:val="000000" w:themeColor="text1"/>
                <w:sz w:val="18"/>
                <w:szCs w:val="18"/>
                <w14:textFill>
                  <w14:solidFill>
                    <w14:schemeClr w14:val="tx1"/>
                  </w14:solidFill>
                </w14:textFill>
              </w:rPr>
              <w:t>月</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竣工日期</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2020年12月</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排污许可证申领时间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环保设施设计单位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自建</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环保设施施工单位</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自建</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本工程排污许可证编号</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泉州玛塔生态科技有限公司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环保设施监测单位</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泉州玛塔生态科技有限公司</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验收监测时工况</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≥75%</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投资总概算（万元）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5000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环保投资总概算（万元）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55</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r>
              <w:rPr>
                <w:rFonts w:ascii="Times New Roman" w:hAnsi="Times New Roman" w:eastAsia="宋体" w:cs="Times New Roman"/>
                <w:color w:val="000000" w:themeColor="text1"/>
                <w:sz w:val="18"/>
                <w:szCs w:val="18"/>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实际总投资（万元）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5000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实际环保投资（万元）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55</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r>
              <w:rPr>
                <w:rFonts w:ascii="Times New Roman" w:hAnsi="Times New Roman" w:eastAsia="宋体" w:cs="Times New Roman"/>
                <w:color w:val="000000" w:themeColor="text1"/>
                <w:sz w:val="18"/>
                <w:szCs w:val="18"/>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00" w:themeColor="text1"/>
                <w:sz w:val="18"/>
                <w:szCs w:val="18"/>
                <w14:textFill>
                  <w14:solidFill>
                    <w14:schemeClr w14:val="tx1"/>
                  </w14:solidFill>
                </w14:textFill>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废水治理（万元）</w:t>
            </w:r>
          </w:p>
        </w:tc>
        <w:tc>
          <w:tcPr>
            <w:tcW w:w="107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tabs>
                <w:tab w:val="left" w:pos="270"/>
                <w:tab w:val="center" w:pos="489"/>
              </w:tabs>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4</w:t>
            </w:r>
          </w:p>
        </w:tc>
        <w:tc>
          <w:tcPr>
            <w:tcW w:w="1077"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废气治理（万元）</w:t>
            </w:r>
          </w:p>
        </w:tc>
        <w:tc>
          <w:tcPr>
            <w:tcW w:w="867"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35</w:t>
            </w:r>
          </w:p>
        </w:tc>
        <w:tc>
          <w:tcPr>
            <w:tcW w:w="109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噪声治理（万元）</w:t>
            </w:r>
          </w:p>
        </w:tc>
        <w:tc>
          <w:tcPr>
            <w:tcW w:w="52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固体废物治理（万元）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绿化及生态（万元）</w:t>
            </w:r>
          </w:p>
        </w:tc>
        <w:tc>
          <w:tcPr>
            <w:tcW w:w="56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w:t>
            </w:r>
          </w:p>
        </w:tc>
        <w:tc>
          <w:tcPr>
            <w:tcW w:w="96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其它（万元）</w:t>
            </w:r>
          </w:p>
        </w:tc>
        <w:tc>
          <w:tcPr>
            <w:tcW w:w="92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8</w:t>
            </w:r>
          </w:p>
        </w:tc>
      </w:tr>
      <w:tr>
        <w:tblPrEx>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新增废水处理设施能力</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新增废气处理设施能力</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12040.8</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年平均工作时</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2400</w:t>
            </w:r>
          </w:p>
        </w:tc>
      </w:tr>
      <w:tr>
        <w:tblPrEx>
          <w:tblCellMar>
            <w:top w:w="0" w:type="dxa"/>
            <w:left w:w="108" w:type="dxa"/>
            <w:bottom w:w="0" w:type="dxa"/>
            <w:right w:w="108" w:type="dxa"/>
          </w:tblCellMar>
        </w:tblPrEx>
        <w:trPr>
          <w:trHeight w:val="249" w:hRule="atLeast"/>
          <w:jc w:val="center"/>
        </w:trPr>
        <w:tc>
          <w:tcPr>
            <w:tcW w:w="2716"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w:t>
            </w:r>
          </w:p>
        </w:tc>
        <w:tc>
          <w:tcPr>
            <w:tcW w:w="2838"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泉州玛塔生态科技有限公司</w:t>
            </w:r>
          </w:p>
        </w:tc>
        <w:tc>
          <w:tcPr>
            <w:tcW w:w="3856"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运营单位社会统一信用代码（或组织机构代码）</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91350521MA32D5906W</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验收时间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spacing w:line="280" w:lineRule="exact"/>
              <w:jc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992" w:hRule="atLeast"/>
          <w:jc w:val="center"/>
        </w:trPr>
        <w:tc>
          <w:tcPr>
            <w:tcW w:w="845" w:type="dxa"/>
            <w:gridSpan w:val="2"/>
            <w:vMerge w:val="restart"/>
            <w:tcBorders>
              <w:top w:val="single" w:color="000000" w:sz="4" w:space="0"/>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adjustRightInd/>
              <w:snapToGrid/>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物排</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放达</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标与</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控制</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（工</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业建</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设项</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目详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填）</w:t>
            </w: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原有排放量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（2）</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本期工程允许排放浓度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（3）</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本期工程产生量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（4）</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本期工程自身削减量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（5）</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（7）</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本期工程“以新带老”削减量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（8）</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全厂实际排放总量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（9）</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（10）</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区域平衡替代削减量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（11）</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排放增</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（12）</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废水</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 xml:space="preserve">化学需氧量 </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氨氮</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废气</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12040.8</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颗粒物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1.8</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30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0.6156</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0.6156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245"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二氧化硫</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23.5</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100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0.7524</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0.7524</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2.2464</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氮氧化物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37</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200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1.9368</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1.9368</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2.2464</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bl>
    <w:p>
      <w:pPr>
        <w:pStyle w:val="31"/>
        <w:rPr>
          <w:rFonts w:ascii="Times New Roman" w:hAnsi="Times New Roman" w:cs="Times New Roman"/>
          <w:color w:val="auto"/>
        </w:rPr>
        <w:sectPr>
          <w:pgSz w:w="16838" w:h="11906" w:orient="landscape"/>
          <w:pgMar w:top="1701" w:right="1440" w:bottom="1440" w:left="1440" w:header="709" w:footer="709" w:gutter="0"/>
          <w:cols w:space="0" w:num="1"/>
          <w:docGrid w:linePitch="312" w:charSpace="0"/>
        </w:sectPr>
      </w:pPr>
      <w:r>
        <w:rPr>
          <w:rFonts w:ascii="Times New Roman" w:hAnsi="Times New Roman" w:cs="Times New Roman"/>
          <w:color w:val="auto"/>
          <w:sz w:val="18"/>
        </w:rPr>
        <w:t>注：1、排放增减量：（+）表示增加，（-）表示减少。2、(12)=(6)-(8)-(11)，（9）= (4)-(5)-(8)-(11)+（1）。3、计量单位：废水排放量——万吨/年；废气排放量——万标立方米/年；工业固体废物排放量——万吨/年； 水污染物排放浓度——毫克/升；大气污染物排放浓度——毫克/立方米；水污染排放量——吨/年；大气污染物排放量——吨/年附图</w:t>
      </w:r>
    </w:p>
    <w:p>
      <w:pPr>
        <w:pStyle w:val="23"/>
        <w:ind w:firstLine="0"/>
        <w:jc w:val="left"/>
        <w:outlineLvl w:val="1"/>
        <w:rPr>
          <w:rFonts w:ascii="Times New Roman" w:hAnsi="Times New Roman" w:eastAsia="宋体" w:cs="Times New Roman"/>
          <w:color w:val="auto"/>
          <w:sz w:val="28"/>
          <w:szCs w:val="24"/>
        </w:rPr>
      </w:pPr>
      <w:r>
        <w:rPr>
          <w:rFonts w:ascii="Times New Roman" w:hAnsi="Times New Roman" w:eastAsia="宋体" w:cs="Times New Roman"/>
          <w:color w:val="auto"/>
          <w:sz w:val="28"/>
          <w:szCs w:val="24"/>
        </w:rPr>
        <w:t>附图1：项目地理位置图</w:t>
      </w:r>
    </w:p>
    <w:p>
      <w:pPr>
        <w:pStyle w:val="23"/>
        <w:ind w:firstLine="0"/>
        <w:jc w:val="both"/>
        <w:outlineLvl w:val="1"/>
        <w:rPr>
          <w:rFonts w:ascii="Times New Roman" w:hAnsi="Times New Roman" w:eastAsia="宋体" w:cs="Times New Roman"/>
          <w:color w:val="0000FF"/>
          <w:sz w:val="28"/>
          <w:szCs w:val="24"/>
        </w:rPr>
      </w:pPr>
      <w:r>
        <w:drawing>
          <wp:inline distT="0" distB="0" distL="114300" distR="114300">
            <wp:extent cx="7954010" cy="5158740"/>
            <wp:effectExtent l="0" t="0" r="889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5"/>
                    <a:stretch>
                      <a:fillRect/>
                    </a:stretch>
                  </pic:blipFill>
                  <pic:spPr>
                    <a:xfrm>
                      <a:off x="0" y="0"/>
                      <a:ext cx="7954010" cy="5158740"/>
                    </a:xfrm>
                    <a:prstGeom prst="rect">
                      <a:avLst/>
                    </a:prstGeom>
                    <a:noFill/>
                    <a:ln>
                      <a:noFill/>
                    </a:ln>
                  </pic:spPr>
                </pic:pic>
              </a:graphicData>
            </a:graphic>
          </wp:inline>
        </w:drawing>
      </w:r>
    </w:p>
    <w:p>
      <w:pPr>
        <w:pStyle w:val="23"/>
        <w:ind w:firstLine="0"/>
        <w:jc w:val="both"/>
        <w:outlineLvl w:val="1"/>
        <w:rPr>
          <w:rFonts w:ascii="Times New Roman" w:hAnsi="Times New Roman" w:eastAsia="宋体" w:cs="Times New Roman"/>
          <w:color w:val="0000FF"/>
          <w:sz w:val="28"/>
          <w:szCs w:val="24"/>
        </w:rPr>
        <w:sectPr>
          <w:headerReference r:id="rId7" w:type="default"/>
          <w:footerReference r:id="rId8" w:type="default"/>
          <w:pgSz w:w="16838" w:h="11906" w:orient="landscape"/>
          <w:pgMar w:top="1701" w:right="1440" w:bottom="1440" w:left="1440" w:header="709" w:footer="709" w:gutter="0"/>
          <w:cols w:space="0" w:num="1"/>
          <w:docGrid w:linePitch="312" w:charSpace="0"/>
        </w:sectPr>
      </w:pPr>
    </w:p>
    <w:p>
      <w:pPr>
        <w:pStyle w:val="23"/>
        <w:ind w:firstLine="0"/>
        <w:jc w:val="both"/>
        <w:outlineLvl w:val="1"/>
        <w:rPr>
          <w:rFonts w:hint="eastAsia" w:ascii="Times New Roman" w:hAnsi="Times New Roman" w:eastAsia="宋体" w:cs="Times New Roman"/>
          <w:color w:val="auto"/>
          <w:sz w:val="28"/>
          <w:szCs w:val="24"/>
        </w:rPr>
      </w:pPr>
      <w:r>
        <w:rPr>
          <w:rFonts w:hint="eastAsia" w:ascii="Times New Roman" w:hAnsi="Times New Roman" w:eastAsia="宋体" w:cs="Times New Roman"/>
          <w:color w:val="auto"/>
          <w:sz w:val="28"/>
          <w:szCs w:val="24"/>
        </w:rPr>
        <w:t>附图2 项目周边环境示意图</w:t>
      </w:r>
    </w:p>
    <w:p>
      <w:pPr>
        <w:pStyle w:val="23"/>
        <w:ind w:firstLine="0"/>
        <w:jc w:val="both"/>
        <w:outlineLvl w:val="1"/>
      </w:pPr>
      <w:r>
        <w:drawing>
          <wp:inline distT="0" distB="0" distL="114300" distR="114300">
            <wp:extent cx="8772525" cy="520065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
                    <a:stretch>
                      <a:fillRect/>
                    </a:stretch>
                  </pic:blipFill>
                  <pic:spPr>
                    <a:xfrm>
                      <a:off x="0" y="0"/>
                      <a:ext cx="8772525" cy="5200650"/>
                    </a:xfrm>
                    <a:prstGeom prst="rect">
                      <a:avLst/>
                    </a:prstGeom>
                    <a:noFill/>
                    <a:ln>
                      <a:noFill/>
                    </a:ln>
                  </pic:spPr>
                </pic:pic>
              </a:graphicData>
            </a:graphic>
          </wp:inline>
        </w:drawing>
      </w:r>
    </w:p>
    <w:p>
      <w:pPr>
        <w:pStyle w:val="23"/>
        <w:ind w:firstLine="0"/>
        <w:jc w:val="both"/>
        <w:outlineLvl w:val="1"/>
        <w:rPr>
          <w:rFonts w:hint="eastAsia" w:ascii="Times New Roman" w:hAnsi="Times New Roman" w:eastAsia="宋体" w:cs="Times New Roman"/>
          <w:color w:val="auto"/>
          <w:sz w:val="28"/>
          <w:szCs w:val="24"/>
          <w:lang w:val="en-US" w:eastAsia="zh-CN"/>
        </w:rPr>
      </w:pPr>
      <w:r>
        <w:rPr>
          <w:rFonts w:hint="eastAsia" w:ascii="Times New Roman" w:hAnsi="Times New Roman" w:eastAsia="宋体" w:cs="Times New Roman"/>
          <w:color w:val="auto"/>
          <w:sz w:val="28"/>
          <w:szCs w:val="24"/>
        </w:rPr>
        <w:t>附图</w:t>
      </w:r>
      <w:r>
        <w:rPr>
          <w:rFonts w:hint="eastAsia" w:ascii="Times New Roman" w:hAnsi="Times New Roman" w:eastAsia="宋体" w:cs="Times New Roman"/>
          <w:color w:val="auto"/>
          <w:sz w:val="28"/>
          <w:szCs w:val="24"/>
          <w:lang w:val="en-US" w:eastAsia="zh-CN"/>
        </w:rPr>
        <w:t>3</w:t>
      </w:r>
      <w:r>
        <w:rPr>
          <w:rFonts w:hint="eastAsia" w:ascii="Times New Roman" w:hAnsi="Times New Roman" w:eastAsia="宋体" w:cs="Times New Roman"/>
          <w:color w:val="auto"/>
          <w:sz w:val="28"/>
          <w:szCs w:val="24"/>
        </w:rPr>
        <w:t xml:space="preserve"> 项目</w:t>
      </w:r>
      <w:r>
        <w:rPr>
          <w:rFonts w:hint="eastAsia" w:ascii="Times New Roman" w:hAnsi="Times New Roman" w:eastAsia="宋体" w:cs="Times New Roman"/>
          <w:color w:val="auto"/>
          <w:sz w:val="28"/>
          <w:szCs w:val="24"/>
          <w:lang w:val="en-US" w:eastAsia="zh-CN"/>
        </w:rPr>
        <w:t>平面布置图</w:t>
      </w:r>
    </w:p>
    <w:p>
      <w:pPr>
        <w:pStyle w:val="23"/>
        <w:ind w:firstLine="0"/>
        <w:jc w:val="both"/>
        <w:outlineLvl w:val="1"/>
      </w:pPr>
      <w:r>
        <w:drawing>
          <wp:inline distT="0" distB="0" distL="114300" distR="114300">
            <wp:extent cx="8639175" cy="4857750"/>
            <wp:effectExtent l="0" t="0" r="9525" b="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7"/>
                    <a:stretch>
                      <a:fillRect/>
                    </a:stretch>
                  </pic:blipFill>
                  <pic:spPr>
                    <a:xfrm>
                      <a:off x="0" y="0"/>
                      <a:ext cx="8639175" cy="4857750"/>
                    </a:xfrm>
                    <a:prstGeom prst="rect">
                      <a:avLst/>
                    </a:prstGeom>
                    <a:noFill/>
                    <a:ln>
                      <a:noFill/>
                    </a:ln>
                  </pic:spPr>
                </pic:pic>
              </a:graphicData>
            </a:graphic>
          </wp:inline>
        </w:drawing>
      </w:r>
    </w:p>
    <w:p>
      <w:pPr>
        <w:pStyle w:val="23"/>
        <w:ind w:firstLine="0"/>
        <w:jc w:val="both"/>
        <w:outlineLvl w:val="1"/>
      </w:pPr>
    </w:p>
    <w:p>
      <w:pPr>
        <w:pStyle w:val="23"/>
        <w:ind w:firstLine="0"/>
        <w:jc w:val="both"/>
        <w:outlineLvl w:val="1"/>
      </w:pPr>
    </w:p>
    <w:p>
      <w:pPr>
        <w:pStyle w:val="23"/>
        <w:ind w:firstLine="0"/>
        <w:jc w:val="both"/>
        <w:outlineLvl w:val="1"/>
        <w:rPr>
          <w:rFonts w:hint="eastAsia" w:ascii="Times New Roman" w:hAnsi="Times New Roman" w:eastAsia="宋体" w:cs="Times New Roman"/>
          <w:color w:val="auto"/>
          <w:sz w:val="28"/>
          <w:szCs w:val="24"/>
          <w:lang w:val="en-US" w:eastAsia="zh-CN"/>
        </w:rPr>
      </w:pPr>
      <w:r>
        <w:rPr>
          <w:rFonts w:hint="eastAsia" w:ascii="Times New Roman" w:hAnsi="Times New Roman" w:eastAsia="宋体" w:cs="Times New Roman"/>
          <w:color w:val="auto"/>
          <w:sz w:val="28"/>
          <w:szCs w:val="24"/>
        </w:rPr>
        <w:t>附图</w:t>
      </w:r>
      <w:r>
        <w:rPr>
          <w:rFonts w:hint="eastAsia" w:ascii="Times New Roman" w:hAnsi="Times New Roman" w:eastAsia="宋体" w:cs="Times New Roman"/>
          <w:color w:val="auto"/>
          <w:sz w:val="28"/>
          <w:szCs w:val="24"/>
          <w:lang w:val="en-US" w:eastAsia="zh-CN"/>
        </w:rPr>
        <w:t>4</w:t>
      </w:r>
      <w:r>
        <w:rPr>
          <w:rFonts w:hint="eastAsia" w:ascii="Times New Roman" w:hAnsi="Times New Roman" w:eastAsia="宋体" w:cs="Times New Roman"/>
          <w:color w:val="auto"/>
          <w:sz w:val="28"/>
          <w:szCs w:val="24"/>
        </w:rPr>
        <w:t xml:space="preserve"> </w:t>
      </w:r>
      <w:r>
        <w:rPr>
          <w:rFonts w:hint="eastAsia" w:ascii="Times New Roman" w:hAnsi="Times New Roman" w:eastAsia="宋体" w:cs="Times New Roman"/>
          <w:color w:val="auto"/>
          <w:sz w:val="28"/>
          <w:szCs w:val="24"/>
          <w:lang w:val="en-US" w:eastAsia="zh-CN"/>
        </w:rPr>
        <w:t>项目卫生防护距离包络图</w:t>
      </w:r>
    </w:p>
    <w:p>
      <w:pPr>
        <w:pStyle w:val="23"/>
        <w:ind w:firstLine="0"/>
        <w:jc w:val="both"/>
        <w:outlineLvl w:val="1"/>
        <w:rPr>
          <w:rFonts w:hint="eastAsia"/>
        </w:rPr>
        <w:sectPr>
          <w:pgSz w:w="16838" w:h="11906" w:orient="landscape"/>
          <w:pgMar w:top="1701" w:right="1440" w:bottom="1440" w:left="1440" w:header="709" w:footer="709" w:gutter="0"/>
          <w:cols w:space="0" w:num="1"/>
          <w:docGrid w:linePitch="312" w:charSpace="0"/>
        </w:sectPr>
      </w:pPr>
      <w:r>
        <w:drawing>
          <wp:inline distT="0" distB="0" distL="114300" distR="114300">
            <wp:extent cx="8585200" cy="5224145"/>
            <wp:effectExtent l="0" t="0" r="6350" b="1460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8"/>
                    <a:stretch>
                      <a:fillRect/>
                    </a:stretch>
                  </pic:blipFill>
                  <pic:spPr>
                    <a:xfrm>
                      <a:off x="0" y="0"/>
                      <a:ext cx="8585200" cy="5224145"/>
                    </a:xfrm>
                    <a:prstGeom prst="rect">
                      <a:avLst/>
                    </a:prstGeom>
                    <a:noFill/>
                    <a:ln>
                      <a:noFill/>
                    </a:ln>
                  </pic:spPr>
                </pic:pic>
              </a:graphicData>
            </a:graphic>
          </wp:inline>
        </w:drawing>
      </w:r>
    </w:p>
    <w:p>
      <w:pPr>
        <w:pStyle w:val="23"/>
        <w:ind w:firstLine="0"/>
        <w:jc w:val="both"/>
        <w:rPr>
          <w:rFonts w:hint="default" w:ascii="Times New Roman" w:hAnsi="Times New Roman" w:eastAsia="宋体" w:cs="Times New Roman"/>
          <w:b/>
          <w:bCs/>
          <w:color w:val="000000" w:themeColor="text1"/>
          <w:sz w:val="28"/>
          <w:szCs w:val="24"/>
          <w:lang w:val="en-US" w:eastAsia="zh-CN"/>
          <w14:textFill>
            <w14:solidFill>
              <w14:schemeClr w14:val="tx1"/>
            </w14:solidFill>
          </w14:textFill>
        </w:rPr>
      </w:pPr>
      <w:r>
        <w:rPr>
          <w:rFonts w:ascii="Times New Roman" w:hAnsi="Times New Roman" w:eastAsia="宋体" w:cs="Times New Roman"/>
          <w:b/>
          <w:bCs/>
          <w:color w:val="000000" w:themeColor="text1"/>
          <w:sz w:val="28"/>
          <w:szCs w:val="24"/>
          <w14:textFill>
            <w14:solidFill>
              <w14:schemeClr w14:val="tx1"/>
            </w14:solidFill>
          </w14:textFill>
        </w:rPr>
        <w:t>附图</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5</w:t>
      </w:r>
      <w:r>
        <w:rPr>
          <w:rFonts w:ascii="Times New Roman" w:hAnsi="Times New Roman" w:eastAsia="宋体" w:cs="Times New Roman"/>
          <w:b/>
          <w:bCs/>
          <w:color w:val="000000" w:themeColor="text1"/>
          <w:sz w:val="28"/>
          <w:szCs w:val="24"/>
          <w14:textFill>
            <w14:solidFill>
              <w14:schemeClr w14:val="tx1"/>
            </w14:solidFill>
          </w14:textFill>
        </w:rPr>
        <w:t>：</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现场检测照片</w:t>
      </w:r>
    </w:p>
    <w:p>
      <w:pPr>
        <w:pStyle w:val="23"/>
        <w:ind w:firstLine="0"/>
        <w:jc w:val="center"/>
        <w:rPr>
          <w:rFonts w:hint="eastAsia" w:eastAsia="楷体_GB2312"/>
          <w:b/>
          <w:bCs/>
          <w:color w:val="0000FF"/>
          <w:lang w:eastAsia="zh-CN"/>
        </w:rPr>
        <w:sectPr>
          <w:pgSz w:w="11906" w:h="16838"/>
          <w:pgMar w:top="1440" w:right="1440" w:bottom="1440" w:left="1417" w:header="709" w:footer="709" w:gutter="0"/>
          <w:cols w:space="0" w:num="1"/>
          <w:docGrid w:linePitch="312" w:charSpace="0"/>
        </w:sectPr>
      </w:pPr>
      <w:r>
        <w:drawing>
          <wp:inline distT="0" distB="0" distL="114300" distR="114300">
            <wp:extent cx="5685790" cy="2961640"/>
            <wp:effectExtent l="0" t="0" r="10160" b="1016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9"/>
                    <a:stretch>
                      <a:fillRect/>
                    </a:stretch>
                  </pic:blipFill>
                  <pic:spPr>
                    <a:xfrm>
                      <a:off x="0" y="0"/>
                      <a:ext cx="5685790" cy="2961640"/>
                    </a:xfrm>
                    <a:prstGeom prst="rect">
                      <a:avLst/>
                    </a:prstGeom>
                    <a:noFill/>
                    <a:ln>
                      <a:noFill/>
                    </a:ln>
                  </pic:spPr>
                </pic:pic>
              </a:graphicData>
            </a:graphic>
          </wp:inline>
        </w:drawing>
      </w:r>
      <w:r>
        <w:drawing>
          <wp:inline distT="0" distB="0" distL="114300" distR="114300">
            <wp:extent cx="5648325" cy="5495925"/>
            <wp:effectExtent l="0" t="0" r="9525" b="952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0"/>
                    <a:stretch>
                      <a:fillRect/>
                    </a:stretch>
                  </pic:blipFill>
                  <pic:spPr>
                    <a:xfrm>
                      <a:off x="0" y="0"/>
                      <a:ext cx="5648325" cy="5495925"/>
                    </a:xfrm>
                    <a:prstGeom prst="rect">
                      <a:avLst/>
                    </a:prstGeom>
                    <a:noFill/>
                    <a:ln>
                      <a:noFill/>
                    </a:ln>
                  </pic:spPr>
                </pic:pic>
              </a:graphicData>
            </a:graphic>
          </wp:inline>
        </w:drawing>
      </w:r>
    </w:p>
    <w:p>
      <w:pPr>
        <w:pStyle w:val="23"/>
        <w:ind w:firstLine="0"/>
        <w:jc w:val="both"/>
        <w:outlineLvl w:val="1"/>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1</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环评批复</w:t>
      </w:r>
    </w:p>
    <w:p>
      <w:pPr>
        <w:pStyle w:val="23"/>
        <w:ind w:firstLine="0"/>
        <w:jc w:val="both"/>
        <w:outlineLvl w:val="1"/>
        <w:rPr>
          <w:rFonts w:hint="eastAsia" w:ascii="Times New Roman" w:hAnsi="Times New Roman" w:eastAsia="宋体" w:cs="Times New Roman"/>
          <w:color w:val="auto"/>
          <w:sz w:val="28"/>
          <w:szCs w:val="24"/>
          <w:lang w:val="en-US" w:eastAsia="zh-CN"/>
        </w:rPr>
      </w:pPr>
      <w:r>
        <w:drawing>
          <wp:inline distT="0" distB="0" distL="114300" distR="114300">
            <wp:extent cx="5153025" cy="7496175"/>
            <wp:effectExtent l="0" t="0" r="9525" b="9525"/>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21"/>
                    <a:stretch>
                      <a:fillRect/>
                    </a:stretch>
                  </pic:blipFill>
                  <pic:spPr>
                    <a:xfrm>
                      <a:off x="0" y="0"/>
                      <a:ext cx="5153025" cy="7496175"/>
                    </a:xfrm>
                    <a:prstGeom prst="rect">
                      <a:avLst/>
                    </a:prstGeom>
                    <a:noFill/>
                    <a:ln>
                      <a:noFill/>
                    </a:ln>
                  </pic:spPr>
                </pic:pic>
              </a:graphicData>
            </a:graphic>
          </wp:inline>
        </w:drawing>
      </w:r>
    </w:p>
    <w:p>
      <w:pPr>
        <w:pStyle w:val="23"/>
        <w:ind w:firstLine="0"/>
        <w:jc w:val="both"/>
        <w:outlineLvl w:val="1"/>
        <w:rPr>
          <w:rFonts w:hint="eastAsia" w:ascii="Times New Roman" w:hAnsi="Times New Roman" w:eastAsia="宋体" w:cs="Times New Roman"/>
          <w:color w:val="0000FF"/>
          <w:sz w:val="28"/>
          <w:szCs w:val="24"/>
          <w:lang w:val="en-US" w:eastAsia="zh-CN"/>
        </w:rPr>
      </w:pPr>
      <w:r>
        <w:drawing>
          <wp:inline distT="0" distB="0" distL="114300" distR="114300">
            <wp:extent cx="4857750" cy="7105650"/>
            <wp:effectExtent l="0" t="0" r="0" b="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22"/>
                    <a:stretch>
                      <a:fillRect/>
                    </a:stretch>
                  </pic:blipFill>
                  <pic:spPr>
                    <a:xfrm>
                      <a:off x="0" y="0"/>
                      <a:ext cx="4857750" cy="7105650"/>
                    </a:xfrm>
                    <a:prstGeom prst="rect">
                      <a:avLst/>
                    </a:prstGeom>
                    <a:noFill/>
                    <a:ln>
                      <a:noFill/>
                    </a:ln>
                  </pic:spPr>
                </pic:pic>
              </a:graphicData>
            </a:graphic>
          </wp:inline>
        </w:drawing>
      </w:r>
      <w:r>
        <w:drawing>
          <wp:inline distT="0" distB="0" distL="114300" distR="114300">
            <wp:extent cx="5267325" cy="7867650"/>
            <wp:effectExtent l="0" t="0" r="9525" b="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23"/>
                    <a:stretch>
                      <a:fillRect/>
                    </a:stretch>
                  </pic:blipFill>
                  <pic:spPr>
                    <a:xfrm>
                      <a:off x="0" y="0"/>
                      <a:ext cx="5267325" cy="7867650"/>
                    </a:xfrm>
                    <a:prstGeom prst="rect">
                      <a:avLst/>
                    </a:prstGeom>
                    <a:noFill/>
                    <a:ln>
                      <a:noFill/>
                    </a:ln>
                  </pic:spPr>
                </pic:pic>
              </a:graphicData>
            </a:graphic>
          </wp:inline>
        </w:drawing>
      </w:r>
    </w:p>
    <w:p>
      <w:pPr>
        <w:pStyle w:val="23"/>
        <w:ind w:firstLine="0"/>
        <w:jc w:val="both"/>
        <w:outlineLvl w:val="1"/>
        <w:rPr>
          <w:rFonts w:ascii="Times New Roman" w:hAnsi="Times New Roman" w:eastAsia="宋体" w:cs="Times New Roman"/>
          <w:color w:val="0000FF"/>
          <w:sz w:val="28"/>
          <w:szCs w:val="24"/>
        </w:rPr>
      </w:pPr>
    </w:p>
    <w:p>
      <w:pPr>
        <w:pStyle w:val="23"/>
        <w:ind w:firstLine="0"/>
        <w:jc w:val="both"/>
        <w:outlineLvl w:val="1"/>
        <w:rPr>
          <w:rFonts w:ascii="Times New Roman" w:hAnsi="Times New Roman" w:eastAsia="宋体" w:cs="Times New Roman"/>
          <w:color w:val="0000FF"/>
          <w:sz w:val="28"/>
          <w:szCs w:val="24"/>
        </w:rPr>
      </w:pPr>
    </w:p>
    <w:p>
      <w:pPr>
        <w:pStyle w:val="23"/>
        <w:ind w:firstLine="0"/>
        <w:jc w:val="both"/>
        <w:outlineLvl w:val="1"/>
        <w:rPr>
          <w:rFonts w:ascii="Times New Roman" w:hAnsi="Times New Roman" w:eastAsia="宋体" w:cs="Times New Roman"/>
          <w:color w:val="0000FF"/>
          <w:sz w:val="28"/>
          <w:szCs w:val="24"/>
        </w:rPr>
      </w:pPr>
    </w:p>
    <w:p>
      <w:pPr>
        <w:pStyle w:val="23"/>
        <w:ind w:firstLine="0"/>
        <w:jc w:val="both"/>
        <w:outlineLvl w:val="1"/>
        <w:rPr>
          <w:rFonts w:ascii="Times New Roman" w:hAnsi="Times New Roman" w:eastAsia="宋体" w:cs="Times New Roman"/>
          <w:color w:val="0000FF"/>
          <w:sz w:val="28"/>
          <w:szCs w:val="24"/>
        </w:rPr>
      </w:pPr>
    </w:p>
    <w:p>
      <w:pPr>
        <w:pStyle w:val="23"/>
        <w:ind w:firstLine="0"/>
        <w:jc w:val="both"/>
        <w:outlineLvl w:val="1"/>
        <w:rPr>
          <w:rFonts w:ascii="Times New Roman" w:hAnsi="Times New Roman" w:eastAsia="宋体" w:cs="Times New Roman"/>
          <w:color w:val="0000FF"/>
          <w:sz w:val="28"/>
          <w:szCs w:val="24"/>
        </w:rPr>
      </w:pPr>
    </w:p>
    <w:p>
      <w:pPr>
        <w:pStyle w:val="23"/>
        <w:ind w:firstLine="0"/>
        <w:jc w:val="both"/>
        <w:outlineLvl w:val="1"/>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2</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营业执照</w:t>
      </w:r>
    </w:p>
    <w:p>
      <w:pPr>
        <w:pStyle w:val="23"/>
        <w:ind w:firstLine="0"/>
        <w:jc w:val="both"/>
        <w:outlineLvl w:val="1"/>
        <w:rPr>
          <w:rFonts w:hint="eastAsia" w:ascii="Times New Roman" w:hAnsi="Times New Roman" w:eastAsia="宋体" w:cs="Times New Roman"/>
          <w:color w:val="auto"/>
          <w:sz w:val="28"/>
          <w:szCs w:val="24"/>
          <w:lang w:val="en-US" w:eastAsia="zh-CN"/>
        </w:rPr>
      </w:pPr>
      <w:r>
        <w:rPr>
          <w:rFonts w:hint="default" w:ascii="Times New Roman" w:hAnsi="Times New Roman" w:eastAsia="宋体" w:cs="Times New Roman"/>
          <w:bCs/>
          <w:color w:val="000000"/>
          <w:sz w:val="28"/>
          <w:szCs w:val="28"/>
          <w:lang w:val="en-US" w:eastAsia="zh-CN" w:bidi="ar-SA"/>
        </w:rPr>
        <w:drawing>
          <wp:inline distT="0" distB="0" distL="114300" distR="114300">
            <wp:extent cx="8680450" cy="5816600"/>
            <wp:effectExtent l="0" t="0" r="12700" b="6350"/>
            <wp:docPr id="12" name="图片 8" descr="d117e444d88b3eb3b8dfd98546c37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descr="d117e444d88b3eb3b8dfd98546c37b8"/>
                    <pic:cNvPicPr>
                      <a:picLocks noChangeAspect="1"/>
                    </pic:cNvPicPr>
                  </pic:nvPicPr>
                  <pic:blipFill>
                    <a:blip r:embed="rId24"/>
                    <a:srcRect t="3473" b="3473"/>
                    <a:stretch>
                      <a:fillRect/>
                    </a:stretch>
                  </pic:blipFill>
                  <pic:spPr>
                    <a:xfrm rot="16200000">
                      <a:off x="0" y="0"/>
                      <a:ext cx="8680450" cy="5816600"/>
                    </a:xfrm>
                    <a:prstGeom prst="rect">
                      <a:avLst/>
                    </a:prstGeom>
                    <a:noFill/>
                    <a:ln>
                      <a:noFill/>
                    </a:ln>
                  </pic:spPr>
                </pic:pic>
              </a:graphicData>
            </a:graphic>
          </wp:inline>
        </w:drawing>
      </w:r>
    </w:p>
    <w:p>
      <w:pPr>
        <w:pStyle w:val="23"/>
        <w:ind w:firstLine="0"/>
        <w:jc w:val="both"/>
        <w:outlineLvl w:val="1"/>
        <w:rPr>
          <w:rFonts w:hint="eastAsia" w:ascii="宋体" w:hAnsi="宋体"/>
          <w:b/>
          <w:color w:val="0000FF"/>
          <w:sz w:val="24"/>
          <w:lang w:val="en-US" w:eastAsia="zh-CN"/>
        </w:rPr>
      </w:pPr>
    </w:p>
    <w:p>
      <w:pPr>
        <w:pStyle w:val="23"/>
        <w:ind w:firstLine="0"/>
        <w:jc w:val="both"/>
        <w:outlineLvl w:val="1"/>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3</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总量购买</w:t>
      </w:r>
    </w:p>
    <w:p>
      <w:pPr>
        <w:pStyle w:val="23"/>
        <w:ind w:firstLine="0"/>
        <w:jc w:val="both"/>
        <w:outlineLvl w:val="1"/>
        <w:rPr>
          <w:rFonts w:hint="eastAsia" w:ascii="Times New Roman" w:hAnsi="Times New Roman" w:eastAsia="宋体" w:cs="Times New Roman"/>
          <w:color w:val="0000FF"/>
          <w:sz w:val="28"/>
          <w:szCs w:val="24"/>
          <w:lang w:val="en-US" w:eastAsia="zh-CN"/>
        </w:rPr>
      </w:pPr>
      <w:r>
        <w:drawing>
          <wp:inline distT="0" distB="0" distL="114300" distR="114300">
            <wp:extent cx="5762625" cy="8181975"/>
            <wp:effectExtent l="0" t="0" r="9525" b="952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5"/>
                    <a:stretch>
                      <a:fillRect/>
                    </a:stretch>
                  </pic:blipFill>
                  <pic:spPr>
                    <a:xfrm>
                      <a:off x="0" y="0"/>
                      <a:ext cx="5762625" cy="8181975"/>
                    </a:xfrm>
                    <a:prstGeom prst="rect">
                      <a:avLst/>
                    </a:prstGeom>
                    <a:noFill/>
                    <a:ln>
                      <a:noFill/>
                    </a:ln>
                  </pic:spPr>
                </pic:pic>
              </a:graphicData>
            </a:graphic>
          </wp:inline>
        </w:drawing>
      </w:r>
    </w:p>
    <w:p>
      <w:pPr>
        <w:pStyle w:val="23"/>
        <w:ind w:firstLine="0"/>
        <w:jc w:val="both"/>
        <w:outlineLvl w:val="1"/>
        <w:rPr>
          <w:rFonts w:hint="eastAsia" w:ascii="Times New Roman" w:hAnsi="Times New Roman" w:eastAsia="宋体" w:cs="Times New Roman"/>
          <w:color w:val="0000FF"/>
          <w:sz w:val="28"/>
          <w:szCs w:val="24"/>
          <w:lang w:val="en-US" w:eastAsia="zh-CN"/>
        </w:rPr>
      </w:pPr>
      <w:r>
        <w:drawing>
          <wp:inline distT="0" distB="0" distL="114300" distR="114300">
            <wp:extent cx="5724525" cy="7886700"/>
            <wp:effectExtent l="0" t="0" r="9525"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26"/>
                    <a:stretch>
                      <a:fillRect/>
                    </a:stretch>
                  </pic:blipFill>
                  <pic:spPr>
                    <a:xfrm>
                      <a:off x="0" y="0"/>
                      <a:ext cx="5724525" cy="7886700"/>
                    </a:xfrm>
                    <a:prstGeom prst="rect">
                      <a:avLst/>
                    </a:prstGeom>
                    <a:noFill/>
                    <a:ln>
                      <a:noFill/>
                    </a:ln>
                  </pic:spPr>
                </pic:pic>
              </a:graphicData>
            </a:graphic>
          </wp:inline>
        </w:drawing>
      </w:r>
      <w:r>
        <w:drawing>
          <wp:inline distT="0" distB="0" distL="114300" distR="114300">
            <wp:extent cx="5705475" cy="8162925"/>
            <wp:effectExtent l="0" t="0" r="9525" b="952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7"/>
                    <a:stretch>
                      <a:fillRect/>
                    </a:stretch>
                  </pic:blipFill>
                  <pic:spPr>
                    <a:xfrm>
                      <a:off x="0" y="0"/>
                      <a:ext cx="5705475" cy="8162925"/>
                    </a:xfrm>
                    <a:prstGeom prst="rect">
                      <a:avLst/>
                    </a:prstGeom>
                    <a:noFill/>
                    <a:ln>
                      <a:noFill/>
                    </a:ln>
                  </pic:spPr>
                </pic:pic>
              </a:graphicData>
            </a:graphic>
          </wp:inline>
        </w:drawing>
      </w:r>
      <w:r>
        <w:drawing>
          <wp:inline distT="0" distB="0" distL="114300" distR="114300">
            <wp:extent cx="5657850" cy="8001000"/>
            <wp:effectExtent l="0" t="0" r="0" b="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28"/>
                    <a:stretch>
                      <a:fillRect/>
                    </a:stretch>
                  </pic:blipFill>
                  <pic:spPr>
                    <a:xfrm>
                      <a:off x="0" y="0"/>
                      <a:ext cx="5657850" cy="8001000"/>
                    </a:xfrm>
                    <a:prstGeom prst="rect">
                      <a:avLst/>
                    </a:prstGeom>
                    <a:noFill/>
                    <a:ln>
                      <a:noFill/>
                    </a:ln>
                  </pic:spPr>
                </pic:pic>
              </a:graphicData>
            </a:graphic>
          </wp:inline>
        </w:drawing>
      </w:r>
    </w:p>
    <w:p>
      <w:pPr>
        <w:pStyle w:val="23"/>
        <w:ind w:firstLine="0"/>
        <w:jc w:val="both"/>
        <w:outlineLvl w:val="1"/>
        <w:rPr>
          <w:rFonts w:hint="default" w:ascii="Times New Roman" w:hAnsi="Times New Roman" w:eastAsia="宋体" w:cs="Times New Roman"/>
          <w:color w:val="0000FF"/>
          <w:sz w:val="28"/>
          <w:szCs w:val="24"/>
          <w:lang w:val="en-US" w:eastAsia="zh-CN"/>
        </w:rPr>
      </w:pPr>
    </w:p>
    <w:p>
      <w:pPr>
        <w:pStyle w:val="23"/>
        <w:ind w:firstLine="0"/>
        <w:jc w:val="both"/>
        <w:outlineLvl w:val="1"/>
        <w:rPr>
          <w:rFonts w:ascii="Times New Roman" w:hAnsi="Times New Roman" w:eastAsia="宋体" w:cs="Times New Roman"/>
          <w:color w:val="0000FF"/>
          <w:sz w:val="28"/>
          <w:szCs w:val="24"/>
        </w:rPr>
      </w:pPr>
    </w:p>
    <w:p>
      <w:pPr>
        <w:pStyle w:val="23"/>
        <w:ind w:firstLine="0"/>
        <w:jc w:val="both"/>
        <w:outlineLvl w:val="1"/>
        <w:rPr>
          <w:rFonts w:ascii="Times New Roman" w:hAnsi="Times New Roman" w:eastAsia="宋体" w:cs="Times New Roman"/>
          <w:color w:val="0000FF"/>
          <w:sz w:val="28"/>
          <w:szCs w:val="24"/>
        </w:rPr>
      </w:pPr>
    </w:p>
    <w:p>
      <w:pPr>
        <w:pStyle w:val="23"/>
        <w:ind w:firstLine="0"/>
        <w:jc w:val="both"/>
        <w:outlineLvl w:val="1"/>
        <w:rPr>
          <w:rFonts w:ascii="Times New Roman" w:hAnsi="Times New Roman" w:eastAsia="宋体" w:cs="Times New Roman"/>
          <w:color w:val="0000FF"/>
          <w:sz w:val="28"/>
          <w:szCs w:val="24"/>
        </w:rPr>
      </w:pPr>
    </w:p>
    <w:p>
      <w:pPr>
        <w:pStyle w:val="23"/>
        <w:ind w:firstLine="0"/>
        <w:jc w:val="both"/>
        <w:outlineLvl w:val="1"/>
        <w:rPr>
          <w:rFonts w:hint="eastAsia" w:eastAsia="楷体_GB2312"/>
          <w:b/>
          <w:color w:val="0000FF"/>
          <w:sz w:val="24"/>
          <w:lang w:eastAsia="zh-CN"/>
        </w:rPr>
        <w:sectPr>
          <w:pgSz w:w="11907" w:h="16840"/>
          <w:pgMar w:top="1276" w:right="1134" w:bottom="1361" w:left="1417" w:header="992" w:footer="850" w:gutter="0"/>
          <w:pgBorders w:offsetFrom="page">
            <w:top w:val="none" w:sz="0" w:space="0"/>
            <w:left w:val="none" w:sz="0" w:space="0"/>
            <w:bottom w:val="none" w:sz="0" w:space="0"/>
            <w:right w:val="none" w:sz="0" w:space="0"/>
          </w:pgBorders>
          <w:cols w:space="720" w:num="1"/>
          <w:rtlGutter w:val="0"/>
          <w:docGrid w:linePitch="494" w:charSpace="0"/>
        </w:sectPr>
      </w:pPr>
    </w:p>
    <w:p>
      <w:pPr>
        <w:pStyle w:val="23"/>
        <w:ind w:firstLine="0"/>
        <w:jc w:val="both"/>
        <w:outlineLvl w:val="1"/>
        <w:rPr>
          <w:rFonts w:hint="eastAsia" w:ascii="Times New Roman" w:hAnsi="Times New Roman" w:eastAsia="宋体" w:cs="Times New Roman"/>
          <w:color w:val="auto"/>
          <w:sz w:val="28"/>
          <w:szCs w:val="24"/>
          <w:lang w:val="en-US" w:eastAsia="zh-CN"/>
        </w:rPr>
      </w:pPr>
      <w:r>
        <w:rPr>
          <w:rFonts w:ascii="Times New Roman" w:hAnsi="Times New Roman" w:eastAsia="宋体" w:cs="Times New Roman"/>
          <w:color w:val="auto"/>
          <w:sz w:val="28"/>
          <w:szCs w:val="24"/>
        </w:rPr>
        <w:t>附件</w:t>
      </w:r>
      <w:r>
        <w:rPr>
          <w:rFonts w:hint="eastAsia" w:ascii="Times New Roman" w:hAnsi="Times New Roman" w:eastAsia="宋体" w:cs="Times New Roman"/>
          <w:color w:val="auto"/>
          <w:sz w:val="28"/>
          <w:szCs w:val="24"/>
          <w:lang w:val="en-US" w:eastAsia="zh-CN"/>
        </w:rPr>
        <w:t>4</w:t>
      </w:r>
      <w:r>
        <w:rPr>
          <w:rFonts w:ascii="Times New Roman" w:hAnsi="Times New Roman" w:eastAsia="宋体" w:cs="Times New Roman"/>
          <w:color w:val="auto"/>
          <w:sz w:val="28"/>
          <w:szCs w:val="24"/>
        </w:rPr>
        <w:t>：</w:t>
      </w:r>
      <w:r>
        <w:rPr>
          <w:rFonts w:hint="eastAsia" w:ascii="Times New Roman" w:hAnsi="Times New Roman" w:eastAsia="宋体" w:cs="Times New Roman"/>
          <w:color w:val="auto"/>
          <w:sz w:val="28"/>
          <w:szCs w:val="24"/>
          <w:lang w:val="en-US" w:eastAsia="zh-CN"/>
        </w:rPr>
        <w:t>检测报告</w:t>
      </w:r>
    </w:p>
    <w:p>
      <w:pPr>
        <w:pStyle w:val="23"/>
        <w:ind w:firstLine="0"/>
        <w:jc w:val="both"/>
        <w:outlineLvl w:val="1"/>
        <w:rPr>
          <w:rFonts w:hint="eastAsia" w:ascii="Times New Roman" w:hAnsi="Times New Roman" w:eastAsia="宋体" w:cs="Times New Roman"/>
          <w:color w:val="auto"/>
          <w:sz w:val="28"/>
          <w:szCs w:val="24"/>
          <w:lang w:val="en-US" w:eastAsia="zh-CN"/>
        </w:rPr>
      </w:pP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42" name="图片 42" descr="EC0153(WZJCJB-H2021030101)【绿园】惠安玛塔验收监测检测报告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C0153(WZJCJB-H2021030101)【绿园】惠安玛塔验收监测检测报告0000"/>
                    <pic:cNvPicPr>
                      <a:picLocks noChangeAspect="1"/>
                    </pic:cNvPicPr>
                  </pic:nvPicPr>
                  <pic:blipFill>
                    <a:blip r:embed="rId29"/>
                    <a:stretch>
                      <a:fillRect/>
                    </a:stretch>
                  </pic:blipFill>
                  <pic:spPr>
                    <a:xfrm>
                      <a:off x="0" y="0"/>
                      <a:ext cx="5939155" cy="8394700"/>
                    </a:xfrm>
                    <a:prstGeom prst="rect">
                      <a:avLst/>
                    </a:prstGeom>
                  </pic:spPr>
                </pic:pic>
              </a:graphicData>
            </a:graphic>
          </wp:inline>
        </w:drawing>
      </w:r>
    </w:p>
    <w:p>
      <w:pPr>
        <w:pStyle w:val="23"/>
        <w:ind w:firstLine="0"/>
        <w:jc w:val="both"/>
        <w:outlineLvl w:val="1"/>
        <w:rPr>
          <w:rFonts w:hint="eastAsia" w:ascii="Times New Roman" w:hAnsi="Times New Roman" w:eastAsia="宋体" w:cs="Times New Roman"/>
          <w:color w:val="auto"/>
          <w:sz w:val="28"/>
          <w:szCs w:val="24"/>
          <w:lang w:val="en-US" w:eastAsia="zh-CN"/>
        </w:rPr>
      </w:pP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41" name="图片 41" descr="EC0153(WZJCJB-H2021030101)【绿园】惠安玛塔验收监测检测报告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C0153(WZJCJB-H2021030101)【绿园】惠安玛塔验收监测检测报告0001"/>
                    <pic:cNvPicPr>
                      <a:picLocks noChangeAspect="1"/>
                    </pic:cNvPicPr>
                  </pic:nvPicPr>
                  <pic:blipFill>
                    <a:blip r:embed="rId30"/>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40" name="图片 40" descr="EC0153(WZJCJB-H2021030101)【绿园】惠安玛塔验收监测检测报告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C0153(WZJCJB-H2021030101)【绿园】惠安玛塔验收监测检测报告0002"/>
                    <pic:cNvPicPr>
                      <a:picLocks noChangeAspect="1"/>
                    </pic:cNvPicPr>
                  </pic:nvPicPr>
                  <pic:blipFill>
                    <a:blip r:embed="rId31"/>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9" name="图片 39" descr="EC0153(WZJCJB-H2021030101)【绿园】惠安玛塔验收监测检测报告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C0153(WZJCJB-H2021030101)【绿园】惠安玛塔验收监测检测报告0003"/>
                    <pic:cNvPicPr>
                      <a:picLocks noChangeAspect="1"/>
                    </pic:cNvPicPr>
                  </pic:nvPicPr>
                  <pic:blipFill>
                    <a:blip r:embed="rId32"/>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8" name="图片 38" descr="EC0153(WZJCJB-H2021030101)【绿园】惠安玛塔验收监测检测报告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C0153(WZJCJB-H2021030101)【绿园】惠安玛塔验收监测检测报告0004"/>
                    <pic:cNvPicPr>
                      <a:picLocks noChangeAspect="1"/>
                    </pic:cNvPicPr>
                  </pic:nvPicPr>
                  <pic:blipFill>
                    <a:blip r:embed="rId33"/>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7" name="图片 37" descr="EC0153(WZJCJB-H2021030101)【绿园】惠安玛塔验收监测检测报告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EC0153(WZJCJB-H2021030101)【绿园】惠安玛塔验收监测检测报告0005"/>
                    <pic:cNvPicPr>
                      <a:picLocks noChangeAspect="1"/>
                    </pic:cNvPicPr>
                  </pic:nvPicPr>
                  <pic:blipFill>
                    <a:blip r:embed="rId34"/>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6" name="图片 36" descr="EC0153(WZJCJB-H2021030101)【绿园】惠安玛塔验收监测检测报告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C0153(WZJCJB-H2021030101)【绿园】惠安玛塔验收监测检测报告0006"/>
                    <pic:cNvPicPr>
                      <a:picLocks noChangeAspect="1"/>
                    </pic:cNvPicPr>
                  </pic:nvPicPr>
                  <pic:blipFill>
                    <a:blip r:embed="rId35"/>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5" name="图片 35" descr="EC0153(WZJCJB-H2021030101)【绿园】惠安玛塔验收监测检测报告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EC0153(WZJCJB-H2021030101)【绿园】惠安玛塔验收监测检测报告0007"/>
                    <pic:cNvPicPr>
                      <a:picLocks noChangeAspect="1"/>
                    </pic:cNvPicPr>
                  </pic:nvPicPr>
                  <pic:blipFill>
                    <a:blip r:embed="rId36"/>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4" name="图片 34" descr="EC0153(WZJCJB-H2021030101)【绿园】惠安玛塔验收监测检测报告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C0153(WZJCJB-H2021030101)【绿园】惠安玛塔验收监测检测报告0008"/>
                    <pic:cNvPicPr>
                      <a:picLocks noChangeAspect="1"/>
                    </pic:cNvPicPr>
                  </pic:nvPicPr>
                  <pic:blipFill>
                    <a:blip r:embed="rId37"/>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3" name="图片 33" descr="EC0153(WZJCJB-H2021030101)【绿园】惠安玛塔验收监测检测报告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C0153(WZJCJB-H2021030101)【绿园】惠安玛塔验收监测检测报告0009"/>
                    <pic:cNvPicPr>
                      <a:picLocks noChangeAspect="1"/>
                    </pic:cNvPicPr>
                  </pic:nvPicPr>
                  <pic:blipFill>
                    <a:blip r:embed="rId38"/>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2" name="图片 32" descr="EC0153(WZJCJB-H2021030101)【绿园】惠安玛塔验收监测检测报告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EC0153(WZJCJB-H2021030101)【绿园】惠安玛塔验收监测检测报告0010"/>
                    <pic:cNvPicPr>
                      <a:picLocks noChangeAspect="1"/>
                    </pic:cNvPicPr>
                  </pic:nvPicPr>
                  <pic:blipFill>
                    <a:blip r:embed="rId39"/>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1" name="图片 31" descr="EC0153(WZJCJB-H2021030101)【绿园】惠安玛塔验收监测检测报告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EC0153(WZJCJB-H2021030101)【绿园】惠安玛塔验收监测检测报告0011"/>
                    <pic:cNvPicPr>
                      <a:picLocks noChangeAspect="1"/>
                    </pic:cNvPicPr>
                  </pic:nvPicPr>
                  <pic:blipFill>
                    <a:blip r:embed="rId40"/>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30" name="图片 30" descr="ED2903 WZJCJB-H2021042902检测报告-泉州玛塔生态科技有限公司（有组织废气）2021.05.31(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D2903 WZJCJB-H2021042902检测报告-泉州玛塔生态科技有限公司（有组织废气）2021.05.31(1)0000"/>
                    <pic:cNvPicPr>
                      <a:picLocks noChangeAspect="1"/>
                    </pic:cNvPicPr>
                  </pic:nvPicPr>
                  <pic:blipFill>
                    <a:blip r:embed="rId41"/>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9" name="图片 29" descr="ED2903 WZJCJB-H2021042902检测报告-泉州玛塔生态科技有限公司（有组织废气）2021.05.31(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ED2903 WZJCJB-H2021042902检测报告-泉州玛塔生态科技有限公司（有组织废气）2021.05.31(1)0001"/>
                    <pic:cNvPicPr>
                      <a:picLocks noChangeAspect="1"/>
                    </pic:cNvPicPr>
                  </pic:nvPicPr>
                  <pic:blipFill>
                    <a:blip r:embed="rId42"/>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8" name="图片 28" descr="ED2903 WZJCJB-H2021042902检测报告-泉州玛塔生态科技有限公司（有组织废气）2021.05.31(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D2903 WZJCJB-H2021042902检测报告-泉州玛塔生态科技有限公司（有组织废气）2021.05.31(1)0002"/>
                    <pic:cNvPicPr>
                      <a:picLocks noChangeAspect="1"/>
                    </pic:cNvPicPr>
                  </pic:nvPicPr>
                  <pic:blipFill>
                    <a:blip r:embed="rId43"/>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7" name="图片 27" descr="ED2903 WZJCJB-H2021042902检测报告-泉州玛塔生态科技有限公司（有组织废气）2021.05.31(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D2903 WZJCJB-H2021042902检测报告-泉州玛塔生态科技有限公司（有组织废气）2021.05.31(1)0003"/>
                    <pic:cNvPicPr>
                      <a:picLocks noChangeAspect="1"/>
                    </pic:cNvPicPr>
                  </pic:nvPicPr>
                  <pic:blipFill>
                    <a:blip r:embed="rId44"/>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6" name="图片 26" descr="ED2903 WZJCJB-H2021042902检测报告-泉州玛塔生态科技有限公司（有组织废气）2021.05.31(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ED2903 WZJCJB-H2021042902检测报告-泉州玛塔生态科技有限公司（有组织废气）2021.05.31(1)0004"/>
                    <pic:cNvPicPr>
                      <a:picLocks noChangeAspect="1"/>
                    </pic:cNvPicPr>
                  </pic:nvPicPr>
                  <pic:blipFill>
                    <a:blip r:embed="rId45"/>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5" name="图片 25" descr="ED2903 WZJCJB-H2021042902检测报告-泉州玛塔生态科技有限公司（有组织废气）2021.05.31(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D2903 WZJCJB-H2021042902检测报告-泉州玛塔生态科技有限公司（有组织废气）2021.05.31(1)0005"/>
                    <pic:cNvPicPr>
                      <a:picLocks noChangeAspect="1"/>
                    </pic:cNvPicPr>
                  </pic:nvPicPr>
                  <pic:blipFill>
                    <a:blip r:embed="rId46"/>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4" name="图片 24" descr="ED2903 WZJCJB-H2021042902检测报告-泉州玛塔生态科技有限公司（有组织废气）2021.05.31(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D2903 WZJCJB-H2021042902检测报告-泉州玛塔生态科技有限公司（有组织废气）2021.05.31(1)0006"/>
                    <pic:cNvPicPr>
                      <a:picLocks noChangeAspect="1"/>
                    </pic:cNvPicPr>
                  </pic:nvPicPr>
                  <pic:blipFill>
                    <a:blip r:embed="rId47"/>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3" name="图片 23" descr="ED2903 WZJCJB-H2021042902检测报告-泉州玛塔生态科技有限公司（有组织废气）2021.05.31(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D2903 WZJCJB-H2021042902检测报告-泉州玛塔生态科技有限公司（有组织废气）2021.05.31(1)0007"/>
                    <pic:cNvPicPr>
                      <a:picLocks noChangeAspect="1"/>
                    </pic:cNvPicPr>
                  </pic:nvPicPr>
                  <pic:blipFill>
                    <a:blip r:embed="rId48"/>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2" name="图片 22" descr="ED2903 WZJCJB-H2021042902检测报告-泉州玛塔生态科技有限公司（有组织废气）2021.05.31(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ED2903 WZJCJB-H2021042902检测报告-泉州玛塔生态科技有限公司（有组织废气）2021.05.31(1)0008"/>
                    <pic:cNvPicPr>
                      <a:picLocks noChangeAspect="1"/>
                    </pic:cNvPicPr>
                  </pic:nvPicPr>
                  <pic:blipFill>
                    <a:blip r:embed="rId49"/>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1" name="图片 21" descr="ED2903 WZJCJB-H2021042902检测报告-泉州玛塔生态科技有限公司（有组织废气）2021.05.31(1)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ED2903 WZJCJB-H2021042902检测报告-泉州玛塔生态科技有限公司（有组织废气）2021.05.31(1)0009"/>
                    <pic:cNvPicPr>
                      <a:picLocks noChangeAspect="1"/>
                    </pic:cNvPicPr>
                  </pic:nvPicPr>
                  <pic:blipFill>
                    <a:blip r:embed="rId50"/>
                    <a:stretch>
                      <a:fillRect/>
                    </a:stretch>
                  </pic:blipFill>
                  <pic:spPr>
                    <a:xfrm>
                      <a:off x="0" y="0"/>
                      <a:ext cx="5939155" cy="8394700"/>
                    </a:xfrm>
                    <a:prstGeom prst="rect">
                      <a:avLst/>
                    </a:prstGeom>
                  </pic:spPr>
                </pic:pic>
              </a:graphicData>
            </a:graphic>
          </wp:inline>
        </w:drawing>
      </w:r>
      <w:r>
        <w:rPr>
          <w:rFonts w:hint="eastAsia" w:ascii="Times New Roman" w:hAnsi="Times New Roman" w:eastAsia="宋体" w:cs="Times New Roman"/>
          <w:color w:val="auto"/>
          <w:sz w:val="28"/>
          <w:szCs w:val="24"/>
          <w:lang w:val="en-US" w:eastAsia="zh-CN"/>
        </w:rPr>
        <w:drawing>
          <wp:inline distT="0" distB="0" distL="114300" distR="114300">
            <wp:extent cx="5939155" cy="8394700"/>
            <wp:effectExtent l="0" t="0" r="4445" b="6350"/>
            <wp:docPr id="20" name="图片 20" descr="ED2903 WZJCJB-H2021042902检测报告-泉州玛塔生态科技有限公司（有组织废气）2021.05.31(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D2903 WZJCJB-H2021042902检测报告-泉州玛塔生态科技有限公司（有组织废气）2021.05.31(1)0010"/>
                    <pic:cNvPicPr>
                      <a:picLocks noChangeAspect="1"/>
                    </pic:cNvPicPr>
                  </pic:nvPicPr>
                  <pic:blipFill>
                    <a:blip r:embed="rId51"/>
                    <a:stretch>
                      <a:fillRect/>
                    </a:stretch>
                  </pic:blipFill>
                  <pic:spPr>
                    <a:xfrm>
                      <a:off x="0" y="0"/>
                      <a:ext cx="5939155" cy="8394700"/>
                    </a:xfrm>
                    <a:prstGeom prst="rect">
                      <a:avLst/>
                    </a:prstGeom>
                  </pic:spPr>
                </pic:pic>
              </a:graphicData>
            </a:graphic>
          </wp:inline>
        </w:drawing>
      </w:r>
    </w:p>
    <w:p>
      <w:pPr>
        <w:pStyle w:val="23"/>
        <w:ind w:firstLine="0"/>
        <w:jc w:val="both"/>
        <w:outlineLvl w:val="1"/>
        <w:rPr>
          <w:rFonts w:hint="eastAsia" w:eastAsia="楷体_GB2312"/>
          <w:b/>
          <w:color w:val="auto"/>
          <w:sz w:val="24"/>
          <w:lang w:eastAsia="zh-CN"/>
        </w:rPr>
        <w:sectPr>
          <w:pgSz w:w="11907" w:h="16840"/>
          <w:pgMar w:top="1276" w:right="1134" w:bottom="1361" w:left="1417" w:header="992" w:footer="850" w:gutter="0"/>
          <w:pgBorders w:offsetFrom="page">
            <w:top w:val="none" w:sz="0" w:space="0"/>
            <w:left w:val="none" w:sz="0" w:space="0"/>
            <w:bottom w:val="none" w:sz="0" w:space="0"/>
            <w:right w:val="none" w:sz="0" w:space="0"/>
          </w:pgBorders>
          <w:cols w:space="720" w:num="1"/>
          <w:rtlGutter w:val="0"/>
          <w:docGrid w:linePitch="494" w:charSpace="0"/>
        </w:sectPr>
      </w:pPr>
    </w:p>
    <w:p>
      <w:pPr>
        <w:pStyle w:val="23"/>
        <w:ind w:firstLine="0"/>
        <w:jc w:val="both"/>
        <w:outlineLvl w:val="1"/>
        <w:rPr>
          <w:rFonts w:hint="eastAsia" w:ascii="Times New Roman" w:hAnsi="Times New Roman" w:eastAsia="宋体" w:cs="Times New Roman"/>
          <w:color w:val="0000FF"/>
          <w:sz w:val="28"/>
          <w:szCs w:val="24"/>
          <w:lang w:val="en-US" w:eastAsia="zh-CN"/>
        </w:rPr>
      </w:pPr>
    </w:p>
    <w:sectPr>
      <w:footerReference r:id="rId9" w:type="default"/>
      <w:pgSz w:w="16838" w:h="11906" w:orient="landscape"/>
      <w:pgMar w:top="1474" w:right="1588" w:bottom="1474" w:left="1713" w:header="851" w:footer="992"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He3i9w5AgAAcAQAAA4AAAAAAAAAAQAgAAAAHwEAAGRycy9lMm9Eb2Mu&#10;eG1sUEsFBgAAAAAGAAYAWQEAAMo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7"/>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eiElI6AgAAcQQAAA4AAABkcnMvZTJvRG9jLnhtbK1UzY7TMBC+I/EO&#10;lu80aVl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HohJSOgIAAHEEAAAOAAAAAAAAAAEAIAAAAB8BAABkcnMvZTJvRG9j&#10;LnhtbFBLBQYAAAAABgAGAFkBAADLBQ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342837"/>
      <w:docPartObj>
        <w:docPartGallery w:val="autotext"/>
      </w:docPartObj>
    </w:sdtPr>
    <w:sdtContent>
      <w:p>
        <w:pPr>
          <w:pStyle w:val="17"/>
          <w:jc w:val="center"/>
        </w:pPr>
        <w:r>
          <w:fldChar w:fldCharType="begin"/>
        </w:r>
        <w:r>
          <w:instrText xml:space="preserve"> PAGE   \* MERGEFORMAT </w:instrText>
        </w:r>
        <w:r>
          <w:fldChar w:fldCharType="separate"/>
        </w:r>
        <w:r>
          <w:rPr>
            <w:lang w:val="zh-CN"/>
          </w:rPr>
          <w:t>33</w:t>
        </w:r>
        <w:r>
          <w:rPr>
            <w:lang w:val="zh-CN"/>
          </w:rPr>
          <w:fldChar w:fldCharType="end"/>
        </w:r>
      </w:p>
    </w:sdtContent>
  </w:sdt>
  <w:p>
    <w:pPr>
      <w:pStyle w:val="17"/>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spacing w:after="0" w:afterLines="0"/>
      <w:ind w:right="360" w:firstLine="360"/>
      <w:jc w:val="center"/>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845EA4"/>
    <w:multiLevelType w:val="singleLevel"/>
    <w:tmpl w:val="A2845EA4"/>
    <w:lvl w:ilvl="0" w:tentative="0">
      <w:start w:val="1"/>
      <w:numFmt w:val="decimal"/>
      <w:suff w:val="nothing"/>
      <w:lvlText w:val="%1、"/>
      <w:lvlJc w:val="left"/>
    </w:lvl>
  </w:abstractNum>
  <w:abstractNum w:abstractNumId="1">
    <w:nsid w:val="B9669A6D"/>
    <w:multiLevelType w:val="singleLevel"/>
    <w:tmpl w:val="B9669A6D"/>
    <w:lvl w:ilvl="0" w:tentative="0">
      <w:start w:val="1"/>
      <w:numFmt w:val="decimal"/>
      <w:suff w:val="nothing"/>
      <w:lvlText w:val="（%1）"/>
      <w:lvlJc w:val="left"/>
    </w:lvl>
  </w:abstractNum>
  <w:abstractNum w:abstractNumId="2">
    <w:nsid w:val="68804528"/>
    <w:multiLevelType w:val="singleLevel"/>
    <w:tmpl w:val="68804528"/>
    <w:lvl w:ilvl="0" w:tentative="0">
      <w:start w:val="1"/>
      <w:numFmt w:val="decimal"/>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attachedTemplate r:id="rId1"/>
  <w:documentProtection w:enforcement="0"/>
  <w:defaultTabStop w:val="420"/>
  <w:drawingGridHorizontalSpacing w:val="110"/>
  <w:drawingGridVerticalSpacing w:val="-794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B850C29"/>
    <w:rsid w:val="0000664E"/>
    <w:rsid w:val="00007B6D"/>
    <w:rsid w:val="000170F7"/>
    <w:rsid w:val="0002074F"/>
    <w:rsid w:val="00073298"/>
    <w:rsid w:val="000772E1"/>
    <w:rsid w:val="00084AF3"/>
    <w:rsid w:val="00122075"/>
    <w:rsid w:val="00122D18"/>
    <w:rsid w:val="001255F1"/>
    <w:rsid w:val="0013602C"/>
    <w:rsid w:val="00137A69"/>
    <w:rsid w:val="00143F5B"/>
    <w:rsid w:val="00182248"/>
    <w:rsid w:val="001846F3"/>
    <w:rsid w:val="001A39E2"/>
    <w:rsid w:val="001A4108"/>
    <w:rsid w:val="0021183F"/>
    <w:rsid w:val="002405CE"/>
    <w:rsid w:val="0024323C"/>
    <w:rsid w:val="00244857"/>
    <w:rsid w:val="00275400"/>
    <w:rsid w:val="002B46EF"/>
    <w:rsid w:val="002C1CB2"/>
    <w:rsid w:val="002E6A92"/>
    <w:rsid w:val="002F72ED"/>
    <w:rsid w:val="003046FF"/>
    <w:rsid w:val="00333893"/>
    <w:rsid w:val="00335560"/>
    <w:rsid w:val="00365893"/>
    <w:rsid w:val="003A6233"/>
    <w:rsid w:val="003C05F8"/>
    <w:rsid w:val="003C0E58"/>
    <w:rsid w:val="003C27A7"/>
    <w:rsid w:val="003C613D"/>
    <w:rsid w:val="003D63F6"/>
    <w:rsid w:val="00400ED9"/>
    <w:rsid w:val="004056D1"/>
    <w:rsid w:val="004120DE"/>
    <w:rsid w:val="00414DD7"/>
    <w:rsid w:val="00423B34"/>
    <w:rsid w:val="00456AD7"/>
    <w:rsid w:val="004B7A4E"/>
    <w:rsid w:val="004C40EC"/>
    <w:rsid w:val="004D6F31"/>
    <w:rsid w:val="004F76C0"/>
    <w:rsid w:val="00502735"/>
    <w:rsid w:val="00507E2D"/>
    <w:rsid w:val="00511197"/>
    <w:rsid w:val="0052103A"/>
    <w:rsid w:val="00533FDA"/>
    <w:rsid w:val="005839D7"/>
    <w:rsid w:val="0059023A"/>
    <w:rsid w:val="00596B9E"/>
    <w:rsid w:val="005C734B"/>
    <w:rsid w:val="005D120E"/>
    <w:rsid w:val="005F53BF"/>
    <w:rsid w:val="00606883"/>
    <w:rsid w:val="006176E5"/>
    <w:rsid w:val="006230C1"/>
    <w:rsid w:val="006247C8"/>
    <w:rsid w:val="00625732"/>
    <w:rsid w:val="00634D69"/>
    <w:rsid w:val="00655A0D"/>
    <w:rsid w:val="0068079D"/>
    <w:rsid w:val="00693390"/>
    <w:rsid w:val="006A6EFD"/>
    <w:rsid w:val="006B0CFE"/>
    <w:rsid w:val="00703BD4"/>
    <w:rsid w:val="00705AFD"/>
    <w:rsid w:val="00726981"/>
    <w:rsid w:val="007276CA"/>
    <w:rsid w:val="00731732"/>
    <w:rsid w:val="00776D02"/>
    <w:rsid w:val="00795431"/>
    <w:rsid w:val="007B4F1B"/>
    <w:rsid w:val="007B4FE2"/>
    <w:rsid w:val="007F1D7D"/>
    <w:rsid w:val="007F742E"/>
    <w:rsid w:val="0080473F"/>
    <w:rsid w:val="008103A3"/>
    <w:rsid w:val="00820918"/>
    <w:rsid w:val="00822E69"/>
    <w:rsid w:val="008271EE"/>
    <w:rsid w:val="00827AEA"/>
    <w:rsid w:val="00867BDE"/>
    <w:rsid w:val="00870741"/>
    <w:rsid w:val="008717A8"/>
    <w:rsid w:val="00880CB8"/>
    <w:rsid w:val="008A04D2"/>
    <w:rsid w:val="008D27CB"/>
    <w:rsid w:val="008D3252"/>
    <w:rsid w:val="008E0FFA"/>
    <w:rsid w:val="008E3AD1"/>
    <w:rsid w:val="008F7495"/>
    <w:rsid w:val="00902C93"/>
    <w:rsid w:val="00913646"/>
    <w:rsid w:val="009317D1"/>
    <w:rsid w:val="00946E55"/>
    <w:rsid w:val="0096714E"/>
    <w:rsid w:val="0097365A"/>
    <w:rsid w:val="00981994"/>
    <w:rsid w:val="009B732C"/>
    <w:rsid w:val="009D19F6"/>
    <w:rsid w:val="009D2A8B"/>
    <w:rsid w:val="009F0F48"/>
    <w:rsid w:val="00A04D14"/>
    <w:rsid w:val="00A20350"/>
    <w:rsid w:val="00A21CB6"/>
    <w:rsid w:val="00A43A32"/>
    <w:rsid w:val="00A47D75"/>
    <w:rsid w:val="00A64FB7"/>
    <w:rsid w:val="00A6593F"/>
    <w:rsid w:val="00A7219D"/>
    <w:rsid w:val="00A815CC"/>
    <w:rsid w:val="00AA1F43"/>
    <w:rsid w:val="00AA7A19"/>
    <w:rsid w:val="00AE3743"/>
    <w:rsid w:val="00AF589D"/>
    <w:rsid w:val="00B02CF4"/>
    <w:rsid w:val="00B50557"/>
    <w:rsid w:val="00B569AE"/>
    <w:rsid w:val="00B6043D"/>
    <w:rsid w:val="00B81143"/>
    <w:rsid w:val="00B87950"/>
    <w:rsid w:val="00BA29EA"/>
    <w:rsid w:val="00BE3AC6"/>
    <w:rsid w:val="00C313C9"/>
    <w:rsid w:val="00C72774"/>
    <w:rsid w:val="00CA778C"/>
    <w:rsid w:val="00CB0D76"/>
    <w:rsid w:val="00CB431F"/>
    <w:rsid w:val="00CF240E"/>
    <w:rsid w:val="00D25CA4"/>
    <w:rsid w:val="00D3491B"/>
    <w:rsid w:val="00D60A9D"/>
    <w:rsid w:val="00DB4C43"/>
    <w:rsid w:val="00DB4EE0"/>
    <w:rsid w:val="00DC74A7"/>
    <w:rsid w:val="00DD5DB0"/>
    <w:rsid w:val="00DF2BCA"/>
    <w:rsid w:val="00DF7BCA"/>
    <w:rsid w:val="00E31175"/>
    <w:rsid w:val="00E34923"/>
    <w:rsid w:val="00E53EB7"/>
    <w:rsid w:val="00E7715D"/>
    <w:rsid w:val="00E82F34"/>
    <w:rsid w:val="00E86B61"/>
    <w:rsid w:val="00E91068"/>
    <w:rsid w:val="00EB1CB6"/>
    <w:rsid w:val="00EB33D5"/>
    <w:rsid w:val="00EC10CB"/>
    <w:rsid w:val="00EC22D1"/>
    <w:rsid w:val="00ED6A64"/>
    <w:rsid w:val="00F4033E"/>
    <w:rsid w:val="00F41B56"/>
    <w:rsid w:val="00F46D54"/>
    <w:rsid w:val="00FD4162"/>
    <w:rsid w:val="00FD44A1"/>
    <w:rsid w:val="00FF73D9"/>
    <w:rsid w:val="01074046"/>
    <w:rsid w:val="01087146"/>
    <w:rsid w:val="01320A89"/>
    <w:rsid w:val="013F4762"/>
    <w:rsid w:val="014F62A2"/>
    <w:rsid w:val="01555D36"/>
    <w:rsid w:val="01571B3E"/>
    <w:rsid w:val="015C039B"/>
    <w:rsid w:val="015D0B69"/>
    <w:rsid w:val="0162669E"/>
    <w:rsid w:val="01731009"/>
    <w:rsid w:val="017C1861"/>
    <w:rsid w:val="01814DD7"/>
    <w:rsid w:val="01855D40"/>
    <w:rsid w:val="01874589"/>
    <w:rsid w:val="018F15B1"/>
    <w:rsid w:val="019330E1"/>
    <w:rsid w:val="019A26F4"/>
    <w:rsid w:val="01A76B9F"/>
    <w:rsid w:val="01B3283C"/>
    <w:rsid w:val="01B55669"/>
    <w:rsid w:val="01BB651F"/>
    <w:rsid w:val="01C77ACE"/>
    <w:rsid w:val="01CB14EB"/>
    <w:rsid w:val="01CE06EA"/>
    <w:rsid w:val="01D504F3"/>
    <w:rsid w:val="01E02CC3"/>
    <w:rsid w:val="01EE2233"/>
    <w:rsid w:val="020A6725"/>
    <w:rsid w:val="020B5247"/>
    <w:rsid w:val="02117A13"/>
    <w:rsid w:val="02175600"/>
    <w:rsid w:val="02201996"/>
    <w:rsid w:val="02215178"/>
    <w:rsid w:val="022B1076"/>
    <w:rsid w:val="02336432"/>
    <w:rsid w:val="023A0ACB"/>
    <w:rsid w:val="023F7854"/>
    <w:rsid w:val="02444CD5"/>
    <w:rsid w:val="024D3B57"/>
    <w:rsid w:val="02543B8E"/>
    <w:rsid w:val="02571FB0"/>
    <w:rsid w:val="0276779B"/>
    <w:rsid w:val="02774426"/>
    <w:rsid w:val="027D39E1"/>
    <w:rsid w:val="02847DB9"/>
    <w:rsid w:val="029C681D"/>
    <w:rsid w:val="029F5392"/>
    <w:rsid w:val="02B36B56"/>
    <w:rsid w:val="02BB49CE"/>
    <w:rsid w:val="02C9587A"/>
    <w:rsid w:val="02DB343C"/>
    <w:rsid w:val="02E318C8"/>
    <w:rsid w:val="02E75AF7"/>
    <w:rsid w:val="02E9438C"/>
    <w:rsid w:val="02E94D2D"/>
    <w:rsid w:val="02F726C6"/>
    <w:rsid w:val="030339CF"/>
    <w:rsid w:val="03063938"/>
    <w:rsid w:val="030D661A"/>
    <w:rsid w:val="03107520"/>
    <w:rsid w:val="031D6D1E"/>
    <w:rsid w:val="031E29D7"/>
    <w:rsid w:val="032343D2"/>
    <w:rsid w:val="03236089"/>
    <w:rsid w:val="032D73EC"/>
    <w:rsid w:val="033D1FC5"/>
    <w:rsid w:val="03441AEB"/>
    <w:rsid w:val="03483054"/>
    <w:rsid w:val="03531B2E"/>
    <w:rsid w:val="03665FE4"/>
    <w:rsid w:val="036D76E4"/>
    <w:rsid w:val="037263D9"/>
    <w:rsid w:val="03742523"/>
    <w:rsid w:val="0376595C"/>
    <w:rsid w:val="03815C3A"/>
    <w:rsid w:val="038559E0"/>
    <w:rsid w:val="03A21089"/>
    <w:rsid w:val="03AE7610"/>
    <w:rsid w:val="03B10EB7"/>
    <w:rsid w:val="03CF5C14"/>
    <w:rsid w:val="03D07326"/>
    <w:rsid w:val="03DC235A"/>
    <w:rsid w:val="03DF073B"/>
    <w:rsid w:val="03E0331E"/>
    <w:rsid w:val="03E26B34"/>
    <w:rsid w:val="03E463D3"/>
    <w:rsid w:val="03EA4A92"/>
    <w:rsid w:val="0409154E"/>
    <w:rsid w:val="041202D3"/>
    <w:rsid w:val="041B7AA1"/>
    <w:rsid w:val="042C6938"/>
    <w:rsid w:val="04313574"/>
    <w:rsid w:val="043F724A"/>
    <w:rsid w:val="045D5E10"/>
    <w:rsid w:val="0478104E"/>
    <w:rsid w:val="04883E48"/>
    <w:rsid w:val="04884804"/>
    <w:rsid w:val="0491352B"/>
    <w:rsid w:val="0496529C"/>
    <w:rsid w:val="049C7734"/>
    <w:rsid w:val="049F249A"/>
    <w:rsid w:val="04A86BEE"/>
    <w:rsid w:val="04B35BE8"/>
    <w:rsid w:val="04BE0FEF"/>
    <w:rsid w:val="04C84A7D"/>
    <w:rsid w:val="04CE76E4"/>
    <w:rsid w:val="04D3141D"/>
    <w:rsid w:val="04E9332F"/>
    <w:rsid w:val="04F26F4E"/>
    <w:rsid w:val="05002400"/>
    <w:rsid w:val="05091489"/>
    <w:rsid w:val="050A32C4"/>
    <w:rsid w:val="052147EF"/>
    <w:rsid w:val="05432981"/>
    <w:rsid w:val="05513968"/>
    <w:rsid w:val="0560382E"/>
    <w:rsid w:val="056636DB"/>
    <w:rsid w:val="05681A75"/>
    <w:rsid w:val="056D0811"/>
    <w:rsid w:val="05752390"/>
    <w:rsid w:val="05871DC9"/>
    <w:rsid w:val="058C6389"/>
    <w:rsid w:val="05925DF6"/>
    <w:rsid w:val="05A35D37"/>
    <w:rsid w:val="05A40B04"/>
    <w:rsid w:val="05AB6CBE"/>
    <w:rsid w:val="05B35541"/>
    <w:rsid w:val="05B97FF5"/>
    <w:rsid w:val="05BD097D"/>
    <w:rsid w:val="05C10E79"/>
    <w:rsid w:val="05C33333"/>
    <w:rsid w:val="05C86ED7"/>
    <w:rsid w:val="05CB7C34"/>
    <w:rsid w:val="05D07F44"/>
    <w:rsid w:val="05D45FEB"/>
    <w:rsid w:val="05DD7822"/>
    <w:rsid w:val="05E5128D"/>
    <w:rsid w:val="05F05F3C"/>
    <w:rsid w:val="05F33DE3"/>
    <w:rsid w:val="05F5438C"/>
    <w:rsid w:val="05FD2716"/>
    <w:rsid w:val="06023097"/>
    <w:rsid w:val="0604537E"/>
    <w:rsid w:val="06101C8C"/>
    <w:rsid w:val="062B60C2"/>
    <w:rsid w:val="06326A2D"/>
    <w:rsid w:val="06413FA8"/>
    <w:rsid w:val="064B7704"/>
    <w:rsid w:val="06507805"/>
    <w:rsid w:val="06575936"/>
    <w:rsid w:val="06602BB4"/>
    <w:rsid w:val="06637207"/>
    <w:rsid w:val="066C1959"/>
    <w:rsid w:val="067B719C"/>
    <w:rsid w:val="06807BE4"/>
    <w:rsid w:val="06820453"/>
    <w:rsid w:val="068948CD"/>
    <w:rsid w:val="06932FF7"/>
    <w:rsid w:val="06A341A7"/>
    <w:rsid w:val="06A82F5B"/>
    <w:rsid w:val="06AA49E0"/>
    <w:rsid w:val="06B75333"/>
    <w:rsid w:val="06D44F60"/>
    <w:rsid w:val="06E86867"/>
    <w:rsid w:val="06EF4912"/>
    <w:rsid w:val="06F92C5D"/>
    <w:rsid w:val="06FD211F"/>
    <w:rsid w:val="070047B4"/>
    <w:rsid w:val="070159FE"/>
    <w:rsid w:val="07052346"/>
    <w:rsid w:val="070839E5"/>
    <w:rsid w:val="070D4194"/>
    <w:rsid w:val="07106B48"/>
    <w:rsid w:val="071A4A25"/>
    <w:rsid w:val="071F425E"/>
    <w:rsid w:val="07335F45"/>
    <w:rsid w:val="07386A5E"/>
    <w:rsid w:val="073B41FD"/>
    <w:rsid w:val="07545637"/>
    <w:rsid w:val="075D175E"/>
    <w:rsid w:val="0760459B"/>
    <w:rsid w:val="07650044"/>
    <w:rsid w:val="07787161"/>
    <w:rsid w:val="077A7B8A"/>
    <w:rsid w:val="07A028AF"/>
    <w:rsid w:val="07A40B28"/>
    <w:rsid w:val="07A502F4"/>
    <w:rsid w:val="07AA4CD9"/>
    <w:rsid w:val="07BC43A4"/>
    <w:rsid w:val="07BC729D"/>
    <w:rsid w:val="07C90E80"/>
    <w:rsid w:val="07D22F1A"/>
    <w:rsid w:val="07D608D5"/>
    <w:rsid w:val="07D87287"/>
    <w:rsid w:val="07DC5FAA"/>
    <w:rsid w:val="07E37B1C"/>
    <w:rsid w:val="07E509E1"/>
    <w:rsid w:val="07E57C64"/>
    <w:rsid w:val="07EE390E"/>
    <w:rsid w:val="07F0031C"/>
    <w:rsid w:val="082D6213"/>
    <w:rsid w:val="082E414A"/>
    <w:rsid w:val="08342D07"/>
    <w:rsid w:val="0834513C"/>
    <w:rsid w:val="08483D46"/>
    <w:rsid w:val="08596130"/>
    <w:rsid w:val="086134C4"/>
    <w:rsid w:val="08686183"/>
    <w:rsid w:val="086C4F68"/>
    <w:rsid w:val="08831B75"/>
    <w:rsid w:val="088D0831"/>
    <w:rsid w:val="08A211FF"/>
    <w:rsid w:val="08A510FD"/>
    <w:rsid w:val="08A623AF"/>
    <w:rsid w:val="08AC7940"/>
    <w:rsid w:val="08AD335A"/>
    <w:rsid w:val="08B6623B"/>
    <w:rsid w:val="08B662E7"/>
    <w:rsid w:val="08D36930"/>
    <w:rsid w:val="08E33990"/>
    <w:rsid w:val="08E94ECE"/>
    <w:rsid w:val="08EA1524"/>
    <w:rsid w:val="08FB3880"/>
    <w:rsid w:val="0901439C"/>
    <w:rsid w:val="090667AC"/>
    <w:rsid w:val="090C053C"/>
    <w:rsid w:val="090E7C9B"/>
    <w:rsid w:val="091468DD"/>
    <w:rsid w:val="0923024B"/>
    <w:rsid w:val="093375BB"/>
    <w:rsid w:val="09385D4D"/>
    <w:rsid w:val="094F58AB"/>
    <w:rsid w:val="094F5C49"/>
    <w:rsid w:val="095A0746"/>
    <w:rsid w:val="096E2CA3"/>
    <w:rsid w:val="098477C5"/>
    <w:rsid w:val="09882276"/>
    <w:rsid w:val="09886F8A"/>
    <w:rsid w:val="098B7D00"/>
    <w:rsid w:val="09927ABB"/>
    <w:rsid w:val="09962F02"/>
    <w:rsid w:val="09987EDA"/>
    <w:rsid w:val="09B25955"/>
    <w:rsid w:val="09B66121"/>
    <w:rsid w:val="09BF31F9"/>
    <w:rsid w:val="09C7288A"/>
    <w:rsid w:val="09CC00F6"/>
    <w:rsid w:val="09D32AA4"/>
    <w:rsid w:val="09D427C0"/>
    <w:rsid w:val="09DC4DF0"/>
    <w:rsid w:val="09E22E5A"/>
    <w:rsid w:val="09EA3420"/>
    <w:rsid w:val="09EA7403"/>
    <w:rsid w:val="09F01221"/>
    <w:rsid w:val="09F64B8F"/>
    <w:rsid w:val="0A207B1F"/>
    <w:rsid w:val="0A2A36C4"/>
    <w:rsid w:val="0A2E5D2E"/>
    <w:rsid w:val="0A5C6E0F"/>
    <w:rsid w:val="0A796CC5"/>
    <w:rsid w:val="0A7D181C"/>
    <w:rsid w:val="0A827AF5"/>
    <w:rsid w:val="0A841A62"/>
    <w:rsid w:val="0A844B06"/>
    <w:rsid w:val="0A857D39"/>
    <w:rsid w:val="0A885898"/>
    <w:rsid w:val="0A8D64ED"/>
    <w:rsid w:val="0A8D7DFD"/>
    <w:rsid w:val="0A903042"/>
    <w:rsid w:val="0A917864"/>
    <w:rsid w:val="0AA01447"/>
    <w:rsid w:val="0AA71C88"/>
    <w:rsid w:val="0AA95240"/>
    <w:rsid w:val="0ABA440B"/>
    <w:rsid w:val="0ABF7418"/>
    <w:rsid w:val="0AD140C6"/>
    <w:rsid w:val="0AD36DC9"/>
    <w:rsid w:val="0AE1709D"/>
    <w:rsid w:val="0AEB5307"/>
    <w:rsid w:val="0AEF1CA4"/>
    <w:rsid w:val="0AF62D76"/>
    <w:rsid w:val="0AFC4F93"/>
    <w:rsid w:val="0AFC7A29"/>
    <w:rsid w:val="0B0A635E"/>
    <w:rsid w:val="0B103B47"/>
    <w:rsid w:val="0B2064B2"/>
    <w:rsid w:val="0B2D4768"/>
    <w:rsid w:val="0B3558A5"/>
    <w:rsid w:val="0B385C98"/>
    <w:rsid w:val="0B3B3643"/>
    <w:rsid w:val="0B426D02"/>
    <w:rsid w:val="0B483DAF"/>
    <w:rsid w:val="0B4A77EA"/>
    <w:rsid w:val="0B4F1AAF"/>
    <w:rsid w:val="0B505CD8"/>
    <w:rsid w:val="0B5D4EE0"/>
    <w:rsid w:val="0B63435B"/>
    <w:rsid w:val="0B8A7168"/>
    <w:rsid w:val="0B8B10C0"/>
    <w:rsid w:val="0B99666A"/>
    <w:rsid w:val="0B997CAF"/>
    <w:rsid w:val="0B9E62C4"/>
    <w:rsid w:val="0BA13491"/>
    <w:rsid w:val="0BA51239"/>
    <w:rsid w:val="0BA645D0"/>
    <w:rsid w:val="0BBD1B43"/>
    <w:rsid w:val="0BC466F4"/>
    <w:rsid w:val="0BC631B1"/>
    <w:rsid w:val="0BD27054"/>
    <w:rsid w:val="0BD45DB0"/>
    <w:rsid w:val="0BE175FA"/>
    <w:rsid w:val="0C2B34D5"/>
    <w:rsid w:val="0C346CC5"/>
    <w:rsid w:val="0C3D07BF"/>
    <w:rsid w:val="0C4613F7"/>
    <w:rsid w:val="0C5974B7"/>
    <w:rsid w:val="0C5E192C"/>
    <w:rsid w:val="0C7505D5"/>
    <w:rsid w:val="0C7722F9"/>
    <w:rsid w:val="0C810D74"/>
    <w:rsid w:val="0C8223AA"/>
    <w:rsid w:val="0C825A90"/>
    <w:rsid w:val="0C8B1CB3"/>
    <w:rsid w:val="0C8C7FCB"/>
    <w:rsid w:val="0C8F7B18"/>
    <w:rsid w:val="0C9F555A"/>
    <w:rsid w:val="0CA347A7"/>
    <w:rsid w:val="0CB030D0"/>
    <w:rsid w:val="0CBD2E10"/>
    <w:rsid w:val="0CBD7D37"/>
    <w:rsid w:val="0CCA4B07"/>
    <w:rsid w:val="0CCF5AA7"/>
    <w:rsid w:val="0CD20F22"/>
    <w:rsid w:val="0CD42BF0"/>
    <w:rsid w:val="0CD574E2"/>
    <w:rsid w:val="0CD635DC"/>
    <w:rsid w:val="0D042796"/>
    <w:rsid w:val="0D1666C2"/>
    <w:rsid w:val="0D3201BB"/>
    <w:rsid w:val="0D446F88"/>
    <w:rsid w:val="0D6C0F92"/>
    <w:rsid w:val="0D862E26"/>
    <w:rsid w:val="0D871BC2"/>
    <w:rsid w:val="0D8F2357"/>
    <w:rsid w:val="0D9A621B"/>
    <w:rsid w:val="0DA16BA8"/>
    <w:rsid w:val="0DA65670"/>
    <w:rsid w:val="0DA77083"/>
    <w:rsid w:val="0DB11C19"/>
    <w:rsid w:val="0DCA2163"/>
    <w:rsid w:val="0DCC33D9"/>
    <w:rsid w:val="0DD07926"/>
    <w:rsid w:val="0DDB0847"/>
    <w:rsid w:val="0DDC7116"/>
    <w:rsid w:val="0DF3401C"/>
    <w:rsid w:val="0DF5249E"/>
    <w:rsid w:val="0E1A6B31"/>
    <w:rsid w:val="0E2461F6"/>
    <w:rsid w:val="0E2A3D70"/>
    <w:rsid w:val="0E3A01FA"/>
    <w:rsid w:val="0E3C19C8"/>
    <w:rsid w:val="0E4404B2"/>
    <w:rsid w:val="0E4410A5"/>
    <w:rsid w:val="0E4970D4"/>
    <w:rsid w:val="0E4B613E"/>
    <w:rsid w:val="0E4C3E08"/>
    <w:rsid w:val="0E4E3D4E"/>
    <w:rsid w:val="0E543543"/>
    <w:rsid w:val="0E761B6C"/>
    <w:rsid w:val="0E773ABB"/>
    <w:rsid w:val="0E7F3F63"/>
    <w:rsid w:val="0E8807BD"/>
    <w:rsid w:val="0E9B4995"/>
    <w:rsid w:val="0E9D4EFB"/>
    <w:rsid w:val="0EAD5805"/>
    <w:rsid w:val="0EBF4221"/>
    <w:rsid w:val="0EC1568B"/>
    <w:rsid w:val="0EC20938"/>
    <w:rsid w:val="0EE11F36"/>
    <w:rsid w:val="0EE42959"/>
    <w:rsid w:val="0EFD2849"/>
    <w:rsid w:val="0F0668CA"/>
    <w:rsid w:val="0F0D7B3F"/>
    <w:rsid w:val="0F2E7F18"/>
    <w:rsid w:val="0F31112A"/>
    <w:rsid w:val="0F4126ED"/>
    <w:rsid w:val="0F4328C8"/>
    <w:rsid w:val="0F500AB0"/>
    <w:rsid w:val="0F524416"/>
    <w:rsid w:val="0F5C78A9"/>
    <w:rsid w:val="0F5D3222"/>
    <w:rsid w:val="0F5D59BD"/>
    <w:rsid w:val="0F6147A0"/>
    <w:rsid w:val="0F76004A"/>
    <w:rsid w:val="0F761DF7"/>
    <w:rsid w:val="0F7F46C4"/>
    <w:rsid w:val="0F815185"/>
    <w:rsid w:val="0F8D109F"/>
    <w:rsid w:val="0F8F2578"/>
    <w:rsid w:val="0F945149"/>
    <w:rsid w:val="0FA56FC7"/>
    <w:rsid w:val="0FA96E6B"/>
    <w:rsid w:val="0FAD3053"/>
    <w:rsid w:val="0FAF00BC"/>
    <w:rsid w:val="0FB6376E"/>
    <w:rsid w:val="0FBA4E83"/>
    <w:rsid w:val="0FBC73ED"/>
    <w:rsid w:val="0FBF07D3"/>
    <w:rsid w:val="0FC54EE6"/>
    <w:rsid w:val="0FD609C1"/>
    <w:rsid w:val="0FDC7E6B"/>
    <w:rsid w:val="0FE2665E"/>
    <w:rsid w:val="0FF6328B"/>
    <w:rsid w:val="10052627"/>
    <w:rsid w:val="100C3E07"/>
    <w:rsid w:val="1017171F"/>
    <w:rsid w:val="101B4FC5"/>
    <w:rsid w:val="10206FB0"/>
    <w:rsid w:val="10230B93"/>
    <w:rsid w:val="10333EDE"/>
    <w:rsid w:val="103831C6"/>
    <w:rsid w:val="103E4562"/>
    <w:rsid w:val="10404158"/>
    <w:rsid w:val="10524AF7"/>
    <w:rsid w:val="106F19C5"/>
    <w:rsid w:val="10820F19"/>
    <w:rsid w:val="108A4404"/>
    <w:rsid w:val="108A7C66"/>
    <w:rsid w:val="109A0CC1"/>
    <w:rsid w:val="10A136B9"/>
    <w:rsid w:val="10A42E2D"/>
    <w:rsid w:val="10A44B24"/>
    <w:rsid w:val="10A565D2"/>
    <w:rsid w:val="10AF51E5"/>
    <w:rsid w:val="10BA6E1A"/>
    <w:rsid w:val="10C2430D"/>
    <w:rsid w:val="10C90ACF"/>
    <w:rsid w:val="10CA3BDC"/>
    <w:rsid w:val="10CC3260"/>
    <w:rsid w:val="10CF3E89"/>
    <w:rsid w:val="10D51C8E"/>
    <w:rsid w:val="10D805D5"/>
    <w:rsid w:val="10D83774"/>
    <w:rsid w:val="10E84C83"/>
    <w:rsid w:val="10F918EB"/>
    <w:rsid w:val="111B28C2"/>
    <w:rsid w:val="112003A1"/>
    <w:rsid w:val="11293937"/>
    <w:rsid w:val="113822C9"/>
    <w:rsid w:val="11413EB7"/>
    <w:rsid w:val="1146686D"/>
    <w:rsid w:val="114F1313"/>
    <w:rsid w:val="11565CBD"/>
    <w:rsid w:val="11637FF6"/>
    <w:rsid w:val="11706D7A"/>
    <w:rsid w:val="11706ED2"/>
    <w:rsid w:val="117307F9"/>
    <w:rsid w:val="11796DD7"/>
    <w:rsid w:val="117B2EF3"/>
    <w:rsid w:val="118A79F7"/>
    <w:rsid w:val="1192561D"/>
    <w:rsid w:val="11941056"/>
    <w:rsid w:val="119909C8"/>
    <w:rsid w:val="119B2E2E"/>
    <w:rsid w:val="11A23BF6"/>
    <w:rsid w:val="11A6066D"/>
    <w:rsid w:val="11A87179"/>
    <w:rsid w:val="11AB4549"/>
    <w:rsid w:val="11AE7D52"/>
    <w:rsid w:val="11B52839"/>
    <w:rsid w:val="11CA4CC1"/>
    <w:rsid w:val="11D67F5D"/>
    <w:rsid w:val="11D75F2A"/>
    <w:rsid w:val="11DD0499"/>
    <w:rsid w:val="11DD31D1"/>
    <w:rsid w:val="11E42EA6"/>
    <w:rsid w:val="11F41772"/>
    <w:rsid w:val="12046B3C"/>
    <w:rsid w:val="1208336E"/>
    <w:rsid w:val="1220793A"/>
    <w:rsid w:val="12211262"/>
    <w:rsid w:val="122C3702"/>
    <w:rsid w:val="122E55DD"/>
    <w:rsid w:val="12334A21"/>
    <w:rsid w:val="123D3805"/>
    <w:rsid w:val="12412EA7"/>
    <w:rsid w:val="126D039E"/>
    <w:rsid w:val="127508B0"/>
    <w:rsid w:val="1285444F"/>
    <w:rsid w:val="12AF2AF5"/>
    <w:rsid w:val="12C32643"/>
    <w:rsid w:val="12C60065"/>
    <w:rsid w:val="12C752F2"/>
    <w:rsid w:val="12DA0E63"/>
    <w:rsid w:val="12DD0117"/>
    <w:rsid w:val="12DD4D68"/>
    <w:rsid w:val="12DE4FDF"/>
    <w:rsid w:val="12F04D11"/>
    <w:rsid w:val="12F176F2"/>
    <w:rsid w:val="12F56A98"/>
    <w:rsid w:val="12F862BA"/>
    <w:rsid w:val="130200A8"/>
    <w:rsid w:val="130F4894"/>
    <w:rsid w:val="13141E2E"/>
    <w:rsid w:val="13171052"/>
    <w:rsid w:val="131B17A3"/>
    <w:rsid w:val="132C5E43"/>
    <w:rsid w:val="132E25B7"/>
    <w:rsid w:val="133875FC"/>
    <w:rsid w:val="133935F6"/>
    <w:rsid w:val="13394607"/>
    <w:rsid w:val="134A6FA1"/>
    <w:rsid w:val="13636863"/>
    <w:rsid w:val="137148E6"/>
    <w:rsid w:val="13926C8F"/>
    <w:rsid w:val="139460E2"/>
    <w:rsid w:val="139C0911"/>
    <w:rsid w:val="13A34909"/>
    <w:rsid w:val="13B26B58"/>
    <w:rsid w:val="13BF68B0"/>
    <w:rsid w:val="13C2059E"/>
    <w:rsid w:val="13CB2A15"/>
    <w:rsid w:val="13D171C9"/>
    <w:rsid w:val="13D34164"/>
    <w:rsid w:val="13E928B9"/>
    <w:rsid w:val="13EA53CB"/>
    <w:rsid w:val="13F8578D"/>
    <w:rsid w:val="14023E93"/>
    <w:rsid w:val="140305DD"/>
    <w:rsid w:val="140D4CC3"/>
    <w:rsid w:val="141603FF"/>
    <w:rsid w:val="141A1890"/>
    <w:rsid w:val="1428784E"/>
    <w:rsid w:val="142F4A58"/>
    <w:rsid w:val="14311C32"/>
    <w:rsid w:val="143343BC"/>
    <w:rsid w:val="143B3F94"/>
    <w:rsid w:val="143E155D"/>
    <w:rsid w:val="14434081"/>
    <w:rsid w:val="14524FEA"/>
    <w:rsid w:val="14537D60"/>
    <w:rsid w:val="145F55A0"/>
    <w:rsid w:val="146A2630"/>
    <w:rsid w:val="146D09C8"/>
    <w:rsid w:val="14753CCA"/>
    <w:rsid w:val="147E7D46"/>
    <w:rsid w:val="1485728F"/>
    <w:rsid w:val="14874CB2"/>
    <w:rsid w:val="14B27947"/>
    <w:rsid w:val="14BE4E9D"/>
    <w:rsid w:val="14C11702"/>
    <w:rsid w:val="14C967EE"/>
    <w:rsid w:val="14DD0CB2"/>
    <w:rsid w:val="14E32182"/>
    <w:rsid w:val="14E5108F"/>
    <w:rsid w:val="14E56D7F"/>
    <w:rsid w:val="14FC6299"/>
    <w:rsid w:val="15092CE2"/>
    <w:rsid w:val="15146B8D"/>
    <w:rsid w:val="151E3928"/>
    <w:rsid w:val="15270A82"/>
    <w:rsid w:val="153348AC"/>
    <w:rsid w:val="154926B6"/>
    <w:rsid w:val="155D7538"/>
    <w:rsid w:val="15602622"/>
    <w:rsid w:val="15882251"/>
    <w:rsid w:val="158C79C7"/>
    <w:rsid w:val="159F0ADB"/>
    <w:rsid w:val="15A27F8D"/>
    <w:rsid w:val="15B02087"/>
    <w:rsid w:val="15BC1A66"/>
    <w:rsid w:val="15C20B7F"/>
    <w:rsid w:val="15C63674"/>
    <w:rsid w:val="15C7162A"/>
    <w:rsid w:val="15C71BAE"/>
    <w:rsid w:val="15D62F35"/>
    <w:rsid w:val="15E31513"/>
    <w:rsid w:val="15E33711"/>
    <w:rsid w:val="15E74810"/>
    <w:rsid w:val="16094054"/>
    <w:rsid w:val="160B72AB"/>
    <w:rsid w:val="160F4D63"/>
    <w:rsid w:val="16214B8C"/>
    <w:rsid w:val="162504D3"/>
    <w:rsid w:val="163A210E"/>
    <w:rsid w:val="163A71FB"/>
    <w:rsid w:val="163F3A39"/>
    <w:rsid w:val="164C3FF0"/>
    <w:rsid w:val="165E551D"/>
    <w:rsid w:val="16720795"/>
    <w:rsid w:val="16757DC4"/>
    <w:rsid w:val="167B13A6"/>
    <w:rsid w:val="167F56C3"/>
    <w:rsid w:val="16912C93"/>
    <w:rsid w:val="16A72652"/>
    <w:rsid w:val="16A77DCA"/>
    <w:rsid w:val="16AF43BD"/>
    <w:rsid w:val="16B34234"/>
    <w:rsid w:val="16D34240"/>
    <w:rsid w:val="16E91EEF"/>
    <w:rsid w:val="16F76675"/>
    <w:rsid w:val="1702673E"/>
    <w:rsid w:val="170764AD"/>
    <w:rsid w:val="1712743B"/>
    <w:rsid w:val="17146B43"/>
    <w:rsid w:val="17317359"/>
    <w:rsid w:val="17334AF3"/>
    <w:rsid w:val="1734260A"/>
    <w:rsid w:val="17373E74"/>
    <w:rsid w:val="17407BE4"/>
    <w:rsid w:val="1749489B"/>
    <w:rsid w:val="17566A11"/>
    <w:rsid w:val="17671511"/>
    <w:rsid w:val="176A1936"/>
    <w:rsid w:val="176D1612"/>
    <w:rsid w:val="176E29FA"/>
    <w:rsid w:val="177D7B9E"/>
    <w:rsid w:val="178A3401"/>
    <w:rsid w:val="17914411"/>
    <w:rsid w:val="17A35554"/>
    <w:rsid w:val="17A4371E"/>
    <w:rsid w:val="17A804B8"/>
    <w:rsid w:val="17B71F43"/>
    <w:rsid w:val="17BB244C"/>
    <w:rsid w:val="17C95459"/>
    <w:rsid w:val="17D62BA2"/>
    <w:rsid w:val="17DA0856"/>
    <w:rsid w:val="17E7529B"/>
    <w:rsid w:val="17F21008"/>
    <w:rsid w:val="17F75769"/>
    <w:rsid w:val="17F91DD3"/>
    <w:rsid w:val="17FE294B"/>
    <w:rsid w:val="17FF78E9"/>
    <w:rsid w:val="18082A99"/>
    <w:rsid w:val="18115A0E"/>
    <w:rsid w:val="182A6AA0"/>
    <w:rsid w:val="182C22CC"/>
    <w:rsid w:val="182E1F2D"/>
    <w:rsid w:val="182F2F78"/>
    <w:rsid w:val="183C3E93"/>
    <w:rsid w:val="183E1116"/>
    <w:rsid w:val="18413D8A"/>
    <w:rsid w:val="186E6F89"/>
    <w:rsid w:val="187A0FAC"/>
    <w:rsid w:val="18923E81"/>
    <w:rsid w:val="189268DB"/>
    <w:rsid w:val="189370B5"/>
    <w:rsid w:val="18965EA0"/>
    <w:rsid w:val="189E21A5"/>
    <w:rsid w:val="18A075EC"/>
    <w:rsid w:val="18A36151"/>
    <w:rsid w:val="18C21A9E"/>
    <w:rsid w:val="18C92BA9"/>
    <w:rsid w:val="18CC3E05"/>
    <w:rsid w:val="18CE0FAF"/>
    <w:rsid w:val="18ED2160"/>
    <w:rsid w:val="18EE3749"/>
    <w:rsid w:val="18F676BF"/>
    <w:rsid w:val="19150E17"/>
    <w:rsid w:val="19161247"/>
    <w:rsid w:val="19241126"/>
    <w:rsid w:val="19267E02"/>
    <w:rsid w:val="19332501"/>
    <w:rsid w:val="19444F26"/>
    <w:rsid w:val="19514EAD"/>
    <w:rsid w:val="19584FD4"/>
    <w:rsid w:val="195B1ABE"/>
    <w:rsid w:val="195C1080"/>
    <w:rsid w:val="195D28C8"/>
    <w:rsid w:val="19664670"/>
    <w:rsid w:val="19716B5F"/>
    <w:rsid w:val="19747000"/>
    <w:rsid w:val="19761130"/>
    <w:rsid w:val="198C6BA3"/>
    <w:rsid w:val="19944212"/>
    <w:rsid w:val="19A848CE"/>
    <w:rsid w:val="19AA00F1"/>
    <w:rsid w:val="19B625BD"/>
    <w:rsid w:val="19BF38D3"/>
    <w:rsid w:val="19C84559"/>
    <w:rsid w:val="19DA3D6E"/>
    <w:rsid w:val="19E26A19"/>
    <w:rsid w:val="19ED508F"/>
    <w:rsid w:val="19F51DAE"/>
    <w:rsid w:val="19F809AC"/>
    <w:rsid w:val="1A05381A"/>
    <w:rsid w:val="1A061BAE"/>
    <w:rsid w:val="1A1A1755"/>
    <w:rsid w:val="1A3B7251"/>
    <w:rsid w:val="1A3D459F"/>
    <w:rsid w:val="1A481648"/>
    <w:rsid w:val="1A493DA2"/>
    <w:rsid w:val="1A566B3C"/>
    <w:rsid w:val="1A691311"/>
    <w:rsid w:val="1A7515F6"/>
    <w:rsid w:val="1A7E6681"/>
    <w:rsid w:val="1A934F6D"/>
    <w:rsid w:val="1A9A2DD4"/>
    <w:rsid w:val="1AA5105E"/>
    <w:rsid w:val="1AB43B0E"/>
    <w:rsid w:val="1ABC52F8"/>
    <w:rsid w:val="1AD450BF"/>
    <w:rsid w:val="1AD67472"/>
    <w:rsid w:val="1AF77E4C"/>
    <w:rsid w:val="1AFA5DD3"/>
    <w:rsid w:val="1B31066B"/>
    <w:rsid w:val="1B35192F"/>
    <w:rsid w:val="1B425636"/>
    <w:rsid w:val="1B516820"/>
    <w:rsid w:val="1B5C685A"/>
    <w:rsid w:val="1B5F55F8"/>
    <w:rsid w:val="1B6400DD"/>
    <w:rsid w:val="1B6C3AA8"/>
    <w:rsid w:val="1B6C451D"/>
    <w:rsid w:val="1B6C67DE"/>
    <w:rsid w:val="1B8026BE"/>
    <w:rsid w:val="1B812BD5"/>
    <w:rsid w:val="1B8C246C"/>
    <w:rsid w:val="1B957A34"/>
    <w:rsid w:val="1BA416A0"/>
    <w:rsid w:val="1BAA7B74"/>
    <w:rsid w:val="1BB22F8B"/>
    <w:rsid w:val="1BB40836"/>
    <w:rsid w:val="1BCA3F84"/>
    <w:rsid w:val="1BCB7A49"/>
    <w:rsid w:val="1BD86F30"/>
    <w:rsid w:val="1BE423FA"/>
    <w:rsid w:val="1BE524A7"/>
    <w:rsid w:val="1BE6349F"/>
    <w:rsid w:val="1BEF5590"/>
    <w:rsid w:val="1BF04858"/>
    <w:rsid w:val="1BF751E6"/>
    <w:rsid w:val="1BF91DDE"/>
    <w:rsid w:val="1BFC07A9"/>
    <w:rsid w:val="1C024A5C"/>
    <w:rsid w:val="1C0C4E7B"/>
    <w:rsid w:val="1C0E6A48"/>
    <w:rsid w:val="1C131BC5"/>
    <w:rsid w:val="1C170433"/>
    <w:rsid w:val="1C2B6512"/>
    <w:rsid w:val="1C35225B"/>
    <w:rsid w:val="1C384E1C"/>
    <w:rsid w:val="1C3A55A5"/>
    <w:rsid w:val="1C4A573D"/>
    <w:rsid w:val="1C5B5AF6"/>
    <w:rsid w:val="1C5B7611"/>
    <w:rsid w:val="1C672E0C"/>
    <w:rsid w:val="1C6B579A"/>
    <w:rsid w:val="1C6F7FE7"/>
    <w:rsid w:val="1C8F0E9E"/>
    <w:rsid w:val="1CA01843"/>
    <w:rsid w:val="1CA6649C"/>
    <w:rsid w:val="1CA8750A"/>
    <w:rsid w:val="1CBA5C7F"/>
    <w:rsid w:val="1CBC4B9A"/>
    <w:rsid w:val="1CC51C68"/>
    <w:rsid w:val="1CC5417F"/>
    <w:rsid w:val="1CCF0419"/>
    <w:rsid w:val="1CD470CA"/>
    <w:rsid w:val="1CDB2B0F"/>
    <w:rsid w:val="1CE03283"/>
    <w:rsid w:val="1CE62EE1"/>
    <w:rsid w:val="1CEF1669"/>
    <w:rsid w:val="1CF85411"/>
    <w:rsid w:val="1D28123C"/>
    <w:rsid w:val="1D286A1B"/>
    <w:rsid w:val="1D3421D3"/>
    <w:rsid w:val="1D37040F"/>
    <w:rsid w:val="1D456E22"/>
    <w:rsid w:val="1D484C1A"/>
    <w:rsid w:val="1D575B87"/>
    <w:rsid w:val="1D601579"/>
    <w:rsid w:val="1D6C7639"/>
    <w:rsid w:val="1D6D45BF"/>
    <w:rsid w:val="1D7A122C"/>
    <w:rsid w:val="1D800EB0"/>
    <w:rsid w:val="1D855AF8"/>
    <w:rsid w:val="1D890A47"/>
    <w:rsid w:val="1D8E61A0"/>
    <w:rsid w:val="1D964B50"/>
    <w:rsid w:val="1D992B27"/>
    <w:rsid w:val="1DA85724"/>
    <w:rsid w:val="1DAC1531"/>
    <w:rsid w:val="1DAF6062"/>
    <w:rsid w:val="1DBF590D"/>
    <w:rsid w:val="1DC5555E"/>
    <w:rsid w:val="1DEB5C55"/>
    <w:rsid w:val="1DEE2BE4"/>
    <w:rsid w:val="1DF233E7"/>
    <w:rsid w:val="1E054F02"/>
    <w:rsid w:val="1E0844BA"/>
    <w:rsid w:val="1E0A2CBC"/>
    <w:rsid w:val="1E243669"/>
    <w:rsid w:val="1E2B5F08"/>
    <w:rsid w:val="1E392AA0"/>
    <w:rsid w:val="1E41460A"/>
    <w:rsid w:val="1E455165"/>
    <w:rsid w:val="1E664AE8"/>
    <w:rsid w:val="1E66787F"/>
    <w:rsid w:val="1E7C434A"/>
    <w:rsid w:val="1E840130"/>
    <w:rsid w:val="1E933284"/>
    <w:rsid w:val="1E992AE1"/>
    <w:rsid w:val="1EAB5F88"/>
    <w:rsid w:val="1EBD70F2"/>
    <w:rsid w:val="1EBF527E"/>
    <w:rsid w:val="1ED30E1E"/>
    <w:rsid w:val="1EE0406D"/>
    <w:rsid w:val="1F087131"/>
    <w:rsid w:val="1F0F65FB"/>
    <w:rsid w:val="1F114A63"/>
    <w:rsid w:val="1F115D33"/>
    <w:rsid w:val="1F2F5F8E"/>
    <w:rsid w:val="1F42409C"/>
    <w:rsid w:val="1F4522CC"/>
    <w:rsid w:val="1F4D177B"/>
    <w:rsid w:val="1F4F0F9A"/>
    <w:rsid w:val="1F611FED"/>
    <w:rsid w:val="1F6B2BC8"/>
    <w:rsid w:val="1F714B49"/>
    <w:rsid w:val="1F7F2C8C"/>
    <w:rsid w:val="1F8266FF"/>
    <w:rsid w:val="1F8A7DE4"/>
    <w:rsid w:val="1F8B275A"/>
    <w:rsid w:val="1F924453"/>
    <w:rsid w:val="1FA24B81"/>
    <w:rsid w:val="1FAF1436"/>
    <w:rsid w:val="1FD7167B"/>
    <w:rsid w:val="1FDA610A"/>
    <w:rsid w:val="1FE168A9"/>
    <w:rsid w:val="1FFA2257"/>
    <w:rsid w:val="200978D3"/>
    <w:rsid w:val="200C27B6"/>
    <w:rsid w:val="20171B8C"/>
    <w:rsid w:val="201A0721"/>
    <w:rsid w:val="201A75A0"/>
    <w:rsid w:val="202277DA"/>
    <w:rsid w:val="20240F68"/>
    <w:rsid w:val="203150CB"/>
    <w:rsid w:val="203254EB"/>
    <w:rsid w:val="203A04E7"/>
    <w:rsid w:val="20454846"/>
    <w:rsid w:val="20455F75"/>
    <w:rsid w:val="20546F73"/>
    <w:rsid w:val="205B6B40"/>
    <w:rsid w:val="20600A10"/>
    <w:rsid w:val="20601C02"/>
    <w:rsid w:val="2064698A"/>
    <w:rsid w:val="20695EC3"/>
    <w:rsid w:val="206A4625"/>
    <w:rsid w:val="206D2012"/>
    <w:rsid w:val="206E1F4D"/>
    <w:rsid w:val="207B6EE7"/>
    <w:rsid w:val="20862C79"/>
    <w:rsid w:val="208716B2"/>
    <w:rsid w:val="20B32243"/>
    <w:rsid w:val="20B34127"/>
    <w:rsid w:val="20B74057"/>
    <w:rsid w:val="20CB24ED"/>
    <w:rsid w:val="20CE1C4D"/>
    <w:rsid w:val="20D24E25"/>
    <w:rsid w:val="20DD3DB8"/>
    <w:rsid w:val="20E36E34"/>
    <w:rsid w:val="20F0628E"/>
    <w:rsid w:val="21053910"/>
    <w:rsid w:val="21150C66"/>
    <w:rsid w:val="211E31CB"/>
    <w:rsid w:val="21247C7E"/>
    <w:rsid w:val="212A20DE"/>
    <w:rsid w:val="21342040"/>
    <w:rsid w:val="213C54CA"/>
    <w:rsid w:val="214D5B7C"/>
    <w:rsid w:val="215D336C"/>
    <w:rsid w:val="21641421"/>
    <w:rsid w:val="218C54DC"/>
    <w:rsid w:val="218D3B2C"/>
    <w:rsid w:val="2190457D"/>
    <w:rsid w:val="2194300F"/>
    <w:rsid w:val="21A40A5F"/>
    <w:rsid w:val="21A870E7"/>
    <w:rsid w:val="21BB1E53"/>
    <w:rsid w:val="21C11051"/>
    <w:rsid w:val="21C9474B"/>
    <w:rsid w:val="21CA181C"/>
    <w:rsid w:val="21D01696"/>
    <w:rsid w:val="21E20C1C"/>
    <w:rsid w:val="21EB600E"/>
    <w:rsid w:val="220C246C"/>
    <w:rsid w:val="22242822"/>
    <w:rsid w:val="222F24C6"/>
    <w:rsid w:val="22311A43"/>
    <w:rsid w:val="22323084"/>
    <w:rsid w:val="22334AF4"/>
    <w:rsid w:val="2237604C"/>
    <w:rsid w:val="223F0988"/>
    <w:rsid w:val="22431EAF"/>
    <w:rsid w:val="224B6A17"/>
    <w:rsid w:val="2257273D"/>
    <w:rsid w:val="225D3D01"/>
    <w:rsid w:val="2272644B"/>
    <w:rsid w:val="22730643"/>
    <w:rsid w:val="2276739F"/>
    <w:rsid w:val="228D1798"/>
    <w:rsid w:val="22934012"/>
    <w:rsid w:val="22945884"/>
    <w:rsid w:val="22B5350F"/>
    <w:rsid w:val="22BB322B"/>
    <w:rsid w:val="22BD7151"/>
    <w:rsid w:val="22C604E0"/>
    <w:rsid w:val="22C9213E"/>
    <w:rsid w:val="22EE1F90"/>
    <w:rsid w:val="22F2208A"/>
    <w:rsid w:val="22FE2784"/>
    <w:rsid w:val="23002037"/>
    <w:rsid w:val="230E24AC"/>
    <w:rsid w:val="23322038"/>
    <w:rsid w:val="233F5379"/>
    <w:rsid w:val="2347109D"/>
    <w:rsid w:val="23512E0C"/>
    <w:rsid w:val="235204E6"/>
    <w:rsid w:val="23542ADE"/>
    <w:rsid w:val="2364575A"/>
    <w:rsid w:val="2368536F"/>
    <w:rsid w:val="2373040B"/>
    <w:rsid w:val="2381456E"/>
    <w:rsid w:val="23886124"/>
    <w:rsid w:val="239F3402"/>
    <w:rsid w:val="23AA0394"/>
    <w:rsid w:val="23BC64A6"/>
    <w:rsid w:val="23C17E7C"/>
    <w:rsid w:val="23C50F1D"/>
    <w:rsid w:val="23F35F5F"/>
    <w:rsid w:val="23FA4566"/>
    <w:rsid w:val="240418FD"/>
    <w:rsid w:val="241909B7"/>
    <w:rsid w:val="24267C58"/>
    <w:rsid w:val="242F09CF"/>
    <w:rsid w:val="2436643F"/>
    <w:rsid w:val="24413E93"/>
    <w:rsid w:val="24424A6E"/>
    <w:rsid w:val="244E03E6"/>
    <w:rsid w:val="24535587"/>
    <w:rsid w:val="24565B3A"/>
    <w:rsid w:val="24754533"/>
    <w:rsid w:val="247B3488"/>
    <w:rsid w:val="249B0B85"/>
    <w:rsid w:val="24A90873"/>
    <w:rsid w:val="24B81B41"/>
    <w:rsid w:val="24C45A46"/>
    <w:rsid w:val="24CA28B6"/>
    <w:rsid w:val="24D274C0"/>
    <w:rsid w:val="24D275D2"/>
    <w:rsid w:val="24D45A2D"/>
    <w:rsid w:val="24DC3896"/>
    <w:rsid w:val="24E32B45"/>
    <w:rsid w:val="24E444CC"/>
    <w:rsid w:val="24EA054D"/>
    <w:rsid w:val="24EE4DE2"/>
    <w:rsid w:val="24F072DB"/>
    <w:rsid w:val="251076B1"/>
    <w:rsid w:val="25213874"/>
    <w:rsid w:val="2527244E"/>
    <w:rsid w:val="2534254E"/>
    <w:rsid w:val="25383D75"/>
    <w:rsid w:val="25396E06"/>
    <w:rsid w:val="25420B0A"/>
    <w:rsid w:val="25433F14"/>
    <w:rsid w:val="254913F7"/>
    <w:rsid w:val="254F3C66"/>
    <w:rsid w:val="2554089B"/>
    <w:rsid w:val="25543369"/>
    <w:rsid w:val="25570085"/>
    <w:rsid w:val="25590D47"/>
    <w:rsid w:val="255A6A33"/>
    <w:rsid w:val="25633F3D"/>
    <w:rsid w:val="256C056F"/>
    <w:rsid w:val="257324A8"/>
    <w:rsid w:val="258624C1"/>
    <w:rsid w:val="25923550"/>
    <w:rsid w:val="25956E98"/>
    <w:rsid w:val="25993A71"/>
    <w:rsid w:val="259D3FBA"/>
    <w:rsid w:val="25A96929"/>
    <w:rsid w:val="25AB1F27"/>
    <w:rsid w:val="25B90704"/>
    <w:rsid w:val="25BA1E1C"/>
    <w:rsid w:val="25DC4D1F"/>
    <w:rsid w:val="25E312AC"/>
    <w:rsid w:val="25E558C7"/>
    <w:rsid w:val="25EB65E2"/>
    <w:rsid w:val="25ED33D2"/>
    <w:rsid w:val="25EE1190"/>
    <w:rsid w:val="25F862B3"/>
    <w:rsid w:val="26013435"/>
    <w:rsid w:val="26294138"/>
    <w:rsid w:val="262D5689"/>
    <w:rsid w:val="263F7428"/>
    <w:rsid w:val="266346E2"/>
    <w:rsid w:val="266F245B"/>
    <w:rsid w:val="266F5831"/>
    <w:rsid w:val="267758CC"/>
    <w:rsid w:val="268A2E91"/>
    <w:rsid w:val="268C7C25"/>
    <w:rsid w:val="268E6E1C"/>
    <w:rsid w:val="269173C1"/>
    <w:rsid w:val="26967D4F"/>
    <w:rsid w:val="269A7114"/>
    <w:rsid w:val="26B3580F"/>
    <w:rsid w:val="26B4679E"/>
    <w:rsid w:val="26BC3415"/>
    <w:rsid w:val="26C24FB6"/>
    <w:rsid w:val="26C372D9"/>
    <w:rsid w:val="26C95489"/>
    <w:rsid w:val="26D94133"/>
    <w:rsid w:val="26E00AF2"/>
    <w:rsid w:val="26E312AF"/>
    <w:rsid w:val="26E35247"/>
    <w:rsid w:val="26EF1180"/>
    <w:rsid w:val="2713062B"/>
    <w:rsid w:val="27256622"/>
    <w:rsid w:val="27262AE2"/>
    <w:rsid w:val="272B516E"/>
    <w:rsid w:val="27410EC2"/>
    <w:rsid w:val="274A69E0"/>
    <w:rsid w:val="276175F4"/>
    <w:rsid w:val="276D0529"/>
    <w:rsid w:val="2779749B"/>
    <w:rsid w:val="277F08A2"/>
    <w:rsid w:val="27894C03"/>
    <w:rsid w:val="27933927"/>
    <w:rsid w:val="27992A4C"/>
    <w:rsid w:val="27A33E35"/>
    <w:rsid w:val="27A94296"/>
    <w:rsid w:val="27B60BEB"/>
    <w:rsid w:val="27BD0064"/>
    <w:rsid w:val="27C34DE1"/>
    <w:rsid w:val="27D46DC6"/>
    <w:rsid w:val="27D73488"/>
    <w:rsid w:val="27D8374E"/>
    <w:rsid w:val="27DA0F13"/>
    <w:rsid w:val="27E23CC4"/>
    <w:rsid w:val="27EB437A"/>
    <w:rsid w:val="27EF125D"/>
    <w:rsid w:val="27F528CB"/>
    <w:rsid w:val="27F56315"/>
    <w:rsid w:val="28110A08"/>
    <w:rsid w:val="2828350A"/>
    <w:rsid w:val="282F72FA"/>
    <w:rsid w:val="28571957"/>
    <w:rsid w:val="28623C15"/>
    <w:rsid w:val="28697350"/>
    <w:rsid w:val="286E334A"/>
    <w:rsid w:val="287050B3"/>
    <w:rsid w:val="2889440F"/>
    <w:rsid w:val="288F5571"/>
    <w:rsid w:val="28A052D3"/>
    <w:rsid w:val="28A06F4C"/>
    <w:rsid w:val="28AC6B03"/>
    <w:rsid w:val="28B02224"/>
    <w:rsid w:val="28B278C0"/>
    <w:rsid w:val="28C146C3"/>
    <w:rsid w:val="28CB1172"/>
    <w:rsid w:val="28CE738E"/>
    <w:rsid w:val="28D67316"/>
    <w:rsid w:val="290254C7"/>
    <w:rsid w:val="29087A30"/>
    <w:rsid w:val="291B5205"/>
    <w:rsid w:val="29236F16"/>
    <w:rsid w:val="292F6200"/>
    <w:rsid w:val="29331E5F"/>
    <w:rsid w:val="29334BDF"/>
    <w:rsid w:val="29436595"/>
    <w:rsid w:val="294C6C0B"/>
    <w:rsid w:val="29515B93"/>
    <w:rsid w:val="295676E3"/>
    <w:rsid w:val="295F57D7"/>
    <w:rsid w:val="29733705"/>
    <w:rsid w:val="297A56E5"/>
    <w:rsid w:val="29814635"/>
    <w:rsid w:val="29A36393"/>
    <w:rsid w:val="29A76063"/>
    <w:rsid w:val="29AB72C4"/>
    <w:rsid w:val="29B85251"/>
    <w:rsid w:val="29BA74BA"/>
    <w:rsid w:val="29C749A4"/>
    <w:rsid w:val="29CF5EA1"/>
    <w:rsid w:val="29F1767A"/>
    <w:rsid w:val="2A0019E0"/>
    <w:rsid w:val="2A045FE7"/>
    <w:rsid w:val="2A072146"/>
    <w:rsid w:val="2A0F729D"/>
    <w:rsid w:val="2A1D74F2"/>
    <w:rsid w:val="2A2D7895"/>
    <w:rsid w:val="2A3F0385"/>
    <w:rsid w:val="2A430216"/>
    <w:rsid w:val="2A444CBB"/>
    <w:rsid w:val="2A4B7186"/>
    <w:rsid w:val="2A5670C9"/>
    <w:rsid w:val="2A5E0C02"/>
    <w:rsid w:val="2A685432"/>
    <w:rsid w:val="2A726A27"/>
    <w:rsid w:val="2A7351C7"/>
    <w:rsid w:val="2A822840"/>
    <w:rsid w:val="2A9602BA"/>
    <w:rsid w:val="2A985E6C"/>
    <w:rsid w:val="2AB56028"/>
    <w:rsid w:val="2ACC3887"/>
    <w:rsid w:val="2ACE37B6"/>
    <w:rsid w:val="2AEA2A60"/>
    <w:rsid w:val="2AEA2A93"/>
    <w:rsid w:val="2AED15BA"/>
    <w:rsid w:val="2AEF5470"/>
    <w:rsid w:val="2AF509B4"/>
    <w:rsid w:val="2AF86D11"/>
    <w:rsid w:val="2AFC44BE"/>
    <w:rsid w:val="2B231B94"/>
    <w:rsid w:val="2B293D78"/>
    <w:rsid w:val="2B394314"/>
    <w:rsid w:val="2B3B1E2D"/>
    <w:rsid w:val="2B3E5205"/>
    <w:rsid w:val="2B603F9B"/>
    <w:rsid w:val="2B6C40D4"/>
    <w:rsid w:val="2B6E0D08"/>
    <w:rsid w:val="2B6E1D33"/>
    <w:rsid w:val="2B7447F6"/>
    <w:rsid w:val="2B8F3B05"/>
    <w:rsid w:val="2B997A76"/>
    <w:rsid w:val="2B9E755E"/>
    <w:rsid w:val="2BB16E20"/>
    <w:rsid w:val="2BD31423"/>
    <w:rsid w:val="2BD862CC"/>
    <w:rsid w:val="2BE06716"/>
    <w:rsid w:val="2BE96133"/>
    <w:rsid w:val="2BFB567E"/>
    <w:rsid w:val="2C085772"/>
    <w:rsid w:val="2C0B3A0F"/>
    <w:rsid w:val="2C120BF2"/>
    <w:rsid w:val="2C233268"/>
    <w:rsid w:val="2C34202D"/>
    <w:rsid w:val="2C3D4A6C"/>
    <w:rsid w:val="2C474C25"/>
    <w:rsid w:val="2C703BB0"/>
    <w:rsid w:val="2C7F2782"/>
    <w:rsid w:val="2C827724"/>
    <w:rsid w:val="2C935F3D"/>
    <w:rsid w:val="2C9E1903"/>
    <w:rsid w:val="2CA32DB0"/>
    <w:rsid w:val="2CA43C41"/>
    <w:rsid w:val="2CAF7EB1"/>
    <w:rsid w:val="2CB8065D"/>
    <w:rsid w:val="2CBC5486"/>
    <w:rsid w:val="2CBE1783"/>
    <w:rsid w:val="2CC124B9"/>
    <w:rsid w:val="2CC97325"/>
    <w:rsid w:val="2CCE168E"/>
    <w:rsid w:val="2CE3074D"/>
    <w:rsid w:val="2CE73DBF"/>
    <w:rsid w:val="2CEA56B6"/>
    <w:rsid w:val="2CEF4854"/>
    <w:rsid w:val="2CF5740A"/>
    <w:rsid w:val="2CFE0737"/>
    <w:rsid w:val="2CFE4B72"/>
    <w:rsid w:val="2D023C70"/>
    <w:rsid w:val="2D09526D"/>
    <w:rsid w:val="2D0B00FE"/>
    <w:rsid w:val="2D0F4A83"/>
    <w:rsid w:val="2D1D6D45"/>
    <w:rsid w:val="2D31698D"/>
    <w:rsid w:val="2D3367EB"/>
    <w:rsid w:val="2D36335F"/>
    <w:rsid w:val="2D3B2CC7"/>
    <w:rsid w:val="2D423636"/>
    <w:rsid w:val="2D4E072A"/>
    <w:rsid w:val="2D5E5EA2"/>
    <w:rsid w:val="2D6766F8"/>
    <w:rsid w:val="2D730FC1"/>
    <w:rsid w:val="2D8674BF"/>
    <w:rsid w:val="2D8874B6"/>
    <w:rsid w:val="2D8C76AE"/>
    <w:rsid w:val="2D956579"/>
    <w:rsid w:val="2D983348"/>
    <w:rsid w:val="2DA34493"/>
    <w:rsid w:val="2DAC2659"/>
    <w:rsid w:val="2DC168A1"/>
    <w:rsid w:val="2DC81E94"/>
    <w:rsid w:val="2DD37126"/>
    <w:rsid w:val="2DE32195"/>
    <w:rsid w:val="2DE96A14"/>
    <w:rsid w:val="2DF27D78"/>
    <w:rsid w:val="2DFD129D"/>
    <w:rsid w:val="2DFF60D5"/>
    <w:rsid w:val="2E241E0A"/>
    <w:rsid w:val="2E283FBB"/>
    <w:rsid w:val="2E347B0A"/>
    <w:rsid w:val="2E3C2E20"/>
    <w:rsid w:val="2E3D0A0C"/>
    <w:rsid w:val="2E3F3833"/>
    <w:rsid w:val="2E402E5B"/>
    <w:rsid w:val="2E4162D4"/>
    <w:rsid w:val="2E4776AD"/>
    <w:rsid w:val="2E5D563B"/>
    <w:rsid w:val="2E633B8A"/>
    <w:rsid w:val="2E6F56B9"/>
    <w:rsid w:val="2E794AF3"/>
    <w:rsid w:val="2E7F029C"/>
    <w:rsid w:val="2E8A51A3"/>
    <w:rsid w:val="2E9457B5"/>
    <w:rsid w:val="2E9A4F05"/>
    <w:rsid w:val="2E9B28AA"/>
    <w:rsid w:val="2ECA0EEF"/>
    <w:rsid w:val="2ECF238B"/>
    <w:rsid w:val="2ED02202"/>
    <w:rsid w:val="2EE347B8"/>
    <w:rsid w:val="2EEB0DF3"/>
    <w:rsid w:val="2EEC5878"/>
    <w:rsid w:val="2EF51EE3"/>
    <w:rsid w:val="2EF77968"/>
    <w:rsid w:val="2EF83766"/>
    <w:rsid w:val="2EF85571"/>
    <w:rsid w:val="2F03447D"/>
    <w:rsid w:val="2F0C1716"/>
    <w:rsid w:val="2F131BDA"/>
    <w:rsid w:val="2F1E2431"/>
    <w:rsid w:val="2F2626A7"/>
    <w:rsid w:val="2F277782"/>
    <w:rsid w:val="2F307F1A"/>
    <w:rsid w:val="2F33425A"/>
    <w:rsid w:val="2F40795E"/>
    <w:rsid w:val="2F436A32"/>
    <w:rsid w:val="2F600A4D"/>
    <w:rsid w:val="2F6C578F"/>
    <w:rsid w:val="2F7B24D1"/>
    <w:rsid w:val="2F83447A"/>
    <w:rsid w:val="2F8B0E09"/>
    <w:rsid w:val="2F9711E1"/>
    <w:rsid w:val="2FA94010"/>
    <w:rsid w:val="2FAA2A46"/>
    <w:rsid w:val="2FBB48F5"/>
    <w:rsid w:val="2FC82F9D"/>
    <w:rsid w:val="2FCC58AE"/>
    <w:rsid w:val="2FD32DD7"/>
    <w:rsid w:val="2FD57D60"/>
    <w:rsid w:val="2FD8752E"/>
    <w:rsid w:val="2FDE00E6"/>
    <w:rsid w:val="2FEC3BB6"/>
    <w:rsid w:val="2FEF045A"/>
    <w:rsid w:val="2FFA067A"/>
    <w:rsid w:val="2FFD0EE1"/>
    <w:rsid w:val="2FFF4CDE"/>
    <w:rsid w:val="30020B17"/>
    <w:rsid w:val="3016517A"/>
    <w:rsid w:val="302A05CA"/>
    <w:rsid w:val="302A358E"/>
    <w:rsid w:val="30341738"/>
    <w:rsid w:val="303F05C3"/>
    <w:rsid w:val="30403AEC"/>
    <w:rsid w:val="306A75D7"/>
    <w:rsid w:val="306E2085"/>
    <w:rsid w:val="307B141B"/>
    <w:rsid w:val="3082744B"/>
    <w:rsid w:val="308D6AFB"/>
    <w:rsid w:val="308F6075"/>
    <w:rsid w:val="30944600"/>
    <w:rsid w:val="30B9486B"/>
    <w:rsid w:val="30D66A99"/>
    <w:rsid w:val="30D9386E"/>
    <w:rsid w:val="30DF79C5"/>
    <w:rsid w:val="30E74543"/>
    <w:rsid w:val="30F11543"/>
    <w:rsid w:val="30F2736A"/>
    <w:rsid w:val="30F40C14"/>
    <w:rsid w:val="30F42C52"/>
    <w:rsid w:val="30F513E7"/>
    <w:rsid w:val="30F620F0"/>
    <w:rsid w:val="31360F60"/>
    <w:rsid w:val="31485711"/>
    <w:rsid w:val="315B7E50"/>
    <w:rsid w:val="316C0946"/>
    <w:rsid w:val="316E5235"/>
    <w:rsid w:val="318077DA"/>
    <w:rsid w:val="31952860"/>
    <w:rsid w:val="31B91BCA"/>
    <w:rsid w:val="31BD7603"/>
    <w:rsid w:val="31C156AF"/>
    <w:rsid w:val="31C765B0"/>
    <w:rsid w:val="31D04EA3"/>
    <w:rsid w:val="31D33632"/>
    <w:rsid w:val="31D856DB"/>
    <w:rsid w:val="31E248BF"/>
    <w:rsid w:val="31E50463"/>
    <w:rsid w:val="31ED419C"/>
    <w:rsid w:val="32147265"/>
    <w:rsid w:val="3230537A"/>
    <w:rsid w:val="32474245"/>
    <w:rsid w:val="32552601"/>
    <w:rsid w:val="32575271"/>
    <w:rsid w:val="3272345D"/>
    <w:rsid w:val="32765E32"/>
    <w:rsid w:val="3284604D"/>
    <w:rsid w:val="32914DC9"/>
    <w:rsid w:val="32915A92"/>
    <w:rsid w:val="32957364"/>
    <w:rsid w:val="329E7F73"/>
    <w:rsid w:val="32B02EB7"/>
    <w:rsid w:val="32B86B24"/>
    <w:rsid w:val="32CB6F7E"/>
    <w:rsid w:val="32D97036"/>
    <w:rsid w:val="32DF21C2"/>
    <w:rsid w:val="32E11FA2"/>
    <w:rsid w:val="32E213F3"/>
    <w:rsid w:val="32ED2891"/>
    <w:rsid w:val="32EE25C6"/>
    <w:rsid w:val="330208DF"/>
    <w:rsid w:val="33032076"/>
    <w:rsid w:val="33035CB7"/>
    <w:rsid w:val="330E0160"/>
    <w:rsid w:val="3312251F"/>
    <w:rsid w:val="33237F61"/>
    <w:rsid w:val="332467E5"/>
    <w:rsid w:val="33262E95"/>
    <w:rsid w:val="33337F0A"/>
    <w:rsid w:val="333E2CA0"/>
    <w:rsid w:val="335759EC"/>
    <w:rsid w:val="335C0183"/>
    <w:rsid w:val="335E3242"/>
    <w:rsid w:val="338E40D2"/>
    <w:rsid w:val="33A540C1"/>
    <w:rsid w:val="33A871A4"/>
    <w:rsid w:val="33A9665D"/>
    <w:rsid w:val="33B43691"/>
    <w:rsid w:val="33BA2267"/>
    <w:rsid w:val="33BD0809"/>
    <w:rsid w:val="33D47EAB"/>
    <w:rsid w:val="33DE7074"/>
    <w:rsid w:val="34082A81"/>
    <w:rsid w:val="34093853"/>
    <w:rsid w:val="34144457"/>
    <w:rsid w:val="341A1C5C"/>
    <w:rsid w:val="342147A0"/>
    <w:rsid w:val="34236EE7"/>
    <w:rsid w:val="34290276"/>
    <w:rsid w:val="343612DE"/>
    <w:rsid w:val="344B1B35"/>
    <w:rsid w:val="344D4F8E"/>
    <w:rsid w:val="34557EB5"/>
    <w:rsid w:val="345C0111"/>
    <w:rsid w:val="3494067B"/>
    <w:rsid w:val="34A81304"/>
    <w:rsid w:val="34AF26D6"/>
    <w:rsid w:val="34B50F41"/>
    <w:rsid w:val="34BC2A3C"/>
    <w:rsid w:val="34BC7739"/>
    <w:rsid w:val="34BD2138"/>
    <w:rsid w:val="34DD0BBB"/>
    <w:rsid w:val="34DE3166"/>
    <w:rsid w:val="34DE523E"/>
    <w:rsid w:val="34E061B4"/>
    <w:rsid w:val="34E071D2"/>
    <w:rsid w:val="34EA1DE0"/>
    <w:rsid w:val="3507314D"/>
    <w:rsid w:val="350C5CE7"/>
    <w:rsid w:val="351B1E6E"/>
    <w:rsid w:val="352263E4"/>
    <w:rsid w:val="352B7666"/>
    <w:rsid w:val="353F0589"/>
    <w:rsid w:val="35423E95"/>
    <w:rsid w:val="354E0428"/>
    <w:rsid w:val="355475E3"/>
    <w:rsid w:val="355A4DC7"/>
    <w:rsid w:val="355E286B"/>
    <w:rsid w:val="35757D45"/>
    <w:rsid w:val="357D54E6"/>
    <w:rsid w:val="359D22F6"/>
    <w:rsid w:val="35A67C6D"/>
    <w:rsid w:val="35A97360"/>
    <w:rsid w:val="35AA6445"/>
    <w:rsid w:val="35AC5A16"/>
    <w:rsid w:val="35AE6707"/>
    <w:rsid w:val="35B1695D"/>
    <w:rsid w:val="35C027FD"/>
    <w:rsid w:val="35C15C9F"/>
    <w:rsid w:val="35CB5AA1"/>
    <w:rsid w:val="35F204D9"/>
    <w:rsid w:val="35F82C92"/>
    <w:rsid w:val="360F1C77"/>
    <w:rsid w:val="36252BCC"/>
    <w:rsid w:val="36287BFA"/>
    <w:rsid w:val="36375033"/>
    <w:rsid w:val="364A2085"/>
    <w:rsid w:val="365432CA"/>
    <w:rsid w:val="365774B4"/>
    <w:rsid w:val="365956B3"/>
    <w:rsid w:val="365A06D0"/>
    <w:rsid w:val="36627FCC"/>
    <w:rsid w:val="36636EEA"/>
    <w:rsid w:val="366D4287"/>
    <w:rsid w:val="366F7E88"/>
    <w:rsid w:val="36707B69"/>
    <w:rsid w:val="36733E42"/>
    <w:rsid w:val="36884F23"/>
    <w:rsid w:val="36924E56"/>
    <w:rsid w:val="36B074E7"/>
    <w:rsid w:val="36B201F6"/>
    <w:rsid w:val="36B318D7"/>
    <w:rsid w:val="36B4718B"/>
    <w:rsid w:val="36C26230"/>
    <w:rsid w:val="36CB22A7"/>
    <w:rsid w:val="36DE1E96"/>
    <w:rsid w:val="36F375F8"/>
    <w:rsid w:val="36F87640"/>
    <w:rsid w:val="36F931B8"/>
    <w:rsid w:val="37122C37"/>
    <w:rsid w:val="3713351B"/>
    <w:rsid w:val="37177C76"/>
    <w:rsid w:val="371F6BEB"/>
    <w:rsid w:val="37346A5E"/>
    <w:rsid w:val="37482AF0"/>
    <w:rsid w:val="374C5898"/>
    <w:rsid w:val="375A7D15"/>
    <w:rsid w:val="375D5B79"/>
    <w:rsid w:val="376550A7"/>
    <w:rsid w:val="37712B91"/>
    <w:rsid w:val="37743765"/>
    <w:rsid w:val="37745B08"/>
    <w:rsid w:val="37793122"/>
    <w:rsid w:val="377F3E72"/>
    <w:rsid w:val="378055B2"/>
    <w:rsid w:val="378528A8"/>
    <w:rsid w:val="378F140B"/>
    <w:rsid w:val="37B24F59"/>
    <w:rsid w:val="37B37D61"/>
    <w:rsid w:val="37C23051"/>
    <w:rsid w:val="37E118EB"/>
    <w:rsid w:val="380611BF"/>
    <w:rsid w:val="382039C9"/>
    <w:rsid w:val="382429AE"/>
    <w:rsid w:val="382F4C63"/>
    <w:rsid w:val="3838196A"/>
    <w:rsid w:val="383C2B89"/>
    <w:rsid w:val="383F60A4"/>
    <w:rsid w:val="38601FC4"/>
    <w:rsid w:val="386661FF"/>
    <w:rsid w:val="386E6695"/>
    <w:rsid w:val="387E162E"/>
    <w:rsid w:val="388C6CF2"/>
    <w:rsid w:val="388D35F0"/>
    <w:rsid w:val="38914F5D"/>
    <w:rsid w:val="389A1BDF"/>
    <w:rsid w:val="38A54C47"/>
    <w:rsid w:val="38B13472"/>
    <w:rsid w:val="38B93642"/>
    <w:rsid w:val="38DD1588"/>
    <w:rsid w:val="38E12884"/>
    <w:rsid w:val="38EE7C94"/>
    <w:rsid w:val="38FD5F09"/>
    <w:rsid w:val="390C2B73"/>
    <w:rsid w:val="391A645A"/>
    <w:rsid w:val="391B55AF"/>
    <w:rsid w:val="392F783B"/>
    <w:rsid w:val="394F6727"/>
    <w:rsid w:val="39521E9F"/>
    <w:rsid w:val="3954537C"/>
    <w:rsid w:val="396D6AE8"/>
    <w:rsid w:val="39725A4A"/>
    <w:rsid w:val="3980064E"/>
    <w:rsid w:val="399601BD"/>
    <w:rsid w:val="399A58EA"/>
    <w:rsid w:val="399B2127"/>
    <w:rsid w:val="399F08F3"/>
    <w:rsid w:val="399F1332"/>
    <w:rsid w:val="399F5FDA"/>
    <w:rsid w:val="39A15E7F"/>
    <w:rsid w:val="39A502C0"/>
    <w:rsid w:val="39BF238F"/>
    <w:rsid w:val="39C73DB3"/>
    <w:rsid w:val="39E46FAD"/>
    <w:rsid w:val="39E91662"/>
    <w:rsid w:val="39F5297E"/>
    <w:rsid w:val="3A0258FE"/>
    <w:rsid w:val="3A3C6CFA"/>
    <w:rsid w:val="3A3C78D6"/>
    <w:rsid w:val="3A3E3E9F"/>
    <w:rsid w:val="3A40244E"/>
    <w:rsid w:val="3A4F2943"/>
    <w:rsid w:val="3A6B176D"/>
    <w:rsid w:val="3A6B710D"/>
    <w:rsid w:val="3A700D10"/>
    <w:rsid w:val="3A714443"/>
    <w:rsid w:val="3A84298B"/>
    <w:rsid w:val="3A997D1F"/>
    <w:rsid w:val="3AA26A5D"/>
    <w:rsid w:val="3AA844FF"/>
    <w:rsid w:val="3AAA4B7B"/>
    <w:rsid w:val="3AB1112B"/>
    <w:rsid w:val="3AC7743B"/>
    <w:rsid w:val="3ACE70B0"/>
    <w:rsid w:val="3AD164BB"/>
    <w:rsid w:val="3AD7738D"/>
    <w:rsid w:val="3ADC39B3"/>
    <w:rsid w:val="3AF963F9"/>
    <w:rsid w:val="3AFC0789"/>
    <w:rsid w:val="3B0475E9"/>
    <w:rsid w:val="3B0A6176"/>
    <w:rsid w:val="3B10004F"/>
    <w:rsid w:val="3B1D0F96"/>
    <w:rsid w:val="3B1F0A32"/>
    <w:rsid w:val="3B21328C"/>
    <w:rsid w:val="3B235BCB"/>
    <w:rsid w:val="3B3F3F46"/>
    <w:rsid w:val="3B4874EB"/>
    <w:rsid w:val="3B4E0843"/>
    <w:rsid w:val="3B5211E7"/>
    <w:rsid w:val="3B6B6801"/>
    <w:rsid w:val="3B84771D"/>
    <w:rsid w:val="3B8819BE"/>
    <w:rsid w:val="3B897E24"/>
    <w:rsid w:val="3BB513C6"/>
    <w:rsid w:val="3BCF04EA"/>
    <w:rsid w:val="3BE10919"/>
    <w:rsid w:val="3BE66D84"/>
    <w:rsid w:val="3BF8627E"/>
    <w:rsid w:val="3C0274FD"/>
    <w:rsid w:val="3C0F4376"/>
    <w:rsid w:val="3C14548B"/>
    <w:rsid w:val="3C1D1172"/>
    <w:rsid w:val="3C2F70BE"/>
    <w:rsid w:val="3C3073EF"/>
    <w:rsid w:val="3C320FE1"/>
    <w:rsid w:val="3C325493"/>
    <w:rsid w:val="3C3616AF"/>
    <w:rsid w:val="3C3B6C18"/>
    <w:rsid w:val="3C3C69F3"/>
    <w:rsid w:val="3C4E0450"/>
    <w:rsid w:val="3C545870"/>
    <w:rsid w:val="3C7B3B44"/>
    <w:rsid w:val="3CA45331"/>
    <w:rsid w:val="3CA57CFE"/>
    <w:rsid w:val="3CAE4CF8"/>
    <w:rsid w:val="3CAE7AEC"/>
    <w:rsid w:val="3CCC781D"/>
    <w:rsid w:val="3CCE7C2A"/>
    <w:rsid w:val="3CE77340"/>
    <w:rsid w:val="3CE90379"/>
    <w:rsid w:val="3CFF37D8"/>
    <w:rsid w:val="3D195B95"/>
    <w:rsid w:val="3D2329FD"/>
    <w:rsid w:val="3D29684E"/>
    <w:rsid w:val="3D2D2003"/>
    <w:rsid w:val="3D39578E"/>
    <w:rsid w:val="3D52619D"/>
    <w:rsid w:val="3D534EBF"/>
    <w:rsid w:val="3D5D4D44"/>
    <w:rsid w:val="3D614D99"/>
    <w:rsid w:val="3D6E5D8B"/>
    <w:rsid w:val="3D76742B"/>
    <w:rsid w:val="3D8E3230"/>
    <w:rsid w:val="3D9C4C5C"/>
    <w:rsid w:val="3DA701B4"/>
    <w:rsid w:val="3DA83998"/>
    <w:rsid w:val="3DB16D2A"/>
    <w:rsid w:val="3DB80722"/>
    <w:rsid w:val="3DBD65F0"/>
    <w:rsid w:val="3DC7203E"/>
    <w:rsid w:val="3DD43D14"/>
    <w:rsid w:val="3DDA4533"/>
    <w:rsid w:val="3DE1146E"/>
    <w:rsid w:val="3DE12F32"/>
    <w:rsid w:val="3DEA3F0C"/>
    <w:rsid w:val="3DEB35D1"/>
    <w:rsid w:val="3DF65F0E"/>
    <w:rsid w:val="3DFB25C5"/>
    <w:rsid w:val="3DFF226A"/>
    <w:rsid w:val="3E025CF4"/>
    <w:rsid w:val="3E144F0D"/>
    <w:rsid w:val="3E174D97"/>
    <w:rsid w:val="3E1A10E9"/>
    <w:rsid w:val="3E1A2100"/>
    <w:rsid w:val="3E1B7092"/>
    <w:rsid w:val="3E1F40C4"/>
    <w:rsid w:val="3E20348B"/>
    <w:rsid w:val="3E217503"/>
    <w:rsid w:val="3E392CD6"/>
    <w:rsid w:val="3E3D5661"/>
    <w:rsid w:val="3E43042F"/>
    <w:rsid w:val="3E5A71D5"/>
    <w:rsid w:val="3E7304ED"/>
    <w:rsid w:val="3E73624E"/>
    <w:rsid w:val="3E960E27"/>
    <w:rsid w:val="3E971BFA"/>
    <w:rsid w:val="3E985F61"/>
    <w:rsid w:val="3EAD3EF7"/>
    <w:rsid w:val="3EAD5631"/>
    <w:rsid w:val="3EDA153E"/>
    <w:rsid w:val="3F002AB5"/>
    <w:rsid w:val="3F007F87"/>
    <w:rsid w:val="3F1339B8"/>
    <w:rsid w:val="3F196A9F"/>
    <w:rsid w:val="3F1C125E"/>
    <w:rsid w:val="3F1C1904"/>
    <w:rsid w:val="3F224B09"/>
    <w:rsid w:val="3F240B0A"/>
    <w:rsid w:val="3F24608D"/>
    <w:rsid w:val="3F2653A3"/>
    <w:rsid w:val="3F284847"/>
    <w:rsid w:val="3F2E191C"/>
    <w:rsid w:val="3F3E4D72"/>
    <w:rsid w:val="3F4460BD"/>
    <w:rsid w:val="3F487A21"/>
    <w:rsid w:val="3F4D2FAB"/>
    <w:rsid w:val="3F625DFB"/>
    <w:rsid w:val="3F6741A7"/>
    <w:rsid w:val="3F96539B"/>
    <w:rsid w:val="3F9A38BF"/>
    <w:rsid w:val="3F9C5D3D"/>
    <w:rsid w:val="3FA615BB"/>
    <w:rsid w:val="3FAE6978"/>
    <w:rsid w:val="3FB65F72"/>
    <w:rsid w:val="3FC921C5"/>
    <w:rsid w:val="3FCF0135"/>
    <w:rsid w:val="3FE56688"/>
    <w:rsid w:val="3FEE25A6"/>
    <w:rsid w:val="3FEF0646"/>
    <w:rsid w:val="3FEF543D"/>
    <w:rsid w:val="3FFC2040"/>
    <w:rsid w:val="3FFF7674"/>
    <w:rsid w:val="401B034E"/>
    <w:rsid w:val="40213B31"/>
    <w:rsid w:val="402F643A"/>
    <w:rsid w:val="40323DF2"/>
    <w:rsid w:val="4043244B"/>
    <w:rsid w:val="404B0AFD"/>
    <w:rsid w:val="405A761E"/>
    <w:rsid w:val="405B3E44"/>
    <w:rsid w:val="405C4FD6"/>
    <w:rsid w:val="40633724"/>
    <w:rsid w:val="4073511D"/>
    <w:rsid w:val="407511A9"/>
    <w:rsid w:val="40751584"/>
    <w:rsid w:val="408B409E"/>
    <w:rsid w:val="40B77ACC"/>
    <w:rsid w:val="40CE01B2"/>
    <w:rsid w:val="40D44447"/>
    <w:rsid w:val="40E3448C"/>
    <w:rsid w:val="40EE4695"/>
    <w:rsid w:val="40EF2E8F"/>
    <w:rsid w:val="40F42748"/>
    <w:rsid w:val="40FA76BD"/>
    <w:rsid w:val="40FD344B"/>
    <w:rsid w:val="41044BF4"/>
    <w:rsid w:val="410B01A8"/>
    <w:rsid w:val="41252762"/>
    <w:rsid w:val="412E0DDF"/>
    <w:rsid w:val="41353F90"/>
    <w:rsid w:val="41503639"/>
    <w:rsid w:val="415D50BB"/>
    <w:rsid w:val="41670752"/>
    <w:rsid w:val="416A0599"/>
    <w:rsid w:val="41712625"/>
    <w:rsid w:val="41741AA2"/>
    <w:rsid w:val="418C16CB"/>
    <w:rsid w:val="41A5473E"/>
    <w:rsid w:val="41A6399F"/>
    <w:rsid w:val="41B938EB"/>
    <w:rsid w:val="41BD4A1A"/>
    <w:rsid w:val="41C76C5D"/>
    <w:rsid w:val="41CC7FB7"/>
    <w:rsid w:val="41CD41ED"/>
    <w:rsid w:val="41DB6B04"/>
    <w:rsid w:val="41DB7ACA"/>
    <w:rsid w:val="41E63E46"/>
    <w:rsid w:val="41E64231"/>
    <w:rsid w:val="41ED4A55"/>
    <w:rsid w:val="41FF4DD1"/>
    <w:rsid w:val="42027EA1"/>
    <w:rsid w:val="42034782"/>
    <w:rsid w:val="420B1F27"/>
    <w:rsid w:val="42182D34"/>
    <w:rsid w:val="42291598"/>
    <w:rsid w:val="42375A27"/>
    <w:rsid w:val="424259D6"/>
    <w:rsid w:val="424802AA"/>
    <w:rsid w:val="428A4FE0"/>
    <w:rsid w:val="428E2E24"/>
    <w:rsid w:val="429017FC"/>
    <w:rsid w:val="42914EC6"/>
    <w:rsid w:val="4297701F"/>
    <w:rsid w:val="429C554F"/>
    <w:rsid w:val="42A26D50"/>
    <w:rsid w:val="42A73EBF"/>
    <w:rsid w:val="42B00F6D"/>
    <w:rsid w:val="42B10DBC"/>
    <w:rsid w:val="42BA1E7D"/>
    <w:rsid w:val="42BC6219"/>
    <w:rsid w:val="42C512CA"/>
    <w:rsid w:val="42C7289D"/>
    <w:rsid w:val="42C85A7F"/>
    <w:rsid w:val="42CE47E6"/>
    <w:rsid w:val="42D54D2A"/>
    <w:rsid w:val="42D86242"/>
    <w:rsid w:val="42EF5BE0"/>
    <w:rsid w:val="42F851DA"/>
    <w:rsid w:val="42FE4918"/>
    <w:rsid w:val="430355D1"/>
    <w:rsid w:val="430931EF"/>
    <w:rsid w:val="43094FC5"/>
    <w:rsid w:val="4313669C"/>
    <w:rsid w:val="431A01C5"/>
    <w:rsid w:val="43253BC4"/>
    <w:rsid w:val="432927A6"/>
    <w:rsid w:val="432A5BD6"/>
    <w:rsid w:val="432B7DEC"/>
    <w:rsid w:val="43342642"/>
    <w:rsid w:val="433821C6"/>
    <w:rsid w:val="433B122E"/>
    <w:rsid w:val="4347618E"/>
    <w:rsid w:val="435E5073"/>
    <w:rsid w:val="43771E90"/>
    <w:rsid w:val="43821D42"/>
    <w:rsid w:val="43963653"/>
    <w:rsid w:val="43987604"/>
    <w:rsid w:val="43B7549F"/>
    <w:rsid w:val="43B9286F"/>
    <w:rsid w:val="43BB4049"/>
    <w:rsid w:val="43BB4C9D"/>
    <w:rsid w:val="43C93EA9"/>
    <w:rsid w:val="43D65537"/>
    <w:rsid w:val="43DD2294"/>
    <w:rsid w:val="43E92280"/>
    <w:rsid w:val="43F421E8"/>
    <w:rsid w:val="43F707D8"/>
    <w:rsid w:val="4401313F"/>
    <w:rsid w:val="4402298A"/>
    <w:rsid w:val="440A7998"/>
    <w:rsid w:val="440C2EEA"/>
    <w:rsid w:val="441D2BDD"/>
    <w:rsid w:val="441D3234"/>
    <w:rsid w:val="441F6C55"/>
    <w:rsid w:val="4420224D"/>
    <w:rsid w:val="442074C6"/>
    <w:rsid w:val="44243A14"/>
    <w:rsid w:val="44244565"/>
    <w:rsid w:val="44311C57"/>
    <w:rsid w:val="44370325"/>
    <w:rsid w:val="44514687"/>
    <w:rsid w:val="445459C2"/>
    <w:rsid w:val="44617D0A"/>
    <w:rsid w:val="44682D18"/>
    <w:rsid w:val="446944E9"/>
    <w:rsid w:val="446F13F6"/>
    <w:rsid w:val="44723BA6"/>
    <w:rsid w:val="4473705C"/>
    <w:rsid w:val="44783538"/>
    <w:rsid w:val="447A346E"/>
    <w:rsid w:val="447C5BAA"/>
    <w:rsid w:val="4480015B"/>
    <w:rsid w:val="448174D9"/>
    <w:rsid w:val="44885E87"/>
    <w:rsid w:val="4490304D"/>
    <w:rsid w:val="44973FBF"/>
    <w:rsid w:val="449A759B"/>
    <w:rsid w:val="44A9401A"/>
    <w:rsid w:val="44AC3086"/>
    <w:rsid w:val="44BD076D"/>
    <w:rsid w:val="44C30184"/>
    <w:rsid w:val="44C8435A"/>
    <w:rsid w:val="44C93ABA"/>
    <w:rsid w:val="44CC451B"/>
    <w:rsid w:val="44DB36D1"/>
    <w:rsid w:val="44EB3F4C"/>
    <w:rsid w:val="44F75C85"/>
    <w:rsid w:val="44FB6168"/>
    <w:rsid w:val="44FC3194"/>
    <w:rsid w:val="44FD00BD"/>
    <w:rsid w:val="45031836"/>
    <w:rsid w:val="4504637B"/>
    <w:rsid w:val="452306AA"/>
    <w:rsid w:val="453C4611"/>
    <w:rsid w:val="4542601F"/>
    <w:rsid w:val="45471252"/>
    <w:rsid w:val="455B0F07"/>
    <w:rsid w:val="455B70CF"/>
    <w:rsid w:val="455F21AD"/>
    <w:rsid w:val="456125FB"/>
    <w:rsid w:val="45646D5D"/>
    <w:rsid w:val="456B16C4"/>
    <w:rsid w:val="45723D75"/>
    <w:rsid w:val="459E70EB"/>
    <w:rsid w:val="45A07306"/>
    <w:rsid w:val="45B304D2"/>
    <w:rsid w:val="45C972E7"/>
    <w:rsid w:val="45D66454"/>
    <w:rsid w:val="45F146F2"/>
    <w:rsid w:val="45F710E6"/>
    <w:rsid w:val="45FB5F89"/>
    <w:rsid w:val="45FF1EFE"/>
    <w:rsid w:val="461058D9"/>
    <w:rsid w:val="46165015"/>
    <w:rsid w:val="46280A29"/>
    <w:rsid w:val="462A1664"/>
    <w:rsid w:val="463B4251"/>
    <w:rsid w:val="465027ED"/>
    <w:rsid w:val="465F4343"/>
    <w:rsid w:val="46663080"/>
    <w:rsid w:val="468539A4"/>
    <w:rsid w:val="46C66179"/>
    <w:rsid w:val="46CB17EB"/>
    <w:rsid w:val="46DE668F"/>
    <w:rsid w:val="46E551CD"/>
    <w:rsid w:val="46EE4683"/>
    <w:rsid w:val="47014483"/>
    <w:rsid w:val="4703333D"/>
    <w:rsid w:val="471E6417"/>
    <w:rsid w:val="472F4367"/>
    <w:rsid w:val="473A5E83"/>
    <w:rsid w:val="473B2404"/>
    <w:rsid w:val="473F3688"/>
    <w:rsid w:val="47522D9A"/>
    <w:rsid w:val="47546291"/>
    <w:rsid w:val="475B68AF"/>
    <w:rsid w:val="47763C9E"/>
    <w:rsid w:val="4778738B"/>
    <w:rsid w:val="477A3E46"/>
    <w:rsid w:val="47865720"/>
    <w:rsid w:val="478A29F0"/>
    <w:rsid w:val="478A3249"/>
    <w:rsid w:val="478C0ADF"/>
    <w:rsid w:val="4790736A"/>
    <w:rsid w:val="479A12BB"/>
    <w:rsid w:val="479E7121"/>
    <w:rsid w:val="47A80B00"/>
    <w:rsid w:val="47AD45F5"/>
    <w:rsid w:val="47BA4FF1"/>
    <w:rsid w:val="47D60BBC"/>
    <w:rsid w:val="47D7163B"/>
    <w:rsid w:val="47E064C7"/>
    <w:rsid w:val="47E156BB"/>
    <w:rsid w:val="47E77EB6"/>
    <w:rsid w:val="47F20C0E"/>
    <w:rsid w:val="48002C62"/>
    <w:rsid w:val="480515E9"/>
    <w:rsid w:val="48065890"/>
    <w:rsid w:val="48127D91"/>
    <w:rsid w:val="481E0218"/>
    <w:rsid w:val="48273063"/>
    <w:rsid w:val="482759BB"/>
    <w:rsid w:val="482A5811"/>
    <w:rsid w:val="484031A0"/>
    <w:rsid w:val="48460E01"/>
    <w:rsid w:val="48474441"/>
    <w:rsid w:val="484A3A4D"/>
    <w:rsid w:val="485A4946"/>
    <w:rsid w:val="486C5A57"/>
    <w:rsid w:val="487F196B"/>
    <w:rsid w:val="48843707"/>
    <w:rsid w:val="488B7278"/>
    <w:rsid w:val="48921589"/>
    <w:rsid w:val="48B1483E"/>
    <w:rsid w:val="48CD72F8"/>
    <w:rsid w:val="48E8561D"/>
    <w:rsid w:val="48F0103C"/>
    <w:rsid w:val="48F3402C"/>
    <w:rsid w:val="48F62D03"/>
    <w:rsid w:val="48F77F22"/>
    <w:rsid w:val="49006A4D"/>
    <w:rsid w:val="492A6E95"/>
    <w:rsid w:val="4939144E"/>
    <w:rsid w:val="493A24D0"/>
    <w:rsid w:val="493C6687"/>
    <w:rsid w:val="493D20BB"/>
    <w:rsid w:val="493E58F3"/>
    <w:rsid w:val="4959124E"/>
    <w:rsid w:val="495D071E"/>
    <w:rsid w:val="496164D0"/>
    <w:rsid w:val="49664EA6"/>
    <w:rsid w:val="496B669D"/>
    <w:rsid w:val="496E712A"/>
    <w:rsid w:val="49722A47"/>
    <w:rsid w:val="4973140F"/>
    <w:rsid w:val="497C4BE1"/>
    <w:rsid w:val="4980732D"/>
    <w:rsid w:val="49A31824"/>
    <w:rsid w:val="49B35477"/>
    <w:rsid w:val="49B66EC5"/>
    <w:rsid w:val="49B73BA5"/>
    <w:rsid w:val="49B7682F"/>
    <w:rsid w:val="49BE306A"/>
    <w:rsid w:val="49C071A1"/>
    <w:rsid w:val="49C161D8"/>
    <w:rsid w:val="49C24A88"/>
    <w:rsid w:val="49CC3F16"/>
    <w:rsid w:val="49D81F13"/>
    <w:rsid w:val="49E31136"/>
    <w:rsid w:val="49ED057A"/>
    <w:rsid w:val="49EF1D86"/>
    <w:rsid w:val="4A057339"/>
    <w:rsid w:val="4A0C2D29"/>
    <w:rsid w:val="4A15629C"/>
    <w:rsid w:val="4A335BDC"/>
    <w:rsid w:val="4A344670"/>
    <w:rsid w:val="4A360F96"/>
    <w:rsid w:val="4A3A2422"/>
    <w:rsid w:val="4A3B40B2"/>
    <w:rsid w:val="4A4C696C"/>
    <w:rsid w:val="4A551320"/>
    <w:rsid w:val="4A573C9B"/>
    <w:rsid w:val="4A5B1925"/>
    <w:rsid w:val="4A9B73F3"/>
    <w:rsid w:val="4AAC1814"/>
    <w:rsid w:val="4AB50E42"/>
    <w:rsid w:val="4AB82002"/>
    <w:rsid w:val="4AB82B50"/>
    <w:rsid w:val="4ABB4926"/>
    <w:rsid w:val="4ABB6F17"/>
    <w:rsid w:val="4ABE1639"/>
    <w:rsid w:val="4ADC4024"/>
    <w:rsid w:val="4AE17C2C"/>
    <w:rsid w:val="4AEA24F0"/>
    <w:rsid w:val="4AEF656B"/>
    <w:rsid w:val="4AF5404E"/>
    <w:rsid w:val="4AF55886"/>
    <w:rsid w:val="4AF83131"/>
    <w:rsid w:val="4B036EDC"/>
    <w:rsid w:val="4B063561"/>
    <w:rsid w:val="4B150032"/>
    <w:rsid w:val="4B3A4FA6"/>
    <w:rsid w:val="4B6937DD"/>
    <w:rsid w:val="4B712CB3"/>
    <w:rsid w:val="4B715C38"/>
    <w:rsid w:val="4B870600"/>
    <w:rsid w:val="4B8E0170"/>
    <w:rsid w:val="4B8E63E6"/>
    <w:rsid w:val="4B964E4F"/>
    <w:rsid w:val="4BC22732"/>
    <w:rsid w:val="4BC27D75"/>
    <w:rsid w:val="4BC65B99"/>
    <w:rsid w:val="4BCC6CA8"/>
    <w:rsid w:val="4BCD53D9"/>
    <w:rsid w:val="4BCF38CB"/>
    <w:rsid w:val="4BEF4C5D"/>
    <w:rsid w:val="4BF0140A"/>
    <w:rsid w:val="4BFB520C"/>
    <w:rsid w:val="4BFC046E"/>
    <w:rsid w:val="4BFC6236"/>
    <w:rsid w:val="4C073CF8"/>
    <w:rsid w:val="4C102782"/>
    <w:rsid w:val="4C24124B"/>
    <w:rsid w:val="4C4277B4"/>
    <w:rsid w:val="4C4541E5"/>
    <w:rsid w:val="4C476DF9"/>
    <w:rsid w:val="4C511CEE"/>
    <w:rsid w:val="4C5316E4"/>
    <w:rsid w:val="4C554428"/>
    <w:rsid w:val="4C5C3EA5"/>
    <w:rsid w:val="4C631272"/>
    <w:rsid w:val="4C822FF7"/>
    <w:rsid w:val="4C8556B7"/>
    <w:rsid w:val="4C89483F"/>
    <w:rsid w:val="4C8A5A53"/>
    <w:rsid w:val="4C9F6D0C"/>
    <w:rsid w:val="4CA1222F"/>
    <w:rsid w:val="4CA27E8F"/>
    <w:rsid w:val="4CB76367"/>
    <w:rsid w:val="4CBF3179"/>
    <w:rsid w:val="4CCB6F14"/>
    <w:rsid w:val="4CCC16DA"/>
    <w:rsid w:val="4CCD7782"/>
    <w:rsid w:val="4CDD168C"/>
    <w:rsid w:val="4CDE1580"/>
    <w:rsid w:val="4D05310C"/>
    <w:rsid w:val="4D0C5E9D"/>
    <w:rsid w:val="4D0F7EAD"/>
    <w:rsid w:val="4D15514C"/>
    <w:rsid w:val="4D166BD9"/>
    <w:rsid w:val="4D1C782A"/>
    <w:rsid w:val="4D2237E5"/>
    <w:rsid w:val="4D2A6914"/>
    <w:rsid w:val="4D341316"/>
    <w:rsid w:val="4D4542AC"/>
    <w:rsid w:val="4D4F3E2D"/>
    <w:rsid w:val="4D5077DD"/>
    <w:rsid w:val="4D706C30"/>
    <w:rsid w:val="4DA15110"/>
    <w:rsid w:val="4DB56ED5"/>
    <w:rsid w:val="4DB73A62"/>
    <w:rsid w:val="4DB97D79"/>
    <w:rsid w:val="4DD30E27"/>
    <w:rsid w:val="4DD90962"/>
    <w:rsid w:val="4E0C0C92"/>
    <w:rsid w:val="4E1D44D2"/>
    <w:rsid w:val="4E1E3793"/>
    <w:rsid w:val="4E2241CB"/>
    <w:rsid w:val="4E251856"/>
    <w:rsid w:val="4E282639"/>
    <w:rsid w:val="4E317E06"/>
    <w:rsid w:val="4E416B1D"/>
    <w:rsid w:val="4E4B212D"/>
    <w:rsid w:val="4E4C1829"/>
    <w:rsid w:val="4E585AEF"/>
    <w:rsid w:val="4E5C563B"/>
    <w:rsid w:val="4E650E6B"/>
    <w:rsid w:val="4E6E647A"/>
    <w:rsid w:val="4E7642A7"/>
    <w:rsid w:val="4E7E3962"/>
    <w:rsid w:val="4E9B7400"/>
    <w:rsid w:val="4EA548AD"/>
    <w:rsid w:val="4EC30B2B"/>
    <w:rsid w:val="4EC30BAA"/>
    <w:rsid w:val="4ECF07FD"/>
    <w:rsid w:val="4ED406B0"/>
    <w:rsid w:val="4EDB7799"/>
    <w:rsid w:val="4EE80F4D"/>
    <w:rsid w:val="4EF11B96"/>
    <w:rsid w:val="4EF5428A"/>
    <w:rsid w:val="4EF75441"/>
    <w:rsid w:val="4F067E7F"/>
    <w:rsid w:val="4F0F0E50"/>
    <w:rsid w:val="4F18079A"/>
    <w:rsid w:val="4F1B620F"/>
    <w:rsid w:val="4F206722"/>
    <w:rsid w:val="4F2717D1"/>
    <w:rsid w:val="4F355697"/>
    <w:rsid w:val="4F4D1CD3"/>
    <w:rsid w:val="4F557736"/>
    <w:rsid w:val="4F5C12A0"/>
    <w:rsid w:val="4F616F31"/>
    <w:rsid w:val="4F7760C5"/>
    <w:rsid w:val="4F857B40"/>
    <w:rsid w:val="4F8D7933"/>
    <w:rsid w:val="4F8F24EB"/>
    <w:rsid w:val="4F923128"/>
    <w:rsid w:val="4F996C7E"/>
    <w:rsid w:val="4F9D7F82"/>
    <w:rsid w:val="4F9E10B3"/>
    <w:rsid w:val="4FA85516"/>
    <w:rsid w:val="4FAA4E3A"/>
    <w:rsid w:val="4FB72501"/>
    <w:rsid w:val="4FDB2A14"/>
    <w:rsid w:val="4FE5216E"/>
    <w:rsid w:val="4FEE43C5"/>
    <w:rsid w:val="4FEF7F19"/>
    <w:rsid w:val="4FF50AA2"/>
    <w:rsid w:val="4FF55E04"/>
    <w:rsid w:val="4FFA1F79"/>
    <w:rsid w:val="4FFE6D44"/>
    <w:rsid w:val="501C3419"/>
    <w:rsid w:val="501D4063"/>
    <w:rsid w:val="502A5FF4"/>
    <w:rsid w:val="50334961"/>
    <w:rsid w:val="50404D00"/>
    <w:rsid w:val="504A2ECF"/>
    <w:rsid w:val="50503A64"/>
    <w:rsid w:val="50611C44"/>
    <w:rsid w:val="50641F16"/>
    <w:rsid w:val="506D39BB"/>
    <w:rsid w:val="506F3338"/>
    <w:rsid w:val="50877E67"/>
    <w:rsid w:val="5094213E"/>
    <w:rsid w:val="509C1B97"/>
    <w:rsid w:val="509C597B"/>
    <w:rsid w:val="509E1BF6"/>
    <w:rsid w:val="50A40B8B"/>
    <w:rsid w:val="50A66EF3"/>
    <w:rsid w:val="50AB2E49"/>
    <w:rsid w:val="50AC26DF"/>
    <w:rsid w:val="50AE19B8"/>
    <w:rsid w:val="50B00860"/>
    <w:rsid w:val="50BB1A75"/>
    <w:rsid w:val="50C02457"/>
    <w:rsid w:val="50C22147"/>
    <w:rsid w:val="50DA5D1D"/>
    <w:rsid w:val="50DF3746"/>
    <w:rsid w:val="50E00775"/>
    <w:rsid w:val="51065AE3"/>
    <w:rsid w:val="51073487"/>
    <w:rsid w:val="5130697A"/>
    <w:rsid w:val="51407712"/>
    <w:rsid w:val="51606D80"/>
    <w:rsid w:val="518D502C"/>
    <w:rsid w:val="519333FF"/>
    <w:rsid w:val="51984E54"/>
    <w:rsid w:val="51A146B6"/>
    <w:rsid w:val="51AE3CED"/>
    <w:rsid w:val="51B10615"/>
    <w:rsid w:val="51B97C10"/>
    <w:rsid w:val="51BB5FF1"/>
    <w:rsid w:val="51C606FB"/>
    <w:rsid w:val="51D854A9"/>
    <w:rsid w:val="51E30B6A"/>
    <w:rsid w:val="51EF1984"/>
    <w:rsid w:val="51F747E0"/>
    <w:rsid w:val="52103C34"/>
    <w:rsid w:val="52114A1C"/>
    <w:rsid w:val="52147C8F"/>
    <w:rsid w:val="52151D21"/>
    <w:rsid w:val="521A1356"/>
    <w:rsid w:val="52252690"/>
    <w:rsid w:val="52252BF9"/>
    <w:rsid w:val="52307421"/>
    <w:rsid w:val="52337F1C"/>
    <w:rsid w:val="5236531B"/>
    <w:rsid w:val="5249689C"/>
    <w:rsid w:val="52525E85"/>
    <w:rsid w:val="52567E52"/>
    <w:rsid w:val="52802154"/>
    <w:rsid w:val="528B4CAA"/>
    <w:rsid w:val="528C13A2"/>
    <w:rsid w:val="528E1B19"/>
    <w:rsid w:val="52BF6099"/>
    <w:rsid w:val="52D935FA"/>
    <w:rsid w:val="52DA789D"/>
    <w:rsid w:val="52E84EAB"/>
    <w:rsid w:val="52FA4A88"/>
    <w:rsid w:val="530326EF"/>
    <w:rsid w:val="53143DAC"/>
    <w:rsid w:val="531955E1"/>
    <w:rsid w:val="532173A6"/>
    <w:rsid w:val="53311999"/>
    <w:rsid w:val="533C45DC"/>
    <w:rsid w:val="534534A3"/>
    <w:rsid w:val="534C36C4"/>
    <w:rsid w:val="535B5FF9"/>
    <w:rsid w:val="536D21D8"/>
    <w:rsid w:val="53796342"/>
    <w:rsid w:val="53820BB2"/>
    <w:rsid w:val="538D79B9"/>
    <w:rsid w:val="539911C5"/>
    <w:rsid w:val="53AA73C8"/>
    <w:rsid w:val="53C029D2"/>
    <w:rsid w:val="53C241C4"/>
    <w:rsid w:val="53C429B7"/>
    <w:rsid w:val="53D43002"/>
    <w:rsid w:val="53E81D64"/>
    <w:rsid w:val="53EB712E"/>
    <w:rsid w:val="53F5628E"/>
    <w:rsid w:val="54044E93"/>
    <w:rsid w:val="540A4448"/>
    <w:rsid w:val="54183F4F"/>
    <w:rsid w:val="541C53CD"/>
    <w:rsid w:val="54241077"/>
    <w:rsid w:val="54251052"/>
    <w:rsid w:val="542E1E30"/>
    <w:rsid w:val="54391E2A"/>
    <w:rsid w:val="543F370E"/>
    <w:rsid w:val="54505D70"/>
    <w:rsid w:val="545C1B55"/>
    <w:rsid w:val="54631A1F"/>
    <w:rsid w:val="547055A0"/>
    <w:rsid w:val="54787ECC"/>
    <w:rsid w:val="54812C87"/>
    <w:rsid w:val="548361DF"/>
    <w:rsid w:val="54957EB4"/>
    <w:rsid w:val="54AA7585"/>
    <w:rsid w:val="54AC3060"/>
    <w:rsid w:val="54AF794C"/>
    <w:rsid w:val="54B67786"/>
    <w:rsid w:val="54BB6BD3"/>
    <w:rsid w:val="54C63A10"/>
    <w:rsid w:val="54E50145"/>
    <w:rsid w:val="54F70681"/>
    <w:rsid w:val="54FB522F"/>
    <w:rsid w:val="55006CF5"/>
    <w:rsid w:val="550D5140"/>
    <w:rsid w:val="55132040"/>
    <w:rsid w:val="551A6E9C"/>
    <w:rsid w:val="55211C4B"/>
    <w:rsid w:val="55293427"/>
    <w:rsid w:val="553E6CB0"/>
    <w:rsid w:val="55437516"/>
    <w:rsid w:val="554A1CE4"/>
    <w:rsid w:val="554B0A2E"/>
    <w:rsid w:val="555A19E2"/>
    <w:rsid w:val="555B33C1"/>
    <w:rsid w:val="55607B9B"/>
    <w:rsid w:val="5569463C"/>
    <w:rsid w:val="55755D7B"/>
    <w:rsid w:val="55757CBD"/>
    <w:rsid w:val="557C5594"/>
    <w:rsid w:val="55957379"/>
    <w:rsid w:val="55966F76"/>
    <w:rsid w:val="55AC349A"/>
    <w:rsid w:val="55B52048"/>
    <w:rsid w:val="55BD174C"/>
    <w:rsid w:val="55C81BB8"/>
    <w:rsid w:val="55CE6A55"/>
    <w:rsid w:val="55DF5269"/>
    <w:rsid w:val="55E216F8"/>
    <w:rsid w:val="55E25788"/>
    <w:rsid w:val="55E417AE"/>
    <w:rsid w:val="55EF6F20"/>
    <w:rsid w:val="55FF40FA"/>
    <w:rsid w:val="56047661"/>
    <w:rsid w:val="560D3F28"/>
    <w:rsid w:val="560F3D55"/>
    <w:rsid w:val="56105F34"/>
    <w:rsid w:val="56147900"/>
    <w:rsid w:val="561671B6"/>
    <w:rsid w:val="56231287"/>
    <w:rsid w:val="5629232E"/>
    <w:rsid w:val="562A339F"/>
    <w:rsid w:val="563450DB"/>
    <w:rsid w:val="563E0D12"/>
    <w:rsid w:val="56444033"/>
    <w:rsid w:val="56582EC5"/>
    <w:rsid w:val="565A1147"/>
    <w:rsid w:val="565A6D9C"/>
    <w:rsid w:val="565E3BE2"/>
    <w:rsid w:val="56635A76"/>
    <w:rsid w:val="566E512C"/>
    <w:rsid w:val="567808EC"/>
    <w:rsid w:val="56864983"/>
    <w:rsid w:val="568E7350"/>
    <w:rsid w:val="56984E38"/>
    <w:rsid w:val="569B4737"/>
    <w:rsid w:val="56A47248"/>
    <w:rsid w:val="56B96F71"/>
    <w:rsid w:val="56C44362"/>
    <w:rsid w:val="56CA4BBB"/>
    <w:rsid w:val="56D83364"/>
    <w:rsid w:val="56DD6AC9"/>
    <w:rsid w:val="56E03E16"/>
    <w:rsid w:val="56ED3EE4"/>
    <w:rsid w:val="56F00B76"/>
    <w:rsid w:val="56F55395"/>
    <w:rsid w:val="56F745A8"/>
    <w:rsid w:val="56FF6F78"/>
    <w:rsid w:val="571635A1"/>
    <w:rsid w:val="57352F0E"/>
    <w:rsid w:val="57354B82"/>
    <w:rsid w:val="573B48F4"/>
    <w:rsid w:val="57415D44"/>
    <w:rsid w:val="57492FF5"/>
    <w:rsid w:val="574A5AA3"/>
    <w:rsid w:val="575C1A86"/>
    <w:rsid w:val="57767700"/>
    <w:rsid w:val="579A6EF3"/>
    <w:rsid w:val="579B330C"/>
    <w:rsid w:val="57A178D5"/>
    <w:rsid w:val="57A37560"/>
    <w:rsid w:val="57A83858"/>
    <w:rsid w:val="57AF5C54"/>
    <w:rsid w:val="57B2759A"/>
    <w:rsid w:val="57B42188"/>
    <w:rsid w:val="57B45112"/>
    <w:rsid w:val="57B4655E"/>
    <w:rsid w:val="57CC6CEA"/>
    <w:rsid w:val="57D70A47"/>
    <w:rsid w:val="57D903E2"/>
    <w:rsid w:val="57E005EC"/>
    <w:rsid w:val="57FB0019"/>
    <w:rsid w:val="580D4B29"/>
    <w:rsid w:val="581A5F5A"/>
    <w:rsid w:val="58215951"/>
    <w:rsid w:val="5822625D"/>
    <w:rsid w:val="58264612"/>
    <w:rsid w:val="58306021"/>
    <w:rsid w:val="583078AE"/>
    <w:rsid w:val="583D2C7F"/>
    <w:rsid w:val="5843317B"/>
    <w:rsid w:val="58507329"/>
    <w:rsid w:val="587D5FE6"/>
    <w:rsid w:val="58821087"/>
    <w:rsid w:val="588F1C60"/>
    <w:rsid w:val="58953FF1"/>
    <w:rsid w:val="589849BB"/>
    <w:rsid w:val="58B41748"/>
    <w:rsid w:val="58C33DB9"/>
    <w:rsid w:val="58C425E3"/>
    <w:rsid w:val="58CF4446"/>
    <w:rsid w:val="58D1737A"/>
    <w:rsid w:val="58EE76E8"/>
    <w:rsid w:val="58FD2B7C"/>
    <w:rsid w:val="58FF0E69"/>
    <w:rsid w:val="59174271"/>
    <w:rsid w:val="59206ABC"/>
    <w:rsid w:val="59256ED3"/>
    <w:rsid w:val="59271FEC"/>
    <w:rsid w:val="59350CC7"/>
    <w:rsid w:val="59393975"/>
    <w:rsid w:val="59417210"/>
    <w:rsid w:val="5946051F"/>
    <w:rsid w:val="595B07E0"/>
    <w:rsid w:val="59692FF0"/>
    <w:rsid w:val="597645D2"/>
    <w:rsid w:val="597E453F"/>
    <w:rsid w:val="597E49BB"/>
    <w:rsid w:val="59932EFC"/>
    <w:rsid w:val="59967306"/>
    <w:rsid w:val="599D37A3"/>
    <w:rsid w:val="59B10E52"/>
    <w:rsid w:val="59B76C32"/>
    <w:rsid w:val="59C67DEE"/>
    <w:rsid w:val="59C9568A"/>
    <w:rsid w:val="59E74322"/>
    <w:rsid w:val="5A002FA3"/>
    <w:rsid w:val="5A007E30"/>
    <w:rsid w:val="5A0343C9"/>
    <w:rsid w:val="5A08125A"/>
    <w:rsid w:val="5A160D56"/>
    <w:rsid w:val="5A2179FB"/>
    <w:rsid w:val="5A243921"/>
    <w:rsid w:val="5A2776EF"/>
    <w:rsid w:val="5A45521F"/>
    <w:rsid w:val="5A4752B6"/>
    <w:rsid w:val="5A5051A4"/>
    <w:rsid w:val="5A6A69B7"/>
    <w:rsid w:val="5A6B504C"/>
    <w:rsid w:val="5A885001"/>
    <w:rsid w:val="5A8960C5"/>
    <w:rsid w:val="5A99743F"/>
    <w:rsid w:val="5A9E1877"/>
    <w:rsid w:val="5AA87A7C"/>
    <w:rsid w:val="5AA91D17"/>
    <w:rsid w:val="5AAC3162"/>
    <w:rsid w:val="5AB216C4"/>
    <w:rsid w:val="5ADD4D11"/>
    <w:rsid w:val="5AE26CDD"/>
    <w:rsid w:val="5AE42730"/>
    <w:rsid w:val="5AEA0953"/>
    <w:rsid w:val="5AEC23B4"/>
    <w:rsid w:val="5B052047"/>
    <w:rsid w:val="5B0F7EB6"/>
    <w:rsid w:val="5B266F16"/>
    <w:rsid w:val="5B32108D"/>
    <w:rsid w:val="5B3625B8"/>
    <w:rsid w:val="5B3B3368"/>
    <w:rsid w:val="5B3F47FC"/>
    <w:rsid w:val="5B41351D"/>
    <w:rsid w:val="5B57118C"/>
    <w:rsid w:val="5B624147"/>
    <w:rsid w:val="5B640BA4"/>
    <w:rsid w:val="5B7339AD"/>
    <w:rsid w:val="5B813703"/>
    <w:rsid w:val="5B842A8E"/>
    <w:rsid w:val="5B9F61D8"/>
    <w:rsid w:val="5BA86394"/>
    <w:rsid w:val="5BB82B14"/>
    <w:rsid w:val="5BB95B06"/>
    <w:rsid w:val="5BD536D5"/>
    <w:rsid w:val="5BFA335F"/>
    <w:rsid w:val="5C322A65"/>
    <w:rsid w:val="5C46536D"/>
    <w:rsid w:val="5C526F7B"/>
    <w:rsid w:val="5C595364"/>
    <w:rsid w:val="5C6C51C1"/>
    <w:rsid w:val="5C7B6810"/>
    <w:rsid w:val="5C7E1616"/>
    <w:rsid w:val="5C805B19"/>
    <w:rsid w:val="5C8252D4"/>
    <w:rsid w:val="5C84485C"/>
    <w:rsid w:val="5C861F85"/>
    <w:rsid w:val="5C886BB6"/>
    <w:rsid w:val="5C917CB2"/>
    <w:rsid w:val="5C92145C"/>
    <w:rsid w:val="5C99030E"/>
    <w:rsid w:val="5C9A4295"/>
    <w:rsid w:val="5C9B4F43"/>
    <w:rsid w:val="5C9E3C9E"/>
    <w:rsid w:val="5CAD01E8"/>
    <w:rsid w:val="5CB149DB"/>
    <w:rsid w:val="5CC434C5"/>
    <w:rsid w:val="5CD3177D"/>
    <w:rsid w:val="5CD40035"/>
    <w:rsid w:val="5CDC0140"/>
    <w:rsid w:val="5CDF2B73"/>
    <w:rsid w:val="5CE9458D"/>
    <w:rsid w:val="5D0449CF"/>
    <w:rsid w:val="5D0E21AC"/>
    <w:rsid w:val="5D3468C4"/>
    <w:rsid w:val="5D3B635D"/>
    <w:rsid w:val="5D434714"/>
    <w:rsid w:val="5D457A5D"/>
    <w:rsid w:val="5D4E3012"/>
    <w:rsid w:val="5D4E3C68"/>
    <w:rsid w:val="5D4F05CD"/>
    <w:rsid w:val="5D5F23EC"/>
    <w:rsid w:val="5D797731"/>
    <w:rsid w:val="5DA70253"/>
    <w:rsid w:val="5DCB09A1"/>
    <w:rsid w:val="5DDC29E4"/>
    <w:rsid w:val="5E0E1390"/>
    <w:rsid w:val="5E12327B"/>
    <w:rsid w:val="5E213EF8"/>
    <w:rsid w:val="5E2C29D6"/>
    <w:rsid w:val="5E2F5CFC"/>
    <w:rsid w:val="5E3036B9"/>
    <w:rsid w:val="5E42228C"/>
    <w:rsid w:val="5E464496"/>
    <w:rsid w:val="5E61698D"/>
    <w:rsid w:val="5E7E60A9"/>
    <w:rsid w:val="5E901A68"/>
    <w:rsid w:val="5EB860D2"/>
    <w:rsid w:val="5EBC2E54"/>
    <w:rsid w:val="5EDA2CAC"/>
    <w:rsid w:val="5EDB00E0"/>
    <w:rsid w:val="5EDE5287"/>
    <w:rsid w:val="5EE61F49"/>
    <w:rsid w:val="5F0A2DDD"/>
    <w:rsid w:val="5F1950E1"/>
    <w:rsid w:val="5F1E54FC"/>
    <w:rsid w:val="5F1E7070"/>
    <w:rsid w:val="5F315AA9"/>
    <w:rsid w:val="5F3F74F9"/>
    <w:rsid w:val="5F445B2E"/>
    <w:rsid w:val="5F5F359D"/>
    <w:rsid w:val="5F6E41B1"/>
    <w:rsid w:val="5F714634"/>
    <w:rsid w:val="5F714A57"/>
    <w:rsid w:val="5F715D02"/>
    <w:rsid w:val="5F785CFF"/>
    <w:rsid w:val="5F7B5532"/>
    <w:rsid w:val="5F8C05DD"/>
    <w:rsid w:val="5F9136E2"/>
    <w:rsid w:val="5F945C6E"/>
    <w:rsid w:val="5F9609A6"/>
    <w:rsid w:val="5F976056"/>
    <w:rsid w:val="5F9A541A"/>
    <w:rsid w:val="5FA03C55"/>
    <w:rsid w:val="5FA96BB5"/>
    <w:rsid w:val="5FC26490"/>
    <w:rsid w:val="5FCB0FAC"/>
    <w:rsid w:val="5FCC0F20"/>
    <w:rsid w:val="5FE3287C"/>
    <w:rsid w:val="5FE502FA"/>
    <w:rsid w:val="5FEF66DA"/>
    <w:rsid w:val="5FF727EF"/>
    <w:rsid w:val="600A2620"/>
    <w:rsid w:val="600D7226"/>
    <w:rsid w:val="60177C95"/>
    <w:rsid w:val="601C03AD"/>
    <w:rsid w:val="60226395"/>
    <w:rsid w:val="602B20E7"/>
    <w:rsid w:val="602F7A19"/>
    <w:rsid w:val="603C224B"/>
    <w:rsid w:val="60444B10"/>
    <w:rsid w:val="60612816"/>
    <w:rsid w:val="60615277"/>
    <w:rsid w:val="60695999"/>
    <w:rsid w:val="607346D5"/>
    <w:rsid w:val="608D470F"/>
    <w:rsid w:val="608F1164"/>
    <w:rsid w:val="60A023E2"/>
    <w:rsid w:val="60AC0BDD"/>
    <w:rsid w:val="60C86DFB"/>
    <w:rsid w:val="60D46DAF"/>
    <w:rsid w:val="60F87B91"/>
    <w:rsid w:val="6100676D"/>
    <w:rsid w:val="61032C9D"/>
    <w:rsid w:val="610757A6"/>
    <w:rsid w:val="610A1465"/>
    <w:rsid w:val="61122616"/>
    <w:rsid w:val="61124738"/>
    <w:rsid w:val="61143FE6"/>
    <w:rsid w:val="61224AC8"/>
    <w:rsid w:val="612416C4"/>
    <w:rsid w:val="612F062B"/>
    <w:rsid w:val="61316948"/>
    <w:rsid w:val="61355264"/>
    <w:rsid w:val="61366397"/>
    <w:rsid w:val="613D1908"/>
    <w:rsid w:val="61466D6C"/>
    <w:rsid w:val="61651B50"/>
    <w:rsid w:val="616B34F1"/>
    <w:rsid w:val="61967EE9"/>
    <w:rsid w:val="619F0AE4"/>
    <w:rsid w:val="61A8544A"/>
    <w:rsid w:val="61B34920"/>
    <w:rsid w:val="61B8363E"/>
    <w:rsid w:val="61D35210"/>
    <w:rsid w:val="61D62588"/>
    <w:rsid w:val="61E10F96"/>
    <w:rsid w:val="61E20CAB"/>
    <w:rsid w:val="61E26A39"/>
    <w:rsid w:val="61EA1899"/>
    <w:rsid w:val="61EE361C"/>
    <w:rsid w:val="61F2346C"/>
    <w:rsid w:val="61F3564A"/>
    <w:rsid w:val="620455FF"/>
    <w:rsid w:val="62051E5E"/>
    <w:rsid w:val="620751EB"/>
    <w:rsid w:val="62096860"/>
    <w:rsid w:val="620D5CAE"/>
    <w:rsid w:val="620F5FBB"/>
    <w:rsid w:val="621B439A"/>
    <w:rsid w:val="622542A4"/>
    <w:rsid w:val="62357B4C"/>
    <w:rsid w:val="623C3E79"/>
    <w:rsid w:val="624B1DCB"/>
    <w:rsid w:val="624D3860"/>
    <w:rsid w:val="62642BCA"/>
    <w:rsid w:val="627E4AA6"/>
    <w:rsid w:val="628C2580"/>
    <w:rsid w:val="6299479C"/>
    <w:rsid w:val="62AE5634"/>
    <w:rsid w:val="62B775E1"/>
    <w:rsid w:val="62B8695E"/>
    <w:rsid w:val="62C054DC"/>
    <w:rsid w:val="62C20E6C"/>
    <w:rsid w:val="62D50569"/>
    <w:rsid w:val="62D877BF"/>
    <w:rsid w:val="62DD303E"/>
    <w:rsid w:val="62E03F56"/>
    <w:rsid w:val="62EB1915"/>
    <w:rsid w:val="62F05B79"/>
    <w:rsid w:val="62F43C66"/>
    <w:rsid w:val="62F54D21"/>
    <w:rsid w:val="62F83111"/>
    <w:rsid w:val="630E2BEE"/>
    <w:rsid w:val="63145F63"/>
    <w:rsid w:val="63153B67"/>
    <w:rsid w:val="63191F45"/>
    <w:rsid w:val="631A114F"/>
    <w:rsid w:val="631F4897"/>
    <w:rsid w:val="6327117C"/>
    <w:rsid w:val="633270F6"/>
    <w:rsid w:val="63340F00"/>
    <w:rsid w:val="633849E8"/>
    <w:rsid w:val="633F742D"/>
    <w:rsid w:val="63446387"/>
    <w:rsid w:val="63541E44"/>
    <w:rsid w:val="6359534E"/>
    <w:rsid w:val="637A1FAF"/>
    <w:rsid w:val="638350A5"/>
    <w:rsid w:val="63854194"/>
    <w:rsid w:val="639123D5"/>
    <w:rsid w:val="63945C4D"/>
    <w:rsid w:val="639532D1"/>
    <w:rsid w:val="63A91068"/>
    <w:rsid w:val="63AA53D6"/>
    <w:rsid w:val="63AF6032"/>
    <w:rsid w:val="63B7308A"/>
    <w:rsid w:val="63BA23B1"/>
    <w:rsid w:val="63BE0768"/>
    <w:rsid w:val="63BE1EAF"/>
    <w:rsid w:val="63BE38DD"/>
    <w:rsid w:val="63BE4877"/>
    <w:rsid w:val="63CC1E6C"/>
    <w:rsid w:val="63D42E6F"/>
    <w:rsid w:val="63D56733"/>
    <w:rsid w:val="63DF01FA"/>
    <w:rsid w:val="63ED7418"/>
    <w:rsid w:val="63F55F2B"/>
    <w:rsid w:val="640E09AC"/>
    <w:rsid w:val="641423F7"/>
    <w:rsid w:val="6414705B"/>
    <w:rsid w:val="6418742C"/>
    <w:rsid w:val="642E0DC1"/>
    <w:rsid w:val="64383811"/>
    <w:rsid w:val="643B1DDB"/>
    <w:rsid w:val="64527EE2"/>
    <w:rsid w:val="6463704A"/>
    <w:rsid w:val="64680B35"/>
    <w:rsid w:val="646D4927"/>
    <w:rsid w:val="64746411"/>
    <w:rsid w:val="64773568"/>
    <w:rsid w:val="64784319"/>
    <w:rsid w:val="648A53C3"/>
    <w:rsid w:val="649609B3"/>
    <w:rsid w:val="64AD6C47"/>
    <w:rsid w:val="64AF3495"/>
    <w:rsid w:val="64B1582E"/>
    <w:rsid w:val="64C007C5"/>
    <w:rsid w:val="64C25AE1"/>
    <w:rsid w:val="64CC53E2"/>
    <w:rsid w:val="64D8522D"/>
    <w:rsid w:val="64F459EF"/>
    <w:rsid w:val="64FC6A39"/>
    <w:rsid w:val="64FF5554"/>
    <w:rsid w:val="64FF5B33"/>
    <w:rsid w:val="650C735C"/>
    <w:rsid w:val="651A528F"/>
    <w:rsid w:val="652210F7"/>
    <w:rsid w:val="65252373"/>
    <w:rsid w:val="652D20EA"/>
    <w:rsid w:val="65310787"/>
    <w:rsid w:val="65320BD1"/>
    <w:rsid w:val="654A0485"/>
    <w:rsid w:val="655679F7"/>
    <w:rsid w:val="655C0221"/>
    <w:rsid w:val="656A3DE1"/>
    <w:rsid w:val="656B28FD"/>
    <w:rsid w:val="657958FF"/>
    <w:rsid w:val="657F02BE"/>
    <w:rsid w:val="6584001B"/>
    <w:rsid w:val="658558D2"/>
    <w:rsid w:val="658B2995"/>
    <w:rsid w:val="65981B19"/>
    <w:rsid w:val="65A264C4"/>
    <w:rsid w:val="65AC7F98"/>
    <w:rsid w:val="65AF7515"/>
    <w:rsid w:val="65B01F8D"/>
    <w:rsid w:val="65D63A96"/>
    <w:rsid w:val="65F46A63"/>
    <w:rsid w:val="65FF233E"/>
    <w:rsid w:val="660367A1"/>
    <w:rsid w:val="6607745E"/>
    <w:rsid w:val="66093FCB"/>
    <w:rsid w:val="660C1008"/>
    <w:rsid w:val="66130AAB"/>
    <w:rsid w:val="66247877"/>
    <w:rsid w:val="663F3D5C"/>
    <w:rsid w:val="66442B47"/>
    <w:rsid w:val="6645606B"/>
    <w:rsid w:val="664A5DB0"/>
    <w:rsid w:val="664F5592"/>
    <w:rsid w:val="666138BE"/>
    <w:rsid w:val="666B61C1"/>
    <w:rsid w:val="66704DB8"/>
    <w:rsid w:val="667430BA"/>
    <w:rsid w:val="667D6E94"/>
    <w:rsid w:val="667D7041"/>
    <w:rsid w:val="667E376F"/>
    <w:rsid w:val="66814262"/>
    <w:rsid w:val="6687181F"/>
    <w:rsid w:val="66956B8B"/>
    <w:rsid w:val="66991703"/>
    <w:rsid w:val="669D565A"/>
    <w:rsid w:val="669D5DF0"/>
    <w:rsid w:val="66A04B27"/>
    <w:rsid w:val="66AB0232"/>
    <w:rsid w:val="66AC42E9"/>
    <w:rsid w:val="66B20A89"/>
    <w:rsid w:val="66B327B0"/>
    <w:rsid w:val="66B57968"/>
    <w:rsid w:val="66B92610"/>
    <w:rsid w:val="66C65DA4"/>
    <w:rsid w:val="66CB27C0"/>
    <w:rsid w:val="66CD7497"/>
    <w:rsid w:val="66D525AE"/>
    <w:rsid w:val="66E67C21"/>
    <w:rsid w:val="66F939B6"/>
    <w:rsid w:val="67027284"/>
    <w:rsid w:val="67475E38"/>
    <w:rsid w:val="67537032"/>
    <w:rsid w:val="67656864"/>
    <w:rsid w:val="6766467F"/>
    <w:rsid w:val="676B362B"/>
    <w:rsid w:val="676D60D7"/>
    <w:rsid w:val="67775F53"/>
    <w:rsid w:val="67805079"/>
    <w:rsid w:val="67873F03"/>
    <w:rsid w:val="679773D7"/>
    <w:rsid w:val="67A2624C"/>
    <w:rsid w:val="67A36001"/>
    <w:rsid w:val="67AE39D7"/>
    <w:rsid w:val="67B42723"/>
    <w:rsid w:val="67C26BE9"/>
    <w:rsid w:val="67C935E9"/>
    <w:rsid w:val="67CD5390"/>
    <w:rsid w:val="67CF66A0"/>
    <w:rsid w:val="67D55811"/>
    <w:rsid w:val="67D73840"/>
    <w:rsid w:val="67F41BB8"/>
    <w:rsid w:val="67F60BB7"/>
    <w:rsid w:val="67FB60A5"/>
    <w:rsid w:val="67FC1404"/>
    <w:rsid w:val="68022384"/>
    <w:rsid w:val="6806232A"/>
    <w:rsid w:val="680901EC"/>
    <w:rsid w:val="680B049B"/>
    <w:rsid w:val="681329CD"/>
    <w:rsid w:val="682870E2"/>
    <w:rsid w:val="682B1DC8"/>
    <w:rsid w:val="68514045"/>
    <w:rsid w:val="68541A0A"/>
    <w:rsid w:val="686E2CBE"/>
    <w:rsid w:val="68995A67"/>
    <w:rsid w:val="689E408E"/>
    <w:rsid w:val="68B77FEA"/>
    <w:rsid w:val="68CC65D0"/>
    <w:rsid w:val="68D121D5"/>
    <w:rsid w:val="68D8103F"/>
    <w:rsid w:val="68EE6D9D"/>
    <w:rsid w:val="68FB681C"/>
    <w:rsid w:val="69005F31"/>
    <w:rsid w:val="69010FD4"/>
    <w:rsid w:val="69214F2D"/>
    <w:rsid w:val="6934460D"/>
    <w:rsid w:val="693508DD"/>
    <w:rsid w:val="694A5299"/>
    <w:rsid w:val="694E280C"/>
    <w:rsid w:val="695568D4"/>
    <w:rsid w:val="69607A6C"/>
    <w:rsid w:val="69665CD9"/>
    <w:rsid w:val="696B7A43"/>
    <w:rsid w:val="696D0FD1"/>
    <w:rsid w:val="697C6401"/>
    <w:rsid w:val="697D34E1"/>
    <w:rsid w:val="69865073"/>
    <w:rsid w:val="698C58DA"/>
    <w:rsid w:val="69954DA9"/>
    <w:rsid w:val="6999348E"/>
    <w:rsid w:val="69A7696E"/>
    <w:rsid w:val="69AB6664"/>
    <w:rsid w:val="69C37CDD"/>
    <w:rsid w:val="69CD70A4"/>
    <w:rsid w:val="69D973C3"/>
    <w:rsid w:val="69F27551"/>
    <w:rsid w:val="6A017D99"/>
    <w:rsid w:val="6A114CCF"/>
    <w:rsid w:val="6A195EB9"/>
    <w:rsid w:val="6A322912"/>
    <w:rsid w:val="6A483D54"/>
    <w:rsid w:val="6A4C7F9A"/>
    <w:rsid w:val="6A4E7F60"/>
    <w:rsid w:val="6A4F0FE3"/>
    <w:rsid w:val="6A632100"/>
    <w:rsid w:val="6A647A43"/>
    <w:rsid w:val="6A6E3D8A"/>
    <w:rsid w:val="6A702E47"/>
    <w:rsid w:val="6A907C90"/>
    <w:rsid w:val="6ABD2B8A"/>
    <w:rsid w:val="6AC122A3"/>
    <w:rsid w:val="6ACA5FB0"/>
    <w:rsid w:val="6ADE18EE"/>
    <w:rsid w:val="6ADF3594"/>
    <w:rsid w:val="6AE73F4D"/>
    <w:rsid w:val="6AF17318"/>
    <w:rsid w:val="6B0B1D32"/>
    <w:rsid w:val="6B0F0139"/>
    <w:rsid w:val="6B0F0659"/>
    <w:rsid w:val="6B2142CE"/>
    <w:rsid w:val="6B2315D2"/>
    <w:rsid w:val="6B25182E"/>
    <w:rsid w:val="6B276A3E"/>
    <w:rsid w:val="6B30021B"/>
    <w:rsid w:val="6B3B0707"/>
    <w:rsid w:val="6B471513"/>
    <w:rsid w:val="6B56083E"/>
    <w:rsid w:val="6B5D2250"/>
    <w:rsid w:val="6B6B376C"/>
    <w:rsid w:val="6B7C613A"/>
    <w:rsid w:val="6B7F0990"/>
    <w:rsid w:val="6B850C29"/>
    <w:rsid w:val="6B954CEF"/>
    <w:rsid w:val="6BA840D6"/>
    <w:rsid w:val="6BB87FC4"/>
    <w:rsid w:val="6BBE61C0"/>
    <w:rsid w:val="6BD46B4D"/>
    <w:rsid w:val="6BDE22A7"/>
    <w:rsid w:val="6BE73798"/>
    <w:rsid w:val="6BEC2FCA"/>
    <w:rsid w:val="6BF419EF"/>
    <w:rsid w:val="6C182FA3"/>
    <w:rsid w:val="6C1A082E"/>
    <w:rsid w:val="6C3707E3"/>
    <w:rsid w:val="6C693AEA"/>
    <w:rsid w:val="6C6958BA"/>
    <w:rsid w:val="6C69732B"/>
    <w:rsid w:val="6C6A2B82"/>
    <w:rsid w:val="6C6E6BE1"/>
    <w:rsid w:val="6C860712"/>
    <w:rsid w:val="6C860B71"/>
    <w:rsid w:val="6C863AD3"/>
    <w:rsid w:val="6C8F0FB6"/>
    <w:rsid w:val="6C995B9F"/>
    <w:rsid w:val="6C9C715F"/>
    <w:rsid w:val="6CB03800"/>
    <w:rsid w:val="6CB36312"/>
    <w:rsid w:val="6CB543F8"/>
    <w:rsid w:val="6CD3191A"/>
    <w:rsid w:val="6CE83B52"/>
    <w:rsid w:val="6CFD7470"/>
    <w:rsid w:val="6D193B0B"/>
    <w:rsid w:val="6D2162B4"/>
    <w:rsid w:val="6D222178"/>
    <w:rsid w:val="6D2C13DF"/>
    <w:rsid w:val="6D351109"/>
    <w:rsid w:val="6D39408A"/>
    <w:rsid w:val="6D535020"/>
    <w:rsid w:val="6D644C93"/>
    <w:rsid w:val="6D6A5CC8"/>
    <w:rsid w:val="6D6B3F91"/>
    <w:rsid w:val="6D7538E1"/>
    <w:rsid w:val="6D7707C3"/>
    <w:rsid w:val="6D86428B"/>
    <w:rsid w:val="6D8901BC"/>
    <w:rsid w:val="6D9346AE"/>
    <w:rsid w:val="6DB16CB7"/>
    <w:rsid w:val="6DB22D18"/>
    <w:rsid w:val="6DB96B12"/>
    <w:rsid w:val="6DC30A82"/>
    <w:rsid w:val="6DC918BA"/>
    <w:rsid w:val="6DD16FED"/>
    <w:rsid w:val="6DE04488"/>
    <w:rsid w:val="6DEE7E36"/>
    <w:rsid w:val="6E132BBF"/>
    <w:rsid w:val="6E156AB9"/>
    <w:rsid w:val="6E255579"/>
    <w:rsid w:val="6E2A1D7A"/>
    <w:rsid w:val="6E347D9E"/>
    <w:rsid w:val="6E39640B"/>
    <w:rsid w:val="6E3B7A73"/>
    <w:rsid w:val="6E457FD7"/>
    <w:rsid w:val="6E4E1431"/>
    <w:rsid w:val="6E5140E8"/>
    <w:rsid w:val="6E523ECC"/>
    <w:rsid w:val="6E6A4D62"/>
    <w:rsid w:val="6E777980"/>
    <w:rsid w:val="6E8C433E"/>
    <w:rsid w:val="6E915325"/>
    <w:rsid w:val="6E950807"/>
    <w:rsid w:val="6E9C45CA"/>
    <w:rsid w:val="6EBF54EA"/>
    <w:rsid w:val="6ECB09B7"/>
    <w:rsid w:val="6ECC5B21"/>
    <w:rsid w:val="6ED0560A"/>
    <w:rsid w:val="6EE62D04"/>
    <w:rsid w:val="6EF05FA7"/>
    <w:rsid w:val="6F2C025F"/>
    <w:rsid w:val="6F2C25D4"/>
    <w:rsid w:val="6F2D598D"/>
    <w:rsid w:val="6F4308A1"/>
    <w:rsid w:val="6F46405D"/>
    <w:rsid w:val="6F5603AA"/>
    <w:rsid w:val="6F582142"/>
    <w:rsid w:val="6F6311C3"/>
    <w:rsid w:val="6F6F143A"/>
    <w:rsid w:val="6F7B4F57"/>
    <w:rsid w:val="6F8173A5"/>
    <w:rsid w:val="6F860979"/>
    <w:rsid w:val="6F8731F0"/>
    <w:rsid w:val="6F98023F"/>
    <w:rsid w:val="6FAF5EAE"/>
    <w:rsid w:val="6FBC0E57"/>
    <w:rsid w:val="6FC57B35"/>
    <w:rsid w:val="6FCB5618"/>
    <w:rsid w:val="6FE26034"/>
    <w:rsid w:val="6FF551F5"/>
    <w:rsid w:val="6FF901E4"/>
    <w:rsid w:val="6FFA68F6"/>
    <w:rsid w:val="7004100D"/>
    <w:rsid w:val="701820FB"/>
    <w:rsid w:val="70224DE3"/>
    <w:rsid w:val="703503A4"/>
    <w:rsid w:val="7036351C"/>
    <w:rsid w:val="703D6CEF"/>
    <w:rsid w:val="70412B93"/>
    <w:rsid w:val="70553D44"/>
    <w:rsid w:val="705D42D1"/>
    <w:rsid w:val="7062375F"/>
    <w:rsid w:val="70706378"/>
    <w:rsid w:val="7075364D"/>
    <w:rsid w:val="70771B88"/>
    <w:rsid w:val="708B2925"/>
    <w:rsid w:val="708D6597"/>
    <w:rsid w:val="70AA20C1"/>
    <w:rsid w:val="70B16ED7"/>
    <w:rsid w:val="70C06B12"/>
    <w:rsid w:val="70C55B89"/>
    <w:rsid w:val="70C95948"/>
    <w:rsid w:val="70CE5088"/>
    <w:rsid w:val="70D900D5"/>
    <w:rsid w:val="70EC759C"/>
    <w:rsid w:val="70EF6FAE"/>
    <w:rsid w:val="71091DB7"/>
    <w:rsid w:val="710A05D6"/>
    <w:rsid w:val="71164870"/>
    <w:rsid w:val="71215B48"/>
    <w:rsid w:val="712357B2"/>
    <w:rsid w:val="712D66C5"/>
    <w:rsid w:val="71315B56"/>
    <w:rsid w:val="713425DE"/>
    <w:rsid w:val="71362F91"/>
    <w:rsid w:val="71380537"/>
    <w:rsid w:val="71395FAD"/>
    <w:rsid w:val="713C7860"/>
    <w:rsid w:val="7158707F"/>
    <w:rsid w:val="715F7096"/>
    <w:rsid w:val="71634934"/>
    <w:rsid w:val="71684551"/>
    <w:rsid w:val="716C7616"/>
    <w:rsid w:val="71723E36"/>
    <w:rsid w:val="71760E9C"/>
    <w:rsid w:val="71895007"/>
    <w:rsid w:val="718C2955"/>
    <w:rsid w:val="718C3250"/>
    <w:rsid w:val="719C38AD"/>
    <w:rsid w:val="719D43E5"/>
    <w:rsid w:val="71BA2D03"/>
    <w:rsid w:val="71D14DF2"/>
    <w:rsid w:val="71DD2475"/>
    <w:rsid w:val="71DD54E0"/>
    <w:rsid w:val="71E25D9B"/>
    <w:rsid w:val="71EA1849"/>
    <w:rsid w:val="71FB2E51"/>
    <w:rsid w:val="71FC4024"/>
    <w:rsid w:val="72097561"/>
    <w:rsid w:val="721B506B"/>
    <w:rsid w:val="724033F7"/>
    <w:rsid w:val="72416679"/>
    <w:rsid w:val="72433065"/>
    <w:rsid w:val="72457278"/>
    <w:rsid w:val="726E0B11"/>
    <w:rsid w:val="728175C3"/>
    <w:rsid w:val="728E5109"/>
    <w:rsid w:val="72A2415E"/>
    <w:rsid w:val="72AC288B"/>
    <w:rsid w:val="72B266AC"/>
    <w:rsid w:val="72C03295"/>
    <w:rsid w:val="72C346BD"/>
    <w:rsid w:val="72CE404E"/>
    <w:rsid w:val="72D046AC"/>
    <w:rsid w:val="72E47A77"/>
    <w:rsid w:val="72EB7CFE"/>
    <w:rsid w:val="72ED4786"/>
    <w:rsid w:val="72F5500F"/>
    <w:rsid w:val="72FD4B94"/>
    <w:rsid w:val="73035024"/>
    <w:rsid w:val="731822C5"/>
    <w:rsid w:val="73261C73"/>
    <w:rsid w:val="73274383"/>
    <w:rsid w:val="73296A24"/>
    <w:rsid w:val="733B25A8"/>
    <w:rsid w:val="733E766B"/>
    <w:rsid w:val="733F3107"/>
    <w:rsid w:val="734A04E5"/>
    <w:rsid w:val="735019D7"/>
    <w:rsid w:val="736F044F"/>
    <w:rsid w:val="737410AC"/>
    <w:rsid w:val="73785F09"/>
    <w:rsid w:val="7391679E"/>
    <w:rsid w:val="73A53482"/>
    <w:rsid w:val="73AA5EEC"/>
    <w:rsid w:val="73B04236"/>
    <w:rsid w:val="73B431A6"/>
    <w:rsid w:val="73BB09D2"/>
    <w:rsid w:val="73BD186A"/>
    <w:rsid w:val="73BF77D7"/>
    <w:rsid w:val="73C64FBC"/>
    <w:rsid w:val="73CB6CEC"/>
    <w:rsid w:val="73E27B00"/>
    <w:rsid w:val="73E65029"/>
    <w:rsid w:val="73EF42A9"/>
    <w:rsid w:val="73F017DA"/>
    <w:rsid w:val="73F07D9A"/>
    <w:rsid w:val="73F41526"/>
    <w:rsid w:val="74090D59"/>
    <w:rsid w:val="74180BBF"/>
    <w:rsid w:val="74266B95"/>
    <w:rsid w:val="742E73BF"/>
    <w:rsid w:val="743D2A5D"/>
    <w:rsid w:val="74451C3B"/>
    <w:rsid w:val="74566DBA"/>
    <w:rsid w:val="745A0BA9"/>
    <w:rsid w:val="745D2796"/>
    <w:rsid w:val="7460605D"/>
    <w:rsid w:val="74645E2C"/>
    <w:rsid w:val="747A5C59"/>
    <w:rsid w:val="748D4D0B"/>
    <w:rsid w:val="748F2873"/>
    <w:rsid w:val="74A27DD2"/>
    <w:rsid w:val="74AA513B"/>
    <w:rsid w:val="74B47A08"/>
    <w:rsid w:val="74C07362"/>
    <w:rsid w:val="74D01B97"/>
    <w:rsid w:val="74E0416E"/>
    <w:rsid w:val="74EE09B3"/>
    <w:rsid w:val="74F16FF8"/>
    <w:rsid w:val="75032417"/>
    <w:rsid w:val="75115B78"/>
    <w:rsid w:val="751630F3"/>
    <w:rsid w:val="751B0EF7"/>
    <w:rsid w:val="751D677C"/>
    <w:rsid w:val="751E11BF"/>
    <w:rsid w:val="75231E7F"/>
    <w:rsid w:val="75315F8E"/>
    <w:rsid w:val="7544346D"/>
    <w:rsid w:val="75494DE0"/>
    <w:rsid w:val="754A58F7"/>
    <w:rsid w:val="75590E73"/>
    <w:rsid w:val="755D4311"/>
    <w:rsid w:val="75684184"/>
    <w:rsid w:val="75782865"/>
    <w:rsid w:val="7580783F"/>
    <w:rsid w:val="759146BB"/>
    <w:rsid w:val="75A20554"/>
    <w:rsid w:val="75B30DD6"/>
    <w:rsid w:val="75C25231"/>
    <w:rsid w:val="75C876B4"/>
    <w:rsid w:val="75DF4381"/>
    <w:rsid w:val="75E142B9"/>
    <w:rsid w:val="75E5151B"/>
    <w:rsid w:val="75EC37AE"/>
    <w:rsid w:val="75F16CCA"/>
    <w:rsid w:val="76054A17"/>
    <w:rsid w:val="76211AF6"/>
    <w:rsid w:val="76275FAE"/>
    <w:rsid w:val="762E39BD"/>
    <w:rsid w:val="763537F6"/>
    <w:rsid w:val="763B3B81"/>
    <w:rsid w:val="76417696"/>
    <w:rsid w:val="76453603"/>
    <w:rsid w:val="76686B17"/>
    <w:rsid w:val="766F7C81"/>
    <w:rsid w:val="767F314F"/>
    <w:rsid w:val="7683750C"/>
    <w:rsid w:val="769120F5"/>
    <w:rsid w:val="76940D5A"/>
    <w:rsid w:val="7695521B"/>
    <w:rsid w:val="769F638C"/>
    <w:rsid w:val="76D5246B"/>
    <w:rsid w:val="76D613FE"/>
    <w:rsid w:val="76D61C06"/>
    <w:rsid w:val="77123450"/>
    <w:rsid w:val="771E342D"/>
    <w:rsid w:val="77241334"/>
    <w:rsid w:val="772E3EC9"/>
    <w:rsid w:val="778B74B3"/>
    <w:rsid w:val="779C66D3"/>
    <w:rsid w:val="77A52D33"/>
    <w:rsid w:val="77B86D8D"/>
    <w:rsid w:val="77B95085"/>
    <w:rsid w:val="77C82507"/>
    <w:rsid w:val="77C94A5C"/>
    <w:rsid w:val="77D51602"/>
    <w:rsid w:val="77F359E9"/>
    <w:rsid w:val="780E6346"/>
    <w:rsid w:val="7810476F"/>
    <w:rsid w:val="781B6277"/>
    <w:rsid w:val="782402F6"/>
    <w:rsid w:val="7826124C"/>
    <w:rsid w:val="782D5E70"/>
    <w:rsid w:val="782E0211"/>
    <w:rsid w:val="783E6B68"/>
    <w:rsid w:val="786308D6"/>
    <w:rsid w:val="786660BB"/>
    <w:rsid w:val="786D13B6"/>
    <w:rsid w:val="7876280E"/>
    <w:rsid w:val="787967A0"/>
    <w:rsid w:val="787E5DA4"/>
    <w:rsid w:val="7886011F"/>
    <w:rsid w:val="788620D6"/>
    <w:rsid w:val="788E4C33"/>
    <w:rsid w:val="789A14D5"/>
    <w:rsid w:val="78A23C35"/>
    <w:rsid w:val="78AE55B9"/>
    <w:rsid w:val="78B1241F"/>
    <w:rsid w:val="78B5402C"/>
    <w:rsid w:val="78C33580"/>
    <w:rsid w:val="78C44908"/>
    <w:rsid w:val="78CA3104"/>
    <w:rsid w:val="78DD724E"/>
    <w:rsid w:val="78E144CE"/>
    <w:rsid w:val="78E46F81"/>
    <w:rsid w:val="78E97DB2"/>
    <w:rsid w:val="78FB0EF8"/>
    <w:rsid w:val="78FE7A25"/>
    <w:rsid w:val="790300B9"/>
    <w:rsid w:val="792C6D0B"/>
    <w:rsid w:val="793731E3"/>
    <w:rsid w:val="79392389"/>
    <w:rsid w:val="793F4619"/>
    <w:rsid w:val="79476D94"/>
    <w:rsid w:val="795200ED"/>
    <w:rsid w:val="79533E74"/>
    <w:rsid w:val="79537BB7"/>
    <w:rsid w:val="79590D62"/>
    <w:rsid w:val="79651C45"/>
    <w:rsid w:val="796C1BE9"/>
    <w:rsid w:val="7972462B"/>
    <w:rsid w:val="79742E29"/>
    <w:rsid w:val="797C1FFB"/>
    <w:rsid w:val="798F727F"/>
    <w:rsid w:val="79933267"/>
    <w:rsid w:val="7998292C"/>
    <w:rsid w:val="79BC5130"/>
    <w:rsid w:val="79CF16C0"/>
    <w:rsid w:val="79F075B1"/>
    <w:rsid w:val="79FB0C04"/>
    <w:rsid w:val="79FD459D"/>
    <w:rsid w:val="79FE5779"/>
    <w:rsid w:val="7A0144E6"/>
    <w:rsid w:val="7A015D02"/>
    <w:rsid w:val="7A082841"/>
    <w:rsid w:val="7A0C5205"/>
    <w:rsid w:val="7A314E83"/>
    <w:rsid w:val="7A31635E"/>
    <w:rsid w:val="7A320584"/>
    <w:rsid w:val="7A444B44"/>
    <w:rsid w:val="7A4568FC"/>
    <w:rsid w:val="7A6639DD"/>
    <w:rsid w:val="7A697475"/>
    <w:rsid w:val="7A6D79AA"/>
    <w:rsid w:val="7A793FCB"/>
    <w:rsid w:val="7A7A62B5"/>
    <w:rsid w:val="7A7C4599"/>
    <w:rsid w:val="7A8157F4"/>
    <w:rsid w:val="7A8210D7"/>
    <w:rsid w:val="7A8E0619"/>
    <w:rsid w:val="7AC552F2"/>
    <w:rsid w:val="7AD53C91"/>
    <w:rsid w:val="7AD91D8E"/>
    <w:rsid w:val="7ADB5C40"/>
    <w:rsid w:val="7ADD7099"/>
    <w:rsid w:val="7AE53FA2"/>
    <w:rsid w:val="7AE91E92"/>
    <w:rsid w:val="7AF37660"/>
    <w:rsid w:val="7B126289"/>
    <w:rsid w:val="7B212D78"/>
    <w:rsid w:val="7B30530E"/>
    <w:rsid w:val="7B3846C8"/>
    <w:rsid w:val="7B390DDA"/>
    <w:rsid w:val="7B693808"/>
    <w:rsid w:val="7B6D58DE"/>
    <w:rsid w:val="7B8F488C"/>
    <w:rsid w:val="7B974F1E"/>
    <w:rsid w:val="7B993DA4"/>
    <w:rsid w:val="7B9E0E8A"/>
    <w:rsid w:val="7BAA71B9"/>
    <w:rsid w:val="7BAF7D8E"/>
    <w:rsid w:val="7BB10B07"/>
    <w:rsid w:val="7BBF1BA5"/>
    <w:rsid w:val="7BDC2D7A"/>
    <w:rsid w:val="7BF71F56"/>
    <w:rsid w:val="7BFB33F0"/>
    <w:rsid w:val="7C0433BA"/>
    <w:rsid w:val="7C0467F7"/>
    <w:rsid w:val="7C052A99"/>
    <w:rsid w:val="7C1C2365"/>
    <w:rsid w:val="7C440D38"/>
    <w:rsid w:val="7C4A0704"/>
    <w:rsid w:val="7C4A26E6"/>
    <w:rsid w:val="7C59098D"/>
    <w:rsid w:val="7C5D0A3D"/>
    <w:rsid w:val="7C816640"/>
    <w:rsid w:val="7C907C58"/>
    <w:rsid w:val="7C9573CA"/>
    <w:rsid w:val="7C973ADB"/>
    <w:rsid w:val="7C973CE5"/>
    <w:rsid w:val="7C9C5AAF"/>
    <w:rsid w:val="7CA26400"/>
    <w:rsid w:val="7CA504FC"/>
    <w:rsid w:val="7CA92D22"/>
    <w:rsid w:val="7CAB1228"/>
    <w:rsid w:val="7CB13DE8"/>
    <w:rsid w:val="7CB53CE5"/>
    <w:rsid w:val="7CB8747E"/>
    <w:rsid w:val="7CC66EA5"/>
    <w:rsid w:val="7CD91ED4"/>
    <w:rsid w:val="7CDA083F"/>
    <w:rsid w:val="7CDA4FD7"/>
    <w:rsid w:val="7CDE6632"/>
    <w:rsid w:val="7CE31486"/>
    <w:rsid w:val="7CE355AB"/>
    <w:rsid w:val="7CE95E3F"/>
    <w:rsid w:val="7CED4739"/>
    <w:rsid w:val="7CF81AC1"/>
    <w:rsid w:val="7D051E6D"/>
    <w:rsid w:val="7D130BAA"/>
    <w:rsid w:val="7D1D7C55"/>
    <w:rsid w:val="7D293E37"/>
    <w:rsid w:val="7D2C1713"/>
    <w:rsid w:val="7D2C2A2C"/>
    <w:rsid w:val="7D3C3A40"/>
    <w:rsid w:val="7D3D1E08"/>
    <w:rsid w:val="7D3F49EB"/>
    <w:rsid w:val="7D42460F"/>
    <w:rsid w:val="7D491923"/>
    <w:rsid w:val="7D4B0579"/>
    <w:rsid w:val="7D555FAC"/>
    <w:rsid w:val="7D5E6C78"/>
    <w:rsid w:val="7D625500"/>
    <w:rsid w:val="7D661AAB"/>
    <w:rsid w:val="7D6B63FA"/>
    <w:rsid w:val="7D6C6BA9"/>
    <w:rsid w:val="7D7F0A40"/>
    <w:rsid w:val="7D873270"/>
    <w:rsid w:val="7D8E409D"/>
    <w:rsid w:val="7D9E5BDD"/>
    <w:rsid w:val="7DC151FE"/>
    <w:rsid w:val="7DDA0FC1"/>
    <w:rsid w:val="7DDC6964"/>
    <w:rsid w:val="7DE065A7"/>
    <w:rsid w:val="7DEB5334"/>
    <w:rsid w:val="7DF52D47"/>
    <w:rsid w:val="7DFA7B58"/>
    <w:rsid w:val="7E054DC3"/>
    <w:rsid w:val="7E0A7D52"/>
    <w:rsid w:val="7E0E2884"/>
    <w:rsid w:val="7E1813FE"/>
    <w:rsid w:val="7E250A47"/>
    <w:rsid w:val="7E2B01D4"/>
    <w:rsid w:val="7E2E5534"/>
    <w:rsid w:val="7E2E67D3"/>
    <w:rsid w:val="7E3139AB"/>
    <w:rsid w:val="7E631219"/>
    <w:rsid w:val="7E671940"/>
    <w:rsid w:val="7E7517E8"/>
    <w:rsid w:val="7E8E203F"/>
    <w:rsid w:val="7E8F25D0"/>
    <w:rsid w:val="7E923935"/>
    <w:rsid w:val="7EAB29B1"/>
    <w:rsid w:val="7EAC6DCF"/>
    <w:rsid w:val="7EAF3AF1"/>
    <w:rsid w:val="7EBC1F58"/>
    <w:rsid w:val="7EC9106A"/>
    <w:rsid w:val="7EC957DD"/>
    <w:rsid w:val="7ED14DB6"/>
    <w:rsid w:val="7ED16578"/>
    <w:rsid w:val="7EDC3B37"/>
    <w:rsid w:val="7EE76915"/>
    <w:rsid w:val="7EEC6E13"/>
    <w:rsid w:val="7EEC7F9A"/>
    <w:rsid w:val="7EF118F1"/>
    <w:rsid w:val="7EF47DC2"/>
    <w:rsid w:val="7EF60A7C"/>
    <w:rsid w:val="7F0B68A2"/>
    <w:rsid w:val="7F115E56"/>
    <w:rsid w:val="7F2039B5"/>
    <w:rsid w:val="7F24500C"/>
    <w:rsid w:val="7F2A6727"/>
    <w:rsid w:val="7F2D018D"/>
    <w:rsid w:val="7F4419AA"/>
    <w:rsid w:val="7F45214C"/>
    <w:rsid w:val="7F4E793F"/>
    <w:rsid w:val="7F5579B0"/>
    <w:rsid w:val="7F58405D"/>
    <w:rsid w:val="7F617E8B"/>
    <w:rsid w:val="7F6A7EA9"/>
    <w:rsid w:val="7F7807C4"/>
    <w:rsid w:val="7F837A9D"/>
    <w:rsid w:val="7F947FF8"/>
    <w:rsid w:val="7F977394"/>
    <w:rsid w:val="7F9D1D7D"/>
    <w:rsid w:val="7F9E1A24"/>
    <w:rsid w:val="7FA450A9"/>
    <w:rsid w:val="7FA87001"/>
    <w:rsid w:val="7FB25208"/>
    <w:rsid w:val="7FB3330A"/>
    <w:rsid w:val="7FBE350D"/>
    <w:rsid w:val="7FCB08BB"/>
    <w:rsid w:val="7FCC0E95"/>
    <w:rsid w:val="7FDA4E4D"/>
    <w:rsid w:val="7FFC5E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nhideWhenUsed="0" w:uiPriority="1"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pPr>
    <w:rPr>
      <w:rFonts w:ascii="Tahoma" w:hAnsi="Tahoma" w:eastAsia="微软雅黑" w:cstheme="minorBidi"/>
      <w:sz w:val="22"/>
      <w:szCs w:val="22"/>
      <w:lang w:val="en-US" w:eastAsia="zh-CN" w:bidi="ar-SA"/>
    </w:rPr>
  </w:style>
  <w:style w:type="paragraph" w:styleId="3">
    <w:name w:val="heading 1"/>
    <w:basedOn w:val="1"/>
    <w:next w:val="1"/>
    <w:qFormat/>
    <w:uiPriority w:val="0"/>
    <w:pPr>
      <w:keepNext/>
      <w:keepLines/>
      <w:outlineLvl w:val="0"/>
    </w:pPr>
    <w:rPr>
      <w:b/>
      <w:bCs/>
      <w:kern w:val="44"/>
      <w:szCs w:val="44"/>
    </w:rPr>
  </w:style>
  <w:style w:type="paragraph" w:styleId="4">
    <w:name w:val="heading 2"/>
    <w:basedOn w:val="1"/>
    <w:next w:val="1"/>
    <w:qFormat/>
    <w:uiPriority w:val="0"/>
    <w:pPr>
      <w:keepNext/>
      <w:keepLines/>
      <w:spacing w:line="416" w:lineRule="auto"/>
      <w:outlineLvl w:val="1"/>
    </w:pPr>
    <w:rPr>
      <w:rFonts w:ascii="Arial" w:hAnsi="Arial" w:eastAsia="黑体"/>
      <w:b/>
      <w:bCs/>
      <w:kern w:val="2"/>
      <w:sz w:val="32"/>
      <w:szCs w:val="32"/>
    </w:rPr>
  </w:style>
  <w:style w:type="paragraph" w:styleId="5">
    <w:name w:val="heading 3"/>
    <w:basedOn w:val="1"/>
    <w:next w:val="1"/>
    <w:qFormat/>
    <w:uiPriority w:val="0"/>
    <w:pPr>
      <w:keepNext/>
      <w:outlineLvl w:val="2"/>
    </w:pPr>
    <w:rPr>
      <w:sz w:val="44"/>
      <w:shd w:val="pct10" w:color="auto" w:fill="FFFFFF"/>
    </w:rPr>
  </w:style>
  <w:style w:type="paragraph" w:styleId="6">
    <w:name w:val="heading 6"/>
    <w:basedOn w:val="1"/>
    <w:next w:val="1"/>
    <w:qFormat/>
    <w:uiPriority w:val="1"/>
    <w:pPr>
      <w:spacing w:before="26"/>
      <w:ind w:left="115"/>
      <w:outlineLvl w:val="6"/>
    </w:pPr>
    <w:rPr>
      <w:rFonts w:ascii="宋体" w:hAnsi="宋体" w:eastAsia="宋体"/>
      <w:b/>
      <w:bCs/>
      <w:sz w:val="24"/>
      <w:szCs w:val="24"/>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customStyle="1" w:styleId="2">
    <w:name w:val="正文(首行缩进)"/>
    <w:basedOn w:val="1"/>
    <w:qFormat/>
    <w:uiPriority w:val="0"/>
    <w:pPr>
      <w:widowControl w:val="0"/>
      <w:adjustRightInd w:val="0"/>
      <w:snapToGrid w:val="0"/>
      <w:spacing w:line="360" w:lineRule="auto"/>
      <w:ind w:firstLine="200" w:firstLineChars="200"/>
      <w:jc w:val="both"/>
    </w:pPr>
    <w:rPr>
      <w:snapToGrid w:val="0"/>
      <w:szCs w:val="24"/>
    </w:rPr>
  </w:style>
  <w:style w:type="paragraph" w:styleId="7">
    <w:name w:val="table of authorities"/>
    <w:basedOn w:val="1"/>
    <w:next w:val="1"/>
    <w:semiHidden/>
    <w:qFormat/>
    <w:uiPriority w:val="0"/>
    <w:pPr>
      <w:ind w:left="420" w:leftChars="200"/>
    </w:pPr>
  </w:style>
  <w:style w:type="paragraph" w:styleId="8">
    <w:name w:val="Note Heading"/>
    <w:basedOn w:val="1"/>
    <w:next w:val="1"/>
    <w:qFormat/>
    <w:uiPriority w:val="0"/>
    <w:pPr>
      <w:jc w:val="center"/>
    </w:pPr>
  </w:style>
  <w:style w:type="paragraph" w:styleId="9">
    <w:name w:val="Normal Indent"/>
    <w:basedOn w:val="1"/>
    <w:qFormat/>
    <w:uiPriority w:val="0"/>
    <w:pPr>
      <w:widowControl w:val="0"/>
      <w:spacing w:beforeLines="50" w:line="360" w:lineRule="auto"/>
      <w:ind w:firstLine="560" w:firstLineChars="200"/>
      <w:jc w:val="both"/>
    </w:pPr>
    <w:rPr>
      <w:kern w:val="2"/>
      <w:sz w:val="28"/>
    </w:rPr>
  </w:style>
  <w:style w:type="paragraph" w:styleId="10">
    <w:name w:val="Document Map"/>
    <w:basedOn w:val="1"/>
    <w:link w:val="63"/>
    <w:qFormat/>
    <w:uiPriority w:val="0"/>
    <w:rPr>
      <w:rFonts w:ascii="宋体" w:eastAsia="宋体"/>
      <w:sz w:val="18"/>
      <w:szCs w:val="18"/>
    </w:rPr>
  </w:style>
  <w:style w:type="paragraph" w:styleId="11">
    <w:name w:val="annotation text"/>
    <w:basedOn w:val="1"/>
    <w:qFormat/>
    <w:uiPriority w:val="0"/>
  </w:style>
  <w:style w:type="paragraph" w:styleId="12">
    <w:name w:val="Body Text"/>
    <w:basedOn w:val="1"/>
    <w:qFormat/>
    <w:uiPriority w:val="0"/>
    <w:rPr>
      <w:rFonts w:eastAsia="楷体_GB2312"/>
      <w:spacing w:val="-8"/>
      <w:sz w:val="24"/>
    </w:rPr>
  </w:style>
  <w:style w:type="paragraph" w:styleId="13">
    <w:name w:val="Body Text Indent"/>
    <w:basedOn w:val="1"/>
    <w:qFormat/>
    <w:uiPriority w:val="0"/>
    <w:pPr>
      <w:jc w:val="center"/>
    </w:pPr>
    <w:rPr>
      <w:rFonts w:eastAsia="楷体_GB2312"/>
      <w:sz w:val="24"/>
    </w:rPr>
  </w:style>
  <w:style w:type="paragraph" w:styleId="14">
    <w:name w:val="Block Text"/>
    <w:basedOn w:val="1"/>
    <w:qFormat/>
    <w:uiPriority w:val="0"/>
    <w:pPr>
      <w:spacing w:line="440" w:lineRule="exact"/>
      <w:ind w:left="113" w:right="113" w:firstLine="567"/>
    </w:pPr>
    <w:rPr>
      <w:rFonts w:ascii="仿宋_GB2312" w:eastAsia="仿宋_GB2312"/>
      <w:sz w:val="28"/>
      <w:szCs w:val="20"/>
    </w:rPr>
  </w:style>
  <w:style w:type="paragraph" w:styleId="15">
    <w:name w:val="Plain Text"/>
    <w:basedOn w:val="1"/>
    <w:unhideWhenUsed/>
    <w:qFormat/>
    <w:uiPriority w:val="99"/>
    <w:rPr>
      <w:rFonts w:ascii="宋体" w:hAnsi="Courier New"/>
      <w:sz w:val="20"/>
      <w:szCs w:val="21"/>
    </w:rPr>
  </w:style>
  <w:style w:type="paragraph" w:styleId="16">
    <w:name w:val="Balloon Text"/>
    <w:basedOn w:val="1"/>
    <w:link w:val="61"/>
    <w:qFormat/>
    <w:uiPriority w:val="0"/>
    <w:rPr>
      <w:sz w:val="18"/>
      <w:szCs w:val="18"/>
    </w:rPr>
  </w:style>
  <w:style w:type="paragraph" w:styleId="17">
    <w:name w:val="footer"/>
    <w:basedOn w:val="1"/>
    <w:link w:val="62"/>
    <w:qFormat/>
    <w:uiPriority w:val="99"/>
    <w:pPr>
      <w:tabs>
        <w:tab w:val="center" w:pos="4153"/>
        <w:tab w:val="right" w:pos="8306"/>
      </w:tabs>
    </w:pPr>
    <w:rPr>
      <w:sz w:val="18"/>
      <w:szCs w:val="18"/>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9">
    <w:name w:val="toc 1"/>
    <w:basedOn w:val="1"/>
    <w:next w:val="1"/>
    <w:qFormat/>
    <w:uiPriority w:val="0"/>
  </w:style>
  <w:style w:type="paragraph" w:styleId="20">
    <w:name w:val="List"/>
    <w:basedOn w:val="1"/>
    <w:qFormat/>
    <w:uiPriority w:val="0"/>
    <w:pPr>
      <w:ind w:left="200" w:hanging="200" w:hangingChars="200"/>
    </w:pPr>
  </w:style>
  <w:style w:type="paragraph" w:styleId="21">
    <w:name w:val="Normal (Web)"/>
    <w:basedOn w:val="1"/>
    <w:qFormat/>
    <w:uiPriority w:val="0"/>
    <w:pPr>
      <w:spacing w:before="100" w:beforeAutospacing="1" w:after="100" w:afterAutospacing="1"/>
    </w:pPr>
    <w:rPr>
      <w:rFonts w:ascii="宋体" w:hAnsi="宋体" w:cs="宋体"/>
      <w:sz w:val="24"/>
    </w:rPr>
  </w:style>
  <w:style w:type="paragraph" w:styleId="22">
    <w:name w:val="Body Text First Indent"/>
    <w:basedOn w:val="12"/>
    <w:qFormat/>
    <w:uiPriority w:val="0"/>
    <w:pPr>
      <w:ind w:firstLine="420" w:firstLineChars="100"/>
    </w:pPr>
    <w:rPr>
      <w:sz w:val="18"/>
    </w:rPr>
  </w:style>
  <w:style w:type="paragraph" w:styleId="23">
    <w:name w:val="Body Text First Indent 2"/>
    <w:basedOn w:val="13"/>
    <w:qFormat/>
    <w:uiPriority w:val="0"/>
    <w:pPr>
      <w:ind w:firstLine="420"/>
    </w:p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7">
    <w:name w:val="page number"/>
    <w:basedOn w:val="26"/>
    <w:qFormat/>
    <w:uiPriority w:val="0"/>
  </w:style>
  <w:style w:type="character" w:styleId="28">
    <w:name w:val="Emphasis"/>
    <w:basedOn w:val="26"/>
    <w:qFormat/>
    <w:uiPriority w:val="0"/>
    <w:rPr>
      <w:i/>
    </w:rPr>
  </w:style>
  <w:style w:type="character" w:styleId="29">
    <w:name w:val="annotation reference"/>
    <w:semiHidden/>
    <w:qFormat/>
    <w:uiPriority w:val="0"/>
    <w:rPr>
      <w:sz w:val="21"/>
      <w:szCs w:val="21"/>
    </w:rPr>
  </w:style>
  <w:style w:type="paragraph" w:customStyle="1" w:styleId="30">
    <w:name w:val="Char Char Char Char Char2 Char Char Char Char"/>
    <w:basedOn w:val="1"/>
    <w:qFormat/>
    <w:uiPriority w:val="0"/>
    <w:pPr>
      <w:spacing w:line="360" w:lineRule="auto"/>
      <w:ind w:firstLine="200" w:firstLineChars="200"/>
    </w:pPr>
  </w:style>
  <w:style w:type="paragraph" w:customStyle="1" w:styleId="31">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32">
    <w:name w:val="列出段落1"/>
    <w:basedOn w:val="1"/>
    <w:qFormat/>
    <w:uiPriority w:val="0"/>
    <w:pPr>
      <w:widowControl w:val="0"/>
      <w:adjustRightInd/>
      <w:snapToGrid/>
      <w:ind w:firstLine="420" w:firstLineChars="200"/>
      <w:jc w:val="both"/>
    </w:pPr>
    <w:rPr>
      <w:rFonts w:ascii="Times New Roman" w:hAnsi="Times New Roman" w:eastAsia="宋体"/>
      <w:kern w:val="2"/>
      <w:sz w:val="21"/>
      <w:szCs w:val="20"/>
    </w:rPr>
  </w:style>
  <w:style w:type="paragraph" w:customStyle="1" w:styleId="33">
    <w:name w:val="谢—正文"/>
    <w:basedOn w:val="1"/>
    <w:qFormat/>
    <w:uiPriority w:val="0"/>
    <w:pPr>
      <w:spacing w:line="500" w:lineRule="exact"/>
      <w:ind w:firstLine="200" w:firstLineChars="200"/>
    </w:pPr>
    <w:rPr>
      <w:rFonts w:eastAsia="楷体_GB2312"/>
      <w:sz w:val="28"/>
    </w:rPr>
  </w:style>
  <w:style w:type="paragraph" w:customStyle="1" w:styleId="34">
    <w:name w:val="p0"/>
    <w:basedOn w:val="1"/>
    <w:qFormat/>
    <w:uiPriority w:val="0"/>
    <w:pPr>
      <w:spacing w:line="365" w:lineRule="atLeast"/>
      <w:ind w:left="1"/>
      <w:textAlignment w:val="bottom"/>
    </w:pPr>
    <w:rPr>
      <w:sz w:val="20"/>
      <w:szCs w:val="20"/>
    </w:rPr>
  </w:style>
  <w:style w:type="paragraph" w:customStyle="1" w:styleId="35">
    <w:name w:val="表格1"/>
    <w:basedOn w:val="15"/>
    <w:next w:val="1"/>
    <w:qFormat/>
    <w:uiPriority w:val="0"/>
  </w:style>
  <w:style w:type="paragraph" w:customStyle="1" w:styleId="36">
    <w:name w:val="0正文"/>
    <w:basedOn w:val="1"/>
    <w:semiHidden/>
    <w:qFormat/>
    <w:uiPriority w:val="99"/>
    <w:pPr>
      <w:spacing w:line="360" w:lineRule="auto"/>
      <w:ind w:firstLine="720" w:firstLineChars="200"/>
    </w:pPr>
    <w:rPr>
      <w:sz w:val="24"/>
      <w:szCs w:val="24"/>
    </w:rPr>
  </w:style>
  <w:style w:type="paragraph" w:customStyle="1" w:styleId="37">
    <w:name w:val="表内容123"/>
    <w:basedOn w:val="1"/>
    <w:qFormat/>
    <w:uiPriority w:val="0"/>
    <w:pPr>
      <w:pBdr>
        <w:top w:val="none" w:color="auto" w:sz="0" w:space="1"/>
        <w:left w:val="none" w:color="auto" w:sz="0" w:space="4"/>
        <w:bottom w:val="none" w:color="auto" w:sz="0" w:space="1"/>
        <w:right w:val="none" w:color="auto" w:sz="0" w:space="4"/>
      </w:pBdr>
      <w:spacing w:line="340" w:lineRule="exact"/>
      <w:jc w:val="center"/>
    </w:pPr>
    <w:rPr>
      <w:rFonts w:ascii="Times New Roman" w:hAnsi="Times New Roman"/>
      <w:sz w:val="21"/>
    </w:rPr>
  </w:style>
  <w:style w:type="paragraph" w:customStyle="1" w:styleId="38">
    <w:name w:val="样式4"/>
    <w:basedOn w:val="12"/>
    <w:qFormat/>
    <w:uiPriority w:val="0"/>
    <w:pPr>
      <w:widowControl w:val="0"/>
      <w:spacing w:line="360" w:lineRule="auto"/>
      <w:ind w:right="-120" w:rightChars="-50" w:firstLine="600" w:firstLineChars="250"/>
      <w:jc w:val="both"/>
    </w:pPr>
    <w:rPr>
      <w:rFonts w:hAnsi="宋体" w:eastAsia="宋体"/>
      <w:snapToGrid w:val="0"/>
      <w:spacing w:val="0"/>
      <w:kern w:val="2"/>
      <w:szCs w:val="24"/>
    </w:rPr>
  </w:style>
  <w:style w:type="paragraph" w:customStyle="1" w:styleId="39">
    <w:name w:val="样式1"/>
    <w:basedOn w:val="1"/>
    <w:qFormat/>
    <w:uiPriority w:val="0"/>
    <w:pPr>
      <w:jc w:val="center"/>
    </w:pPr>
    <w:rPr>
      <w:sz w:val="21"/>
      <w:szCs w:val="21"/>
    </w:rPr>
  </w:style>
  <w:style w:type="paragraph" w:customStyle="1" w:styleId="40">
    <w:name w:val="图图正文"/>
    <w:basedOn w:val="1"/>
    <w:qFormat/>
    <w:uiPriority w:val="0"/>
    <w:pPr>
      <w:widowControl w:val="0"/>
      <w:spacing w:line="360" w:lineRule="auto"/>
      <w:ind w:firstLine="200" w:firstLineChars="200"/>
      <w:jc w:val="both"/>
    </w:pPr>
    <w:rPr>
      <w:kern w:val="2"/>
      <w:sz w:val="24"/>
      <w:szCs w:val="24"/>
    </w:rPr>
  </w:style>
  <w:style w:type="paragraph" w:customStyle="1" w:styleId="41">
    <w:name w:val="啊啊正文"/>
    <w:basedOn w:val="1"/>
    <w:qFormat/>
    <w:uiPriority w:val="0"/>
    <w:pPr>
      <w:autoSpaceDE w:val="0"/>
      <w:autoSpaceDN w:val="0"/>
      <w:spacing w:line="360" w:lineRule="auto"/>
      <w:ind w:firstLine="200" w:firstLineChars="200"/>
    </w:pPr>
    <w:rPr>
      <w:rFonts w:cs="仿宋_GB2312"/>
      <w:sz w:val="24"/>
      <w:szCs w:val="28"/>
      <w:lang w:val="zh-CN"/>
    </w:rPr>
  </w:style>
  <w:style w:type="paragraph" w:customStyle="1" w:styleId="42">
    <w:name w:val="样式 首行缩进:  2 字符1"/>
    <w:basedOn w:val="1"/>
    <w:qFormat/>
    <w:uiPriority w:val="0"/>
    <w:pPr>
      <w:spacing w:line="360" w:lineRule="auto"/>
      <w:ind w:firstLine="480" w:firstLineChars="200"/>
    </w:pPr>
    <w:rPr>
      <w:rFonts w:cs="宋体"/>
      <w:szCs w:val="20"/>
    </w:rPr>
  </w:style>
  <w:style w:type="paragraph" w:customStyle="1" w:styleId="43">
    <w:name w:val="宗兴正文"/>
    <w:basedOn w:val="1"/>
    <w:qFormat/>
    <w:uiPriority w:val="0"/>
    <w:pPr>
      <w:ind w:firstLine="200"/>
      <w:jc w:val="both"/>
    </w:pPr>
    <w:rPr>
      <w:rFonts w:ascii="宋体" w:hAnsi="宋体"/>
      <w:spacing w:val="2"/>
      <w:sz w:val="21"/>
    </w:rPr>
  </w:style>
  <w:style w:type="paragraph" w:customStyle="1" w:styleId="44">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6">
    <w:name w:val="标题3"/>
    <w:basedOn w:val="7"/>
    <w:next w:val="5"/>
    <w:qFormat/>
    <w:uiPriority w:val="0"/>
    <w:pPr>
      <w:ind w:left="0" w:leftChars="0"/>
      <w:jc w:val="both"/>
    </w:pPr>
    <w:rPr>
      <w:rFonts w:ascii="宋体" w:hAnsi="宋体"/>
      <w:b/>
      <w:bCs/>
      <w:szCs w:val="24"/>
    </w:rPr>
  </w:style>
  <w:style w:type="paragraph" w:customStyle="1" w:styleId="47">
    <w:name w:val="标题2"/>
    <w:basedOn w:val="7"/>
    <w:qFormat/>
    <w:uiPriority w:val="0"/>
    <w:pPr>
      <w:spacing w:beforeLines="50" w:afterLines="50"/>
      <w:ind w:left="0" w:leftChars="0"/>
      <w:jc w:val="both"/>
    </w:pPr>
    <w:rPr>
      <w:rFonts w:ascii="宋体" w:hAnsi="宋体"/>
      <w:b/>
      <w:sz w:val="28"/>
      <w:szCs w:val="28"/>
    </w:rPr>
  </w:style>
  <w:style w:type="paragraph" w:customStyle="1" w:styleId="48">
    <w:name w:val="啊啊表格内容"/>
    <w:basedOn w:val="1"/>
    <w:qFormat/>
    <w:uiPriority w:val="0"/>
    <w:pPr>
      <w:autoSpaceDE w:val="0"/>
      <w:autoSpaceDN w:val="0"/>
      <w:spacing w:line="340" w:lineRule="exact"/>
    </w:pPr>
    <w:rPr>
      <w:rFonts w:ascii="宋体" w:hAnsi="宋体" w:cs="仿宋_GB2312"/>
      <w:szCs w:val="28"/>
      <w:lang w:val="zh-CN"/>
    </w:rPr>
  </w:style>
  <w:style w:type="paragraph" w:customStyle="1" w:styleId="49">
    <w:name w:val="正文表格"/>
    <w:basedOn w:val="1"/>
    <w:qFormat/>
    <w:uiPriority w:val="0"/>
    <w:pPr>
      <w:jc w:val="center"/>
    </w:pPr>
    <w:rPr>
      <w:rFonts w:eastAsia="楷体_GB2312"/>
      <w:bCs/>
      <w:sz w:val="24"/>
      <w:szCs w:val="20"/>
    </w:rPr>
  </w:style>
  <w:style w:type="paragraph" w:customStyle="1" w:styleId="50">
    <w:name w:val="Table Paragraph"/>
    <w:basedOn w:val="1"/>
    <w:qFormat/>
    <w:uiPriority w:val="0"/>
    <w:rPr>
      <w:rFonts w:ascii="Calibri" w:hAnsi="Calibri"/>
      <w:lang w:eastAsia="en-US"/>
    </w:rPr>
  </w:style>
  <w:style w:type="paragraph" w:customStyle="1" w:styleId="51">
    <w:name w:val="样式2"/>
    <w:basedOn w:val="1"/>
    <w:qFormat/>
    <w:uiPriority w:val="0"/>
    <w:pPr>
      <w:ind w:firstLine="964" w:firstLineChars="400"/>
    </w:pPr>
    <w:rPr>
      <w:rFonts w:ascii="黑体" w:eastAsia="黑体"/>
      <w:b/>
      <w:bCs/>
      <w:sz w:val="24"/>
    </w:rPr>
  </w:style>
  <w:style w:type="paragraph" w:customStyle="1" w:styleId="52">
    <w:name w:val="表"/>
    <w:basedOn w:val="20"/>
    <w:next w:val="1"/>
    <w:qFormat/>
    <w:uiPriority w:val="0"/>
    <w:pPr>
      <w:keepNext/>
      <w:keepLines/>
      <w:spacing w:line="240" w:lineRule="exact"/>
      <w:ind w:left="0" w:firstLine="0" w:firstLineChars="0"/>
      <w:jc w:val="center"/>
    </w:pPr>
  </w:style>
  <w:style w:type="character" w:customStyle="1" w:styleId="53">
    <w:name w:val="font31"/>
    <w:qFormat/>
    <w:uiPriority w:val="0"/>
    <w:rPr>
      <w:rFonts w:hint="eastAsia" w:ascii="宋体" w:hAnsi="宋体" w:eastAsia="宋体" w:cs="宋体"/>
      <w:color w:val="000000"/>
      <w:sz w:val="22"/>
      <w:szCs w:val="22"/>
      <w:u w:val="none"/>
    </w:rPr>
  </w:style>
  <w:style w:type="paragraph" w:customStyle="1" w:styleId="54">
    <w:name w:val="123正文"/>
    <w:basedOn w:val="1"/>
    <w:link w:val="55"/>
    <w:qFormat/>
    <w:uiPriority w:val="0"/>
    <w:pPr>
      <w:spacing w:line="360" w:lineRule="auto"/>
      <w:ind w:firstLine="480" w:firstLineChars="200"/>
    </w:pPr>
    <w:rPr>
      <w:color w:val="0000FF"/>
      <w:sz w:val="24"/>
      <w:lang w:val="zh-CN"/>
    </w:rPr>
  </w:style>
  <w:style w:type="character" w:customStyle="1" w:styleId="55">
    <w:name w:val="123正文 Char"/>
    <w:link w:val="54"/>
    <w:qFormat/>
    <w:uiPriority w:val="0"/>
    <w:rPr>
      <w:color w:val="0000FF"/>
      <w:sz w:val="24"/>
      <w:lang w:val="zh-CN"/>
    </w:rPr>
  </w:style>
  <w:style w:type="paragraph" w:customStyle="1" w:styleId="56">
    <w:name w:val="1.1."/>
    <w:basedOn w:val="4"/>
    <w:qFormat/>
    <w:uiPriority w:val="0"/>
    <w:pPr>
      <w:spacing w:beforeLines="50" w:afterLines="50" w:line="360" w:lineRule="auto"/>
    </w:pPr>
    <w:rPr>
      <w:color w:val="0000FF"/>
      <w:sz w:val="28"/>
      <w:szCs w:val="28"/>
    </w:rPr>
  </w:style>
  <w:style w:type="paragraph" w:customStyle="1" w:styleId="57">
    <w:name w:val="正文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8">
    <w:name w:val="普通(网站)1"/>
    <w:basedOn w:val="1"/>
    <w:qFormat/>
    <w:uiPriority w:val="0"/>
    <w:pPr>
      <w:adjustRightInd/>
      <w:snapToGrid/>
      <w:spacing w:beforeAutospacing="1" w:afterAutospacing="1"/>
    </w:pPr>
    <w:rPr>
      <w:rFonts w:ascii="宋体" w:hAnsi="宋体" w:eastAsia="宋体" w:cs="宋体"/>
      <w:sz w:val="24"/>
      <w:szCs w:val="24"/>
    </w:rPr>
  </w:style>
  <w:style w:type="paragraph" w:customStyle="1" w:styleId="59">
    <w:name w:val="正文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60">
    <w:name w:val="一级aaa"/>
    <w:basedOn w:val="3"/>
    <w:qFormat/>
    <w:uiPriority w:val="0"/>
    <w:pPr>
      <w:keepNext w:val="0"/>
      <w:keepLines w:val="0"/>
      <w:widowControl w:val="0"/>
      <w:spacing w:beforeLines="100" w:afterLines="100" w:line="360" w:lineRule="auto"/>
    </w:pPr>
    <w:rPr>
      <w:kern w:val="0"/>
      <w:sz w:val="32"/>
      <w:szCs w:val="20"/>
    </w:rPr>
  </w:style>
  <w:style w:type="character" w:customStyle="1" w:styleId="61">
    <w:name w:val="批注框文本 Char"/>
    <w:basedOn w:val="26"/>
    <w:link w:val="16"/>
    <w:qFormat/>
    <w:uiPriority w:val="0"/>
    <w:rPr>
      <w:rFonts w:ascii="Tahoma" w:hAnsi="Tahoma" w:eastAsia="微软雅黑" w:cstheme="minorBidi"/>
      <w:sz w:val="18"/>
      <w:szCs w:val="18"/>
    </w:rPr>
  </w:style>
  <w:style w:type="character" w:customStyle="1" w:styleId="62">
    <w:name w:val="页脚 Char"/>
    <w:basedOn w:val="26"/>
    <w:link w:val="17"/>
    <w:qFormat/>
    <w:uiPriority w:val="99"/>
    <w:rPr>
      <w:rFonts w:ascii="Tahoma" w:hAnsi="Tahoma" w:eastAsia="微软雅黑" w:cstheme="minorBidi"/>
      <w:sz w:val="18"/>
      <w:szCs w:val="18"/>
    </w:rPr>
  </w:style>
  <w:style w:type="character" w:customStyle="1" w:styleId="63">
    <w:name w:val="文档结构图 Char"/>
    <w:basedOn w:val="26"/>
    <w:link w:val="10"/>
    <w:qFormat/>
    <w:uiPriority w:val="0"/>
    <w:rPr>
      <w:rFonts w:ascii="宋体" w:hAnsi="Tahoma" w:cstheme="minorBidi"/>
      <w:sz w:val="18"/>
      <w:szCs w:val="18"/>
    </w:rPr>
  </w:style>
  <w:style w:type="paragraph" w:customStyle="1" w:styleId="64">
    <w:name w:val="Normal (Web)"/>
    <w:basedOn w:val="1"/>
    <w:qFormat/>
    <w:uiPriority w:val="0"/>
    <w:pPr>
      <w:adjustRightInd/>
      <w:snapToGrid/>
      <w:spacing w:before="100" w:beforeLines="0" w:beforeAutospacing="1" w:after="100" w:afterLines="0" w:afterAutospacing="1"/>
    </w:pPr>
    <w:rPr>
      <w:rFonts w:ascii="宋体" w:hAnsi="宋体" w:eastAsia="宋体" w:cs="宋体"/>
      <w:sz w:val="24"/>
      <w:szCs w:val="24"/>
    </w:rPr>
  </w:style>
  <w:style w:type="paragraph" w:customStyle="1" w:styleId="65">
    <w:name w:val="1.1.1"/>
    <w:basedOn w:val="66"/>
    <w:qFormat/>
    <w:uiPriority w:val="0"/>
    <w:pPr>
      <w:spacing w:before="120" w:beforeLines="50" w:after="120" w:afterLines="50"/>
      <w:ind w:firstLine="0" w:firstLineChars="0"/>
      <w:outlineLvl w:val="2"/>
    </w:pPr>
    <w:rPr>
      <w:rFonts w:eastAsia="宋体"/>
      <w:b/>
      <w:color w:val="0000FF"/>
      <w:sz w:val="24"/>
      <w:szCs w:val="24"/>
    </w:rPr>
  </w:style>
  <w:style w:type="paragraph" w:customStyle="1" w:styleId="66">
    <w:name w:val="样式3"/>
    <w:basedOn w:val="1"/>
    <w:qFormat/>
    <w:uiPriority w:val="0"/>
    <w:pPr>
      <w:spacing w:line="360" w:lineRule="auto"/>
      <w:ind w:firstLine="200" w:firstLineChars="200"/>
    </w:pPr>
    <w:rPr>
      <w:rFonts w:eastAsia="楷体_GB2312"/>
      <w:sz w:val="28"/>
      <w:szCs w:val="20"/>
    </w:rPr>
  </w:style>
  <w:style w:type="character" w:customStyle="1" w:styleId="67">
    <w:name w:val="font11"/>
    <w:qFormat/>
    <w:uiPriority w:val="0"/>
    <w:rPr>
      <w:rFonts w:hint="eastAsia" w:ascii="宋体" w:hAnsi="宋体" w:eastAsia="宋体"/>
      <w:color w:val="000000"/>
      <w:sz w:val="21"/>
      <w:szCs w:val="21"/>
      <w:u w:val="none"/>
    </w:rPr>
  </w:style>
  <w:style w:type="paragraph" w:customStyle="1" w:styleId="68">
    <w:name w:val="S正文S"/>
    <w:basedOn w:val="1"/>
    <w:qFormat/>
    <w:uiPriority w:val="0"/>
    <w:pPr>
      <w:snapToGrid w:val="0"/>
      <w:spacing w:line="360" w:lineRule="auto"/>
      <w:ind w:firstLine="200" w:firstLineChars="200"/>
    </w:pPr>
    <w:rPr>
      <w:rFonts w:eastAsia="宋体"/>
      <w:snapToGrid w:val="0"/>
      <w:sz w:val="24"/>
      <w:szCs w:val="24"/>
    </w:rPr>
  </w:style>
  <w:style w:type="paragraph" w:customStyle="1" w:styleId="69">
    <w:name w:val="啊啊二级标题"/>
    <w:basedOn w:val="1"/>
    <w:qFormat/>
    <w:uiPriority w:val="0"/>
    <w:pPr>
      <w:autoSpaceDE w:val="0"/>
      <w:autoSpaceDN w:val="0"/>
      <w:adjustRightInd w:val="0"/>
      <w:spacing w:before="120" w:after="120" w:line="360" w:lineRule="auto"/>
      <w:jc w:val="left"/>
      <w:outlineLvl w:val="1"/>
    </w:pPr>
    <w:rPr>
      <w:rFonts w:cs="仿宋_GB2312"/>
      <w:b/>
      <w:sz w:val="28"/>
      <w:szCs w:val="28"/>
      <w:lang w:val="zh-CN"/>
    </w:rPr>
  </w:style>
  <w:style w:type="paragraph" w:customStyle="1" w:styleId="70">
    <w:name w:val="yang正文"/>
    <w:basedOn w:val="1"/>
    <w:qFormat/>
    <w:uiPriority w:val="0"/>
    <w:pPr>
      <w:spacing w:line="360" w:lineRule="auto"/>
      <w:ind w:firstLine="480" w:firstLineChars="200"/>
    </w:pPr>
    <w:rPr>
      <w:sz w:val="24"/>
      <w:szCs w:val="24"/>
    </w:rPr>
  </w:style>
  <w:style w:type="paragraph" w:customStyle="1" w:styleId="71">
    <w:name w:val="xc正文"/>
    <w:basedOn w:val="1"/>
    <w:qFormat/>
    <w:uiPriority w:val="0"/>
    <w:pPr>
      <w:widowControl/>
      <w:autoSpaceDN w:val="0"/>
      <w:snapToGrid w:val="0"/>
      <w:spacing w:line="360" w:lineRule="auto"/>
      <w:ind w:firstLine="480" w:firstLineChars="200"/>
    </w:pPr>
    <w:rPr>
      <w:sz w:val="24"/>
    </w:rPr>
  </w:style>
  <w:style w:type="paragraph" w:customStyle="1" w:styleId="72">
    <w:name w:val="1.1"/>
    <w:basedOn w:val="4"/>
    <w:qFormat/>
    <w:uiPriority w:val="0"/>
    <w:pPr>
      <w:numPr>
        <w:ilvl w:val="1"/>
        <w:numId w:val="0"/>
      </w:numPr>
      <w:spacing w:before="156" w:beforeLines="50" w:after="156" w:afterLines="50" w:line="360" w:lineRule="auto"/>
    </w:pPr>
    <w:rPr>
      <w:rFonts w:ascii="Times New Roman" w:hAnsi="Times New Roman"/>
      <w:color w:val="0000FF"/>
      <w:sz w:val="28"/>
      <w:szCs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header" Target="header1.xml"/><Relationship Id="rId6" Type="http://schemas.openxmlformats.org/officeDocument/2006/relationships/footer" Target="footer4.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2808</Words>
  <Characters>16012</Characters>
  <Lines>133</Lines>
  <Paragraphs>37</Paragraphs>
  <TotalTime>3</TotalTime>
  <ScaleCrop>false</ScaleCrop>
  <LinksUpToDate>false</LinksUpToDate>
  <CharactersWithSpaces>18783</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2018-06-07T06:22:00Z</dcterms:created>
  <dc:creator>sM</dc:creator>
  <cp:lastModifiedBy>阿三</cp:lastModifiedBy>
  <cp:lastPrinted>2021-01-08T07:31:00Z</cp:lastPrinted>
  <dcterms:modified xsi:type="dcterms:W3CDTF">2021-06-09T06:26:41Z</dcterms:modified>
  <dc:title>年扩建5000万个纸质品项目竣工环境保护验收监测报告表</dc:title>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DC21DF2653D94B628AC4A2C1C343EA5E</vt:lpwstr>
  </property>
</Properties>
</file>