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imes New Roman" w:hAnsi="Times New Roman" w:eastAsia="宋体" w:cs="Times New Roman"/>
          <w:b/>
          <w:color w:val="000000" w:themeColor="text1"/>
          <w:sz w:val="44"/>
          <w:szCs w:val="44"/>
          <w14:textFill>
            <w14:solidFill>
              <w14:schemeClr w14:val="tx1"/>
            </w14:solidFill>
          </w14:textFill>
        </w:rPr>
      </w:pPr>
      <w:bookmarkStart w:id="0" w:name="项目名称"/>
    </w:p>
    <w:p>
      <w:pPr>
        <w:pStyle w:val="4"/>
        <w:rPr>
          <w:rFonts w:hint="eastAsia"/>
          <w:color w:val="000000" w:themeColor="text1"/>
          <w14:textFill>
            <w14:solidFill>
              <w14:schemeClr w14:val="tx1"/>
            </w14:solidFill>
          </w14:textFill>
        </w:rPr>
      </w:pPr>
    </w:p>
    <w:bookmarkEnd w:id="0"/>
    <w:p>
      <w:pPr>
        <w:spacing w:line="360" w:lineRule="auto"/>
        <w:jc w:val="center"/>
        <w:rPr>
          <w:rFonts w:ascii="Times New Roman" w:hAnsi="Times New Roman" w:eastAsia="宋体" w:cs="Times New Roman"/>
          <w:b/>
          <w:color w:val="000000" w:themeColor="text1"/>
          <w:sz w:val="44"/>
          <w:szCs w:val="44"/>
          <w14:textFill>
            <w14:solidFill>
              <w14:schemeClr w14:val="tx1"/>
            </w14:solidFill>
          </w14:textFill>
        </w:rPr>
      </w:pPr>
      <w:r>
        <w:rPr>
          <w:rFonts w:hint="eastAsia" w:ascii="Times New Roman" w:hAnsi="Times New Roman" w:eastAsia="宋体" w:cs="Times New Roman"/>
          <w:b/>
          <w:color w:val="000000" w:themeColor="text1"/>
          <w:sz w:val="44"/>
          <w:szCs w:val="44"/>
          <w:lang w:eastAsia="zh-CN"/>
          <w14:textFill>
            <w14:solidFill>
              <w14:schemeClr w14:val="tx1"/>
            </w14:solidFill>
          </w14:textFill>
        </w:rPr>
        <w:t>长泰友联机械厂（普通合伙）年加工30万件轴承配件</w:t>
      </w:r>
      <w:r>
        <w:rPr>
          <w:rFonts w:ascii="Times New Roman" w:hAnsi="Times New Roman" w:eastAsia="宋体" w:cs="Times New Roman"/>
          <w:b/>
          <w:color w:val="000000" w:themeColor="text1"/>
          <w:sz w:val="44"/>
          <w:szCs w:val="44"/>
          <w14:textFill>
            <w14:solidFill>
              <w14:schemeClr w14:val="tx1"/>
            </w14:solidFill>
          </w14:textFill>
        </w:rPr>
        <w:t>竣工环境保护验收监测报告表</w:t>
      </w:r>
    </w:p>
    <w:p>
      <w:pPr>
        <w:jc w:val="center"/>
        <w:rPr>
          <w:rFonts w:ascii="Times New Roman" w:hAnsi="Times New Roman" w:eastAsia="宋体" w:cs="Times New Roman"/>
          <w:color w:val="000000" w:themeColor="text1"/>
          <w:sz w:val="28"/>
          <w14:textFill>
            <w14:solidFill>
              <w14:schemeClr w14:val="tx1"/>
            </w14:solidFill>
          </w14:textFill>
        </w:rPr>
      </w:pPr>
    </w:p>
    <w:p>
      <w:pPr>
        <w:pStyle w:val="23"/>
        <w:rPr>
          <w:color w:val="000000" w:themeColor="text1"/>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pStyle w:val="23"/>
        <w:rPr>
          <w:rFonts w:ascii="Times New Roman" w:hAnsi="Times New Roman" w:eastAsia="宋体" w:cs="Times New Roman"/>
          <w:color w:val="000000" w:themeColor="text1"/>
          <w:sz w:val="28"/>
          <w14:textFill>
            <w14:solidFill>
              <w14:schemeClr w14:val="tx1"/>
            </w14:solidFill>
          </w14:textFill>
        </w:rPr>
      </w:pPr>
    </w:p>
    <w:p>
      <w:pPr>
        <w:pStyle w:val="23"/>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14:textFill>
            <w14:solidFill>
              <w14:schemeClr w14:val="tx1"/>
            </w14:solidFill>
          </w14:textFill>
        </w:rPr>
      </w:pPr>
    </w:p>
    <w:p>
      <w:pPr>
        <w:pStyle w:val="23"/>
        <w:ind w:firstLine="164"/>
        <w:rPr>
          <w:rFonts w:ascii="Times New Roman" w:hAnsi="Times New Roman" w:eastAsia="宋体" w:cs="Times New Roman"/>
          <w:color w:val="000000" w:themeColor="text1"/>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14:textFill>
            <w14:solidFill>
              <w14:schemeClr w14:val="tx1"/>
            </w14:solidFill>
          </w14:textFill>
        </w:rPr>
      </w:pPr>
    </w:p>
    <w:p>
      <w:pPr>
        <w:jc w:val="center"/>
        <w:rPr>
          <w:rFonts w:ascii="Times New Roman" w:hAnsi="Times New Roman" w:eastAsia="宋体" w:cs="Times New Roman"/>
          <w:color w:val="000000" w:themeColor="text1"/>
          <w:sz w:val="36"/>
          <w:szCs w:val="36"/>
          <w:u w:val="single"/>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建设单位：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长泰友联机械厂（普通合伙）</w:t>
      </w:r>
    </w:p>
    <w:p>
      <w:pPr>
        <w:jc w:val="cente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编制单位：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长泰友联机械厂（普通合伙）</w:t>
      </w: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jc w:val="center"/>
        <w:rPr>
          <w:rFonts w:ascii="Times New Roman" w:hAnsi="Times New Roman" w:eastAsia="宋体" w:cs="Times New Roman"/>
          <w:bCs/>
          <w:color w:val="000000" w:themeColor="text1"/>
          <w:sz w:val="32"/>
          <w:szCs w:val="32"/>
          <w14:textFill>
            <w14:solidFill>
              <w14:schemeClr w14:val="tx1"/>
            </w14:solidFill>
          </w14:textFill>
        </w:rPr>
      </w:pPr>
      <w:r>
        <w:rPr>
          <w:rFonts w:ascii="Times New Roman" w:hAnsi="Times New Roman" w:eastAsia="宋体" w:cs="Times New Roman"/>
          <w:bCs/>
          <w:color w:val="000000" w:themeColor="text1"/>
          <w:sz w:val="32"/>
          <w:szCs w:val="32"/>
          <w14:textFill>
            <w14:solidFill>
              <w14:schemeClr w14:val="tx1"/>
            </w14:solidFill>
          </w14:textFill>
        </w:rPr>
        <w:t>202</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1</w:t>
      </w:r>
      <w:r>
        <w:rPr>
          <w:rFonts w:ascii="Times New Roman" w:hAnsi="Times New Roman" w:eastAsia="宋体" w:cs="Times New Roman"/>
          <w:bCs/>
          <w:color w:val="000000" w:themeColor="text1"/>
          <w:sz w:val="32"/>
          <w:szCs w:val="32"/>
          <w14:textFill>
            <w14:solidFill>
              <w14:schemeClr w14:val="tx1"/>
            </w14:solidFill>
          </w14:textFill>
        </w:rPr>
        <w:t>年</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056</w:t>
      </w:r>
      <w:r>
        <w:rPr>
          <w:rFonts w:ascii="Times New Roman" w:hAnsi="Times New Roman" w:eastAsia="宋体" w:cs="Times New Roman"/>
          <w:bCs/>
          <w:color w:val="000000" w:themeColor="text1"/>
          <w:sz w:val="32"/>
          <w:szCs w:val="32"/>
          <w14:textFill>
            <w14:solidFill>
              <w14:schemeClr w14:val="tx1"/>
            </w14:solidFill>
          </w14:textFill>
        </w:rPr>
        <w:t>月</w:t>
      </w:r>
    </w:p>
    <w:p>
      <w:pPr>
        <w:spacing w:line="360" w:lineRule="auto"/>
        <w:rPr>
          <w:rFonts w:ascii="Times New Roman" w:hAnsi="Times New Roman" w:eastAsia="宋体" w:cs="Times New Roman"/>
          <w:bCs/>
          <w:color w:val="000000" w:themeColor="text1"/>
          <w:sz w:val="28"/>
          <w14:textFill>
            <w14:solidFill>
              <w14:schemeClr w14:val="tx1"/>
            </w14:solidFill>
          </w14:textFill>
        </w:rPr>
        <w:sectPr>
          <w:footerReference r:id="rId3"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建设</w:t>
      </w:r>
      <w:r>
        <w:rPr>
          <w:rFonts w:ascii="Times New Roman" w:hAnsi="Times New Roman" w:eastAsia="宋体" w:cs="Times New Roman"/>
          <w:bCs/>
          <w:color w:val="000000" w:themeColor="text1"/>
          <w:sz w:val="28"/>
          <w:szCs w:val="28"/>
          <w14:textFill>
            <w14:solidFill>
              <w14:schemeClr w14:val="tx1"/>
            </w14:solidFill>
          </w14:textFill>
        </w:rPr>
        <w:t>单</w:t>
      </w:r>
      <w:r>
        <w:rPr>
          <w:rFonts w:ascii="Times New Roman" w:hAnsi="Times New Roman" w:eastAsia="宋体" w:cs="Times New Roman"/>
          <w:bCs/>
          <w:color w:val="000000" w:themeColor="text1"/>
          <w:sz w:val="28"/>
          <w14:textFill>
            <w14:solidFill>
              <w14:schemeClr w14:val="tx1"/>
            </w14:solidFill>
          </w14:textFill>
        </w:rPr>
        <w:t xml:space="preserve">位法人代表: </w:t>
      </w:r>
      <w:r>
        <w:rPr>
          <w:rFonts w:hint="eastAsia" w:ascii="Times New Roman" w:hAnsi="Times New Roman" w:eastAsia="宋体" w:cs="Times New Roman"/>
          <w:bCs/>
          <w:color w:val="000000" w:themeColor="text1"/>
          <w:sz w:val="28"/>
          <w:lang w:val="en-US" w:eastAsia="zh-CN"/>
          <w14:textFill>
            <w14:solidFill>
              <w14:schemeClr w14:val="tx1"/>
            </w14:solidFill>
          </w14:textFill>
        </w:rPr>
        <w:t>刘振棋</w:t>
      </w: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编制单位法人代表: </w:t>
      </w:r>
      <w:r>
        <w:rPr>
          <w:rFonts w:hint="eastAsia" w:ascii="Times New Roman" w:hAnsi="Times New Roman" w:eastAsia="宋体" w:cs="Times New Roman"/>
          <w:bCs/>
          <w:color w:val="000000" w:themeColor="text1"/>
          <w:sz w:val="28"/>
          <w:lang w:val="en-US" w:eastAsia="zh-CN"/>
          <w14:textFill>
            <w14:solidFill>
              <w14:schemeClr w14:val="tx1"/>
            </w14:solidFill>
          </w14:textFill>
        </w:rPr>
        <w:t>刘振棋</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项目负责人: </w:t>
      </w:r>
      <w:r>
        <w:rPr>
          <w:rFonts w:hint="eastAsia" w:ascii="Times New Roman" w:hAnsi="Times New Roman" w:eastAsia="宋体" w:cs="Times New Roman"/>
          <w:bCs/>
          <w:color w:val="000000" w:themeColor="text1"/>
          <w:sz w:val="28"/>
          <w:lang w:val="en-US" w:eastAsia="zh-CN"/>
          <w14:textFill>
            <w14:solidFill>
              <w14:schemeClr w14:val="tx1"/>
            </w14:solidFill>
          </w14:textFill>
        </w:rPr>
        <w:t>张武盛</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填表人：</w:t>
      </w:r>
      <w:r>
        <w:rPr>
          <w:rFonts w:hint="eastAsia" w:ascii="Times New Roman" w:hAnsi="Times New Roman" w:eastAsia="宋体" w:cs="Times New Roman"/>
          <w:bCs/>
          <w:color w:val="000000" w:themeColor="text1"/>
          <w:sz w:val="28"/>
          <w:lang w:val="en-US" w:eastAsia="zh-CN"/>
          <w14:textFill>
            <w14:solidFill>
              <w14:schemeClr w14:val="tx1"/>
            </w14:solidFill>
          </w14:textFill>
        </w:rPr>
        <w:t>张武盛</w:t>
      </w:r>
    </w:p>
    <w:p>
      <w:pPr>
        <w:spacing w:line="360" w:lineRule="auto"/>
        <w:rPr>
          <w:rFonts w:ascii="Times New Roman" w:hAnsi="Times New Roman" w:eastAsia="宋体" w:cs="Times New Roman"/>
          <w:color w:val="000000" w:themeColor="text1"/>
          <w:sz w:val="28"/>
          <w14:textFill>
            <w14:solidFill>
              <w14:schemeClr w14:val="tx1"/>
            </w14:solidFill>
          </w14:textFill>
        </w:rPr>
      </w:pPr>
      <w:r>
        <w:rPr>
          <w:rFonts w:ascii="Times New Roman" w:hAnsi="Times New Roman" w:eastAsia="宋体" w:cs="Times New Roman"/>
          <w:color w:val="000000" w:themeColor="text1"/>
          <w:sz w:val="28"/>
          <w14:textFill>
            <w14:solidFill>
              <w14:schemeClr w14:val="tx1"/>
            </w14:solidFill>
          </w14:textFill>
        </w:rPr>
        <w:tab/>
      </w: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spacing w:line="360" w:lineRule="auto"/>
        <w:rPr>
          <w:rFonts w:ascii="Times New Roman" w:hAnsi="Times New Roman" w:eastAsia="宋体" w:cs="Times New Roman"/>
          <w:color w:val="000000" w:themeColor="text1"/>
          <w:sz w:val="28"/>
          <w14:textFill>
            <w14:solidFill>
              <w14:schemeClr w14:val="tx1"/>
            </w14:solidFill>
          </w14:textFill>
        </w:rPr>
      </w:pPr>
    </w:p>
    <w:tbl>
      <w:tblPr>
        <w:tblStyle w:val="26"/>
        <w:tblW w:w="9510" w:type="dxa"/>
        <w:tblInd w:w="-2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建设单位：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长泰友联机械厂（普通合伙）</w:t>
            </w:r>
          </w:p>
        </w:tc>
        <w:tc>
          <w:tcPr>
            <w:tcW w:w="471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编制单位：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长泰友联机械厂（普通合伙）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电话:13806909890</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电话:13806909890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邮编:363900</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邮编:363900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 xml:space="preserve">地址: </w:t>
            </w:r>
          </w:p>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长泰县古农农场银塘街</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 xml:space="preserve">地址: </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长泰县古农农场银塘街</w:t>
            </w:r>
          </w:p>
        </w:tc>
      </w:tr>
    </w:tbl>
    <w:p>
      <w:pPr>
        <w:jc w:val="center"/>
        <w:rPr>
          <w:rFonts w:ascii="Times New Roman" w:hAnsi="Times New Roman" w:eastAsia="宋体" w:cs="Times New Roman"/>
          <w:color w:val="0000FF"/>
          <w:sz w:val="21"/>
          <w:szCs w:val="21"/>
        </w:rPr>
        <w:sectPr>
          <w:footerReference r:id="rId4"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tbl>
      <w:tblPr>
        <w:tblStyle w:val="25"/>
        <w:tblpPr w:leftFromText="180" w:rightFromText="180" w:vertAnchor="page" w:horzAnchor="page" w:tblpX="1614" w:tblpY="1803"/>
        <w:tblOverlap w:val="never"/>
        <w:tblW w:w="89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2441"/>
        <w:gridCol w:w="1755"/>
        <w:gridCol w:w="1273"/>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建设项目名称</w:t>
            </w:r>
          </w:p>
        </w:tc>
        <w:tc>
          <w:tcPr>
            <w:tcW w:w="7269" w:type="dxa"/>
            <w:gridSpan w:val="5"/>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长泰友联机械厂（普通合伙）年加工30万件轴承配件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建设单位名称</w:t>
            </w:r>
          </w:p>
        </w:tc>
        <w:tc>
          <w:tcPr>
            <w:tcW w:w="7269" w:type="dxa"/>
            <w:gridSpan w:val="5"/>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长泰友联机械厂（普通合伙）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建设项目性质</w:t>
            </w:r>
          </w:p>
        </w:tc>
        <w:tc>
          <w:tcPr>
            <w:tcW w:w="7269" w:type="dxa"/>
            <w:gridSpan w:val="5"/>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建设地点</w:t>
            </w:r>
          </w:p>
        </w:tc>
        <w:tc>
          <w:tcPr>
            <w:tcW w:w="7269" w:type="dxa"/>
            <w:gridSpan w:val="5"/>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长泰县古农农场银塘街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主要产品名称</w:t>
            </w:r>
          </w:p>
        </w:tc>
        <w:tc>
          <w:tcPr>
            <w:tcW w:w="7269" w:type="dxa"/>
            <w:gridSpan w:val="5"/>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轴承配件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建设规模</w:t>
            </w:r>
          </w:p>
        </w:tc>
        <w:tc>
          <w:tcPr>
            <w:tcW w:w="7269" w:type="dxa"/>
            <w:gridSpan w:val="5"/>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年加工30万件轴承配件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实际产能</w:t>
            </w:r>
          </w:p>
        </w:tc>
        <w:tc>
          <w:tcPr>
            <w:tcW w:w="7269" w:type="dxa"/>
            <w:gridSpan w:val="5"/>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年加工30万件轴承配件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建设项目环评时间</w:t>
            </w:r>
          </w:p>
        </w:tc>
        <w:tc>
          <w:tcPr>
            <w:tcW w:w="2441" w:type="dxa"/>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2015年3月</w:t>
            </w:r>
          </w:p>
        </w:tc>
        <w:tc>
          <w:tcPr>
            <w:tcW w:w="17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开工建设时间</w:t>
            </w:r>
          </w:p>
        </w:tc>
        <w:tc>
          <w:tcPr>
            <w:tcW w:w="3073" w:type="dxa"/>
            <w:gridSpan w:val="3"/>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2015年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eastAsia="zh-CN"/>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竣工时间</w:t>
            </w:r>
          </w:p>
        </w:tc>
        <w:tc>
          <w:tcPr>
            <w:tcW w:w="2441"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2016年6月</w:t>
            </w:r>
          </w:p>
        </w:tc>
        <w:tc>
          <w:tcPr>
            <w:tcW w:w="1755" w:type="dxa"/>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验收现场监测</w:t>
            </w:r>
          </w:p>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时间</w:t>
            </w:r>
          </w:p>
        </w:tc>
        <w:tc>
          <w:tcPr>
            <w:tcW w:w="3073" w:type="dxa"/>
            <w:gridSpan w:val="3"/>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2021.6.7-2021.6.8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 w:hRule="atLeast"/>
        </w:trPr>
        <w:tc>
          <w:tcPr>
            <w:tcW w:w="1655" w:type="dxa"/>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审批部门</w:t>
            </w:r>
          </w:p>
        </w:tc>
        <w:tc>
          <w:tcPr>
            <w:tcW w:w="2441" w:type="dxa"/>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漳州市长泰生态环境局</w:t>
            </w:r>
          </w:p>
        </w:tc>
        <w:tc>
          <w:tcPr>
            <w:tcW w:w="1755" w:type="dxa"/>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编制单位</w:t>
            </w:r>
          </w:p>
        </w:tc>
        <w:tc>
          <w:tcPr>
            <w:tcW w:w="3073" w:type="dxa"/>
            <w:gridSpan w:val="3"/>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深圳市宗兴环保科技有限公司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9"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环保设施设计单位</w:t>
            </w:r>
          </w:p>
        </w:tc>
        <w:tc>
          <w:tcPr>
            <w:tcW w:w="2441"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自建</w:t>
            </w:r>
          </w:p>
        </w:tc>
        <w:tc>
          <w:tcPr>
            <w:tcW w:w="17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环保设施施工</w:t>
            </w:r>
          </w:p>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单位</w:t>
            </w:r>
          </w:p>
        </w:tc>
        <w:tc>
          <w:tcPr>
            <w:tcW w:w="3073" w:type="dxa"/>
            <w:gridSpan w:val="3"/>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自建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90"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投资总概算</w:t>
            </w:r>
          </w:p>
        </w:tc>
        <w:tc>
          <w:tcPr>
            <w:tcW w:w="2441"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200万元</w:t>
            </w:r>
          </w:p>
        </w:tc>
        <w:tc>
          <w:tcPr>
            <w:tcW w:w="17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环保投资总概算</w:t>
            </w:r>
          </w:p>
        </w:tc>
        <w:tc>
          <w:tcPr>
            <w:tcW w:w="1273"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10万元</w:t>
            </w:r>
          </w:p>
        </w:tc>
        <w:tc>
          <w:tcPr>
            <w:tcW w:w="76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w:t>
            </w:r>
            <w:r>
              <w:rPr>
                <w:rFonts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实际总概算</w:t>
            </w:r>
          </w:p>
        </w:tc>
        <w:tc>
          <w:tcPr>
            <w:tcW w:w="2441"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200万元</w:t>
            </w:r>
          </w:p>
        </w:tc>
        <w:tc>
          <w:tcPr>
            <w:tcW w:w="17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环保投资</w:t>
            </w:r>
          </w:p>
        </w:tc>
        <w:tc>
          <w:tcPr>
            <w:tcW w:w="1273"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10万元</w:t>
            </w:r>
          </w:p>
        </w:tc>
        <w:tc>
          <w:tcPr>
            <w:tcW w:w="76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w:t>
            </w:r>
            <w:r>
              <w:rPr>
                <w:rFonts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5"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验收监测依据</w:t>
            </w:r>
          </w:p>
        </w:tc>
        <w:tc>
          <w:tcPr>
            <w:tcW w:w="7269" w:type="dxa"/>
            <w:gridSpan w:val="5"/>
            <w:vAlign w:val="center"/>
          </w:tcPr>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1、《建设项目竣工环境保护验收暂行办法》国环规环评【2017】4号；</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2、《建设项目环境保护管理条例》修订（第682号令）；</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3、《建设项目竣工环境保护验收技术指南污染影响类》；</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4、《中华人民共和国环境保护法》，2014 年4 月24 日修订；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5、《中华人民共和国环境影响评价法》，201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ascii="Times New Roman" w:hAnsi="Times New Roman" w:eastAsia="宋体" w:cs="Times New Roman"/>
                <w:color w:val="000000" w:themeColor="text1"/>
                <w:sz w:val="21"/>
                <w:szCs w:val="21"/>
                <w14:textFill>
                  <w14:solidFill>
                    <w14:schemeClr w14:val="tx1"/>
                  </w14:solidFill>
                </w14:textFill>
              </w:rPr>
              <w:t xml:space="preserve"> 年修订；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6、《中华人民共和国大气污染防治法》，201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ascii="Times New Roman" w:hAnsi="Times New Roman" w:eastAsia="宋体" w:cs="Times New Roman"/>
                <w:color w:val="000000" w:themeColor="text1"/>
                <w:sz w:val="21"/>
                <w:szCs w:val="21"/>
                <w14:textFill>
                  <w14:solidFill>
                    <w14:schemeClr w14:val="tx1"/>
                  </w14:solidFill>
                </w14:textFill>
              </w:rPr>
              <w:t xml:space="preserve"> 年修订；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7、《中华人民共和国环境噪声污染防治法》，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2018</w:t>
            </w:r>
            <w:r>
              <w:rPr>
                <w:rFonts w:ascii="Times New Roman" w:hAnsi="Times New Roman" w:eastAsia="宋体" w:cs="Times New Roman"/>
                <w:color w:val="000000" w:themeColor="text1"/>
                <w:sz w:val="21"/>
                <w:szCs w:val="21"/>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修订</w:t>
            </w:r>
            <w:r>
              <w:rPr>
                <w:rFonts w:ascii="Times New Roman" w:hAnsi="Times New Roman" w:eastAsia="宋体" w:cs="Times New Roman"/>
                <w:color w:val="000000" w:themeColor="text1"/>
                <w:sz w:val="21"/>
                <w:szCs w:val="21"/>
                <w14:textFill>
                  <w14:solidFill>
                    <w14:schemeClr w14:val="tx1"/>
                  </w14:solidFill>
                </w14:textFill>
              </w:rPr>
              <w:t>；</w:t>
            </w:r>
          </w:p>
          <w:p>
            <w:pPr>
              <w:pStyle w:val="2"/>
              <w:rPr>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ascii="Times New Roman" w:hAnsi="Times New Roman" w:eastAsia="宋体" w:cs="Times New Roman"/>
                <w:color w:val="000000" w:themeColor="text1"/>
                <w:sz w:val="21"/>
                <w:szCs w:val="21"/>
                <w14:textFill>
                  <w14:solidFill>
                    <w14:schemeClr w14:val="tx1"/>
                  </w14:solidFill>
                </w14:textFill>
              </w:rPr>
              <w:t>《中华人民共和国</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水环境</w:t>
            </w:r>
            <w:r>
              <w:rPr>
                <w:rFonts w:ascii="Times New Roman" w:hAnsi="Times New Roman" w:eastAsia="宋体" w:cs="Times New Roman"/>
                <w:color w:val="000000" w:themeColor="text1"/>
                <w:sz w:val="21"/>
                <w:szCs w:val="21"/>
                <w14:textFill>
                  <w14:solidFill>
                    <w14:schemeClr w14:val="tx1"/>
                  </w14:solidFill>
                </w14:textFill>
              </w:rPr>
              <w:t>污染防治法》，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2017</w:t>
            </w:r>
            <w:r>
              <w:rPr>
                <w:rFonts w:ascii="Times New Roman" w:hAnsi="Times New Roman" w:eastAsia="宋体" w:cs="Times New Roman"/>
                <w:color w:val="000000" w:themeColor="text1"/>
                <w:sz w:val="21"/>
                <w:szCs w:val="21"/>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ascii="Times New Roman" w:hAnsi="Times New Roman" w:eastAsia="宋体" w:cs="Times New Roman"/>
                <w:color w:val="000000" w:themeColor="text1"/>
                <w:sz w:val="21"/>
                <w:szCs w:val="21"/>
                <w14:textFill>
                  <w14:solidFill>
                    <w14:schemeClr w14:val="tx1"/>
                  </w14:solidFill>
                </w14:textFill>
              </w:rPr>
              <w:t>、《中华人民共和国固体废物污染环境防治法》，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2020</w:t>
            </w:r>
            <w:r>
              <w:rPr>
                <w:rFonts w:ascii="Times New Roman" w:hAnsi="Times New Roman" w:eastAsia="宋体" w:cs="Times New Roman"/>
                <w:color w:val="000000" w:themeColor="text1"/>
                <w:sz w:val="21"/>
                <w:szCs w:val="21"/>
                <w14:textFill>
                  <w14:solidFill>
                    <w14:schemeClr w14:val="tx1"/>
                  </w14:solidFill>
                </w14:textFill>
              </w:rPr>
              <w:t xml:space="preserve"> 年修订；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ascii="Times New Roman" w:hAnsi="Times New Roman" w:eastAsia="宋体" w:cs="Times New Roman"/>
                <w:color w:val="000000" w:themeColor="text1"/>
                <w:sz w:val="21"/>
                <w:szCs w:val="21"/>
                <w14:textFill>
                  <w14:solidFill>
                    <w14:schemeClr w14:val="tx1"/>
                  </w14:solidFill>
                </w14:textFill>
              </w:rPr>
              <w:t>、《中华人民共和国清洁生产促进法》，2012 年修正；</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、《产业结构调整指导目录（201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ascii="Times New Roman" w:hAnsi="Times New Roman" w:eastAsia="宋体" w:cs="Times New Roman"/>
                <w:color w:val="000000" w:themeColor="text1"/>
                <w:sz w:val="21"/>
                <w:szCs w:val="21"/>
                <w14:textFill>
                  <w14:solidFill>
                    <w14:schemeClr w14:val="tx1"/>
                  </w14:solidFill>
                </w14:textFill>
              </w:rPr>
              <w:t>年本）》（201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ascii="Times New Roman" w:hAnsi="Times New Roman" w:eastAsia="宋体" w:cs="Times New Roman"/>
                <w:color w:val="000000" w:themeColor="text1"/>
                <w:sz w:val="21"/>
                <w:szCs w:val="21"/>
                <w14:textFill>
                  <w14:solidFill>
                    <w14:schemeClr w14:val="tx1"/>
                  </w14:solidFill>
                </w14:textFill>
              </w:rPr>
              <w:t xml:space="preserve"> 年修正）；</w:t>
            </w:r>
          </w:p>
          <w:p>
            <w:pPr>
              <w:ind w:left="420" w:hanging="420" w:hangingChars="200"/>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、《福建</w:t>
            </w:r>
            <w:r>
              <w:rPr>
                <w:rFonts w:hint="eastAsia" w:ascii="Times New Roman" w:hAnsi="Times New Roman" w:eastAsia="宋体" w:cs="Times New Roman"/>
                <w:color w:val="000000" w:themeColor="text1"/>
                <w:sz w:val="21"/>
                <w:szCs w:val="21"/>
                <w14:textFill>
                  <w14:solidFill>
                    <w14:schemeClr w14:val="tx1"/>
                  </w14:solidFill>
                </w14:textFill>
              </w:rPr>
              <w:t>省环境保护条例》，2012 年3 月31 日实施。</w:t>
            </w:r>
          </w:p>
          <w:p>
            <w:pPr>
              <w:ind w:left="420" w:hanging="420" w:hangingChars="200"/>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长泰友联机械厂（普通合伙）年加工30万件轴承配件</w:t>
            </w:r>
            <w:r>
              <w:rPr>
                <w:rFonts w:hint="eastAsia" w:ascii="Times New Roman" w:hAnsi="Times New Roman" w:eastAsia="宋体" w:cs="Times New Roman"/>
                <w:color w:val="000000" w:themeColor="text1"/>
                <w:sz w:val="21"/>
                <w:szCs w:val="21"/>
                <w14:textFill>
                  <w14:solidFill>
                    <w14:schemeClr w14:val="tx1"/>
                  </w14:solidFill>
                </w14:textFill>
              </w:rPr>
              <w:t>环境影响报告表》；</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漳州市长泰生态环境局</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长泰友联机械厂（普通合伙）年加工30万件轴承配件</w:t>
            </w:r>
            <w:r>
              <w:rPr>
                <w:rFonts w:hint="eastAsia" w:ascii="Times New Roman" w:hAnsi="Times New Roman" w:eastAsia="宋体" w:cs="Times New Roman"/>
                <w:color w:val="000000" w:themeColor="text1"/>
                <w:sz w:val="21"/>
                <w:szCs w:val="21"/>
                <w14:textFill>
                  <w14:solidFill>
                    <w14:schemeClr w14:val="tx1"/>
                  </w14:solidFill>
                </w14:textFill>
              </w:rPr>
              <w:t>环境影响评价报告表》的批复；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30" w:hRule="atLeast"/>
        </w:trPr>
        <w:tc>
          <w:tcPr>
            <w:tcW w:w="1655" w:type="dxa"/>
            <w:vAlign w:val="center"/>
          </w:tcPr>
          <w:p>
            <w:pPr>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验收监测评价标准、标号、级别、限值</w:t>
            </w:r>
          </w:p>
        </w:tc>
        <w:tc>
          <w:tcPr>
            <w:tcW w:w="7269" w:type="dxa"/>
            <w:gridSpan w:val="5"/>
            <w:vAlign w:val="center"/>
          </w:tcPr>
          <w:p>
            <w:pPr>
              <w:pStyle w:val="24"/>
              <w:numPr>
                <w:ilvl w:val="0"/>
                <w:numId w:val="1"/>
              </w:numPr>
              <w:spacing w:after="60" w:line="240" w:lineRule="auto"/>
              <w:ind w:left="20" w:leftChars="0" w:firstLineChars="0"/>
              <w:jc w:val="both"/>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《污水综合排放标准》（GB8978-96）表4一级标准，即：pH：6-9、化学需氧量：500mg/L、五日化学需氧量：300mg/L、氨氮：45mg/L、悬浮物：400mg/L</w:t>
            </w:r>
          </w:p>
          <w:p>
            <w:pPr>
              <w:pStyle w:val="24"/>
              <w:numPr>
                <w:ilvl w:val="0"/>
                <w:numId w:val="1"/>
              </w:numPr>
              <w:spacing w:after="60" w:line="240" w:lineRule="auto"/>
              <w:ind w:left="20" w:leftChars="0" w:firstLineChars="0"/>
              <w:jc w:val="both"/>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工业企业挥发性有机物排放标准</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DB35_1782-2008</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表3标准，即：无组织非甲烷总烃：2.0mg/m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p>
          <w:p>
            <w:pPr>
              <w:pStyle w:val="24"/>
              <w:numPr>
                <w:ilvl w:val="0"/>
                <w:numId w:val="1"/>
              </w:numPr>
              <w:spacing w:after="60" w:line="240" w:lineRule="auto"/>
              <w:ind w:left="20" w:leftChars="0" w:firstLineChars="0"/>
              <w:jc w:val="both"/>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GB16297-1996）表2标准；即：无组织颗粒物</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p>
          <w:p>
            <w:pPr>
              <w:pStyle w:val="24"/>
              <w:numPr>
                <w:ilvl w:val="0"/>
                <w:numId w:val="0"/>
              </w:numPr>
              <w:spacing w:after="60" w:line="240" w:lineRule="auto"/>
              <w:ind w:firstLine="420" w:firstLineChars="200"/>
              <w:jc w:val="both"/>
              <w:rPr>
                <w:rFonts w:hint="default" w:ascii="Times New Roman" w:hAnsi="Times New Roman" w:eastAsia="宋体" w:cs="Times New Roman"/>
                <w:color w:val="0000FF"/>
                <w:sz w:val="21"/>
                <w:szCs w:val="21"/>
                <w:lang w:val="en-US" w:eastAsia="zh-CN" w:bidi="ar-SA"/>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《工业企业厂界环境噪声排放标准》</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GB12348-2008</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类区标准</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，即昼间：65dB（A）；夜间55dB（A）</w:t>
            </w:r>
          </w:p>
        </w:tc>
      </w:tr>
    </w:tbl>
    <w:p>
      <w:pPr>
        <w:outlineLvl w:val="0"/>
        <w:rPr>
          <w:rFonts w:ascii="Times New Roman" w:hAnsi="Times New Roman" w:eastAsia="宋体" w:cs="Times New Roman"/>
          <w:color w:val="000000" w:themeColor="text1"/>
          <w:sz w:val="21"/>
          <w:szCs w:val="21"/>
          <w14:textFill>
            <w14:solidFill>
              <w14:schemeClr w14:val="tx1"/>
            </w14:solidFill>
          </w14:textFill>
        </w:rPr>
        <w:sectPr>
          <w:footerReference r:id="rId5"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r>
        <w:rPr>
          <w:rFonts w:ascii="Times New Roman" w:hAnsi="Times New Roman" w:eastAsia="宋体" w:cs="Times New Roman"/>
          <w:b/>
          <w:color w:val="000000" w:themeColor="text1"/>
          <w:sz w:val="21"/>
          <w:szCs w:val="21"/>
          <w14:textFill>
            <w14:solidFill>
              <w14:schemeClr w14:val="tx1"/>
            </w14:solidFill>
          </w14:textFill>
        </w:rPr>
        <w:t>表一</w:t>
      </w: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表二</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9" w:hRule="atLeast"/>
        </w:trPr>
        <w:tc>
          <w:tcPr>
            <w:tcW w:w="5000" w:type="pct"/>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工程建设内容： </w:t>
            </w:r>
          </w:p>
          <w:p>
            <w:pPr>
              <w:widowControl/>
              <w:numPr>
                <w:ilvl w:val="0"/>
                <w:numId w:val="2"/>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项目概况</w:t>
            </w:r>
          </w:p>
          <w:p>
            <w:pPr>
              <w:pStyle w:val="2"/>
              <w:keepNext w:val="0"/>
              <w:keepLines w:val="0"/>
              <w:pageBreakBefore w:val="0"/>
              <w:widowControl w:val="0"/>
              <w:kinsoku/>
              <w:wordWrap/>
              <w:overflowPunct/>
              <w:topLinePunct w:val="0"/>
              <w:autoSpaceDE/>
              <w:autoSpaceDN/>
              <w:bidi w:val="0"/>
              <w:adjustRightInd w:val="0"/>
              <w:snapToGrid w:val="0"/>
              <w:spacing w:line="360" w:lineRule="auto"/>
              <w:ind w:right="0" w:firstLine="448" w:firstLineChars="200"/>
              <w:jc w:val="left"/>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长泰友联机械厂（普通合伙）</w:t>
            </w:r>
            <w:r>
              <w:rPr>
                <w:rFonts w:hint="default" w:ascii="Times New Roman" w:hAnsi="Times New Roman" w:eastAsia="宋体" w:cs="Times New Roman"/>
                <w:color w:val="000000" w:themeColor="text1"/>
                <w:sz w:val="24"/>
                <w:szCs w:val="24"/>
                <w14:textFill>
                  <w14:solidFill>
                    <w14:schemeClr w14:val="tx1"/>
                  </w14:solidFill>
                </w14:textFill>
              </w:rPr>
              <w:t>投资</w:t>
            </w:r>
            <w:r>
              <w:rPr>
                <w:rFonts w:hint="eastAsia" w:ascii="Times New Roman" w:hAnsi="Times New Roman" w:eastAsia="宋体" w:cs="Times New Roman"/>
                <w:color w:val="000000" w:themeColor="text1"/>
                <w:sz w:val="24"/>
                <w:szCs w:val="24"/>
                <w:lang w:eastAsia="zh-CN"/>
                <w14:textFill>
                  <w14:solidFill>
                    <w14:schemeClr w14:val="tx1"/>
                  </w14:solidFill>
                </w14:textFill>
              </w:rPr>
              <w:t>200万元</w:t>
            </w:r>
            <w:r>
              <w:rPr>
                <w:rFonts w:hint="default" w:ascii="Times New Roman" w:hAnsi="Times New Roman" w:eastAsia="宋体" w:cs="Times New Roman"/>
                <w:color w:val="000000" w:themeColor="text1"/>
                <w:sz w:val="24"/>
                <w:szCs w:val="24"/>
                <w:lang w:eastAsia="zh-CN"/>
                <w14:textFill>
                  <w14:solidFill>
                    <w14:schemeClr w14:val="tx1"/>
                  </w14:solidFill>
                </w14:textFill>
              </w:rPr>
              <w:t>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长泰县古农农场银塘街</w:t>
            </w:r>
            <w:r>
              <w:rPr>
                <w:rFonts w:hint="default" w:ascii="Times New Roman" w:hAnsi="Times New Roman" w:eastAsia="宋体" w:cs="Times New Roman"/>
                <w:color w:val="000000" w:themeColor="text1"/>
                <w:sz w:val="24"/>
                <w:szCs w:val="24"/>
                <w:lang w:eastAsia="zh-CN"/>
                <w14:textFill>
                  <w14:solidFill>
                    <w14:schemeClr w14:val="tx1"/>
                  </w14:solidFill>
                </w14:textFill>
              </w:rPr>
              <w:t>建设</w:t>
            </w:r>
            <w:r>
              <w:rPr>
                <w:rFonts w:hint="eastAsia" w:ascii="Times New Roman" w:hAnsi="Times New Roman" w:eastAsia="宋体" w:cs="Times New Roman"/>
                <w:color w:val="000000" w:themeColor="text1"/>
                <w:sz w:val="24"/>
                <w:szCs w:val="24"/>
                <w:lang w:eastAsia="zh-CN"/>
                <w14:textFill>
                  <w14:solidFill>
                    <w14:schemeClr w14:val="tx1"/>
                  </w14:solidFill>
                </w14:textFill>
              </w:rPr>
              <w:t>长泰友联机械厂（普通合伙）年加工30万件轴承配件</w:t>
            </w:r>
            <w:r>
              <w:rPr>
                <w:rFonts w:hint="default" w:ascii="Times New Roman" w:hAnsi="Times New Roman" w:eastAsia="宋体" w:cs="Times New Roman"/>
                <w:color w:val="000000" w:themeColor="text1"/>
                <w:sz w:val="24"/>
                <w:szCs w:val="24"/>
                <w:lang w:eastAsia="zh-CN"/>
                <w14:textFill>
                  <w14:solidFill>
                    <w14:schemeClr w14:val="tx1"/>
                  </w14:solidFill>
                </w14:textFill>
              </w:rPr>
              <w:t>，主要从事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轴承配件</w:t>
            </w:r>
            <w:r>
              <w:rPr>
                <w:rFonts w:hint="default" w:ascii="Times New Roman" w:hAnsi="Times New Roman" w:eastAsia="宋体" w:cs="Times New Roman"/>
                <w:color w:val="000000" w:themeColor="text1"/>
                <w:sz w:val="24"/>
                <w:szCs w:val="24"/>
                <w:lang w:eastAsia="zh-CN"/>
                <w14:textFill>
                  <w14:solidFill>
                    <w14:schemeClr w14:val="tx1"/>
                  </w14:solidFill>
                </w14:textFill>
              </w:rPr>
              <w:t>的加工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租用厂房859.84平方米</w:t>
            </w:r>
            <w:r>
              <w:rPr>
                <w:rFonts w:hint="default" w:ascii="Times New Roman" w:hAnsi="Times New Roman" w:eastAsia="宋体" w:cs="Times New Roman"/>
                <w:color w:val="000000" w:themeColor="text1"/>
                <w:sz w:val="24"/>
                <w:szCs w:val="24"/>
                <w14:textFill>
                  <w14:solidFill>
                    <w14:schemeClr w14:val="tx1"/>
                  </w14:solidFill>
                </w14:textFill>
              </w:rPr>
              <w:t>，，生产规模为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年加工30万件轴承配件</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根据《中华人民共和国环境保护法》、《中华人民共和国环境影响评价法》和《建设项目环境保护管理条例》等有关环保法律、法规，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长泰友联机械厂（普通合伙）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需进行环境影响评价。</w:t>
            </w:r>
            <w:r>
              <w:rPr>
                <w:rFonts w:hint="eastAsia" w:ascii="Times New Roman" w:hAnsi="Times New Roman" w:eastAsia="宋体" w:cs="Times New Roman"/>
                <w:color w:val="000000" w:themeColor="text1"/>
                <w:sz w:val="24"/>
                <w:szCs w:val="24"/>
                <w:lang w:eastAsia="zh-CN"/>
                <w14:textFill>
                  <w14:solidFill>
                    <w14:schemeClr w14:val="tx1"/>
                  </w14:solidFill>
                </w14:textFill>
              </w:rPr>
              <w:t>于2015年3月委托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深圳市宗兴环保科技有限公司</w:t>
            </w:r>
            <w:r>
              <w:rPr>
                <w:rFonts w:hint="eastAsia" w:ascii="Times New Roman" w:hAnsi="Times New Roman" w:eastAsia="宋体" w:cs="Times New Roman"/>
                <w:color w:val="000000" w:themeColor="text1"/>
                <w:sz w:val="24"/>
                <w:szCs w:val="24"/>
                <w:lang w:eastAsia="zh-CN"/>
                <w14:textFill>
                  <w14:solidFill>
                    <w14:schemeClr w14:val="tx1"/>
                  </w14:solidFill>
                </w14:textFill>
              </w:rPr>
              <w:t>编制完成《长泰友联机械厂（普通合伙）年加工30万件轴承配件环境影响报告表》，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并于2015年4月15日通过漳州市长泰生态环境局审批，审批编号为：泰环审【2015】20号。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本项目主要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轴承配件</w:t>
            </w:r>
            <w:r>
              <w:rPr>
                <w:rFonts w:hint="default" w:ascii="Times New Roman" w:hAnsi="Times New Roman" w:eastAsia="宋体" w:cs="Times New Roman"/>
                <w:color w:val="000000" w:themeColor="text1"/>
                <w:sz w:val="24"/>
                <w:szCs w:val="24"/>
                <w:lang w:eastAsia="zh-CN"/>
                <w14:textFill>
                  <w14:solidFill>
                    <w14:schemeClr w14:val="tx1"/>
                  </w14:solidFill>
                </w14:textFill>
              </w:rPr>
              <w:t>的加工</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，实际总投资</w:t>
            </w:r>
            <w:r>
              <w:rPr>
                <w:rFonts w:hint="eastAsia" w:ascii="Times New Roman" w:hAnsi="Times New Roman" w:eastAsia="宋体" w:cs="Times New Roman"/>
                <w:color w:val="000000" w:themeColor="text1"/>
                <w:sz w:val="24"/>
                <w:szCs w:val="24"/>
                <w:lang w:eastAsia="zh-CN"/>
                <w14:textFill>
                  <w14:solidFill>
                    <w14:schemeClr w14:val="tx1"/>
                  </w14:solidFill>
                </w14:textFill>
              </w:rPr>
              <w:t>200万元</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，其中环保投资10万元。实际生产能力为年加工30万件轴承配件，实际员工数量为25人，年工作天数330天，每天工作8小时。</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本项目四周为：东侧为长泰宗桦工艺品有限公司，南侧为空置厂房，西侧为林地，北侧为家具厂，项目周边均为工业企业。</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ascii="Times New Roman" w:hAnsi="Times New Roman" w:eastAsia="宋体" w:cs="Times New Roman"/>
                <w:color w:val="0000FF"/>
                <w:sz w:val="24"/>
                <w:szCs w:val="24"/>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本项目于2015年4月开工建设，2016年6月竣工，并已投入试生产。根据《建设项目环境保护管理条例》和《建设项目竣</w:t>
            </w:r>
            <w:r>
              <w:rPr>
                <w:rFonts w:ascii="Times New Roman" w:hAnsi="Times New Roman" w:eastAsia="宋体" w:cs="Times New Roman"/>
                <w:color w:val="000000" w:themeColor="text1"/>
                <w:sz w:val="24"/>
                <w:szCs w:val="24"/>
                <w14:textFill>
                  <w14:solidFill>
                    <w14:schemeClr w14:val="tx1"/>
                  </w14:solidFill>
                </w14:textFill>
              </w:rPr>
              <w:t>工环境保护验收技术指南污染影响类》等法律法规文件的要求，公司依据国家有关法规文件、技术标准及经审批后的本项目环境影响报告表并结合现场实际情况制定了本项目的环境保护验收监测方案，并于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2021年6月7日至2021年6月8日</w:t>
            </w:r>
            <w:r>
              <w:rPr>
                <w:rFonts w:ascii="Times New Roman" w:hAnsi="Times New Roman" w:eastAsia="宋体" w:cs="Times New Roman"/>
                <w:color w:val="000000" w:themeColor="text1"/>
                <w:sz w:val="24"/>
                <w:szCs w:val="24"/>
                <w14:textFill>
                  <w14:solidFill>
                    <w14:schemeClr w14:val="tx1"/>
                  </w14:solidFill>
                </w14:textFill>
              </w:rPr>
              <w:t>委托</w:t>
            </w:r>
            <w:r>
              <w:rPr>
                <w:rFonts w:hint="eastAsia" w:ascii="Times New Roman" w:hAnsi="Times New Roman" w:eastAsia="宋体" w:cs="Times New Roman"/>
                <w:color w:val="000000" w:themeColor="text1"/>
                <w:sz w:val="24"/>
                <w:szCs w:val="24"/>
                <w:lang w:eastAsia="zh-CN"/>
                <w14:textFill>
                  <w14:solidFill>
                    <w14:schemeClr w14:val="tx1"/>
                  </w14:solidFill>
                </w14:textFill>
              </w:rPr>
              <w:t>厦门威正检测技术有限公司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对</w:t>
            </w:r>
            <w:r>
              <w:rPr>
                <w:rFonts w:ascii="Times New Roman" w:hAnsi="Times New Roman" w:eastAsia="宋体" w:cs="Times New Roman"/>
                <w:color w:val="000000" w:themeColor="text1"/>
                <w:sz w:val="24"/>
                <w:szCs w:val="24"/>
                <w14:textFill>
                  <w14:solidFill>
                    <w14:schemeClr w14:val="tx1"/>
                  </w14:solidFill>
                </w14:textFill>
              </w:rPr>
              <w:t>本项目开展竣工环境保护验收监测，根据现场监测情况、样品监测分析结果及现场调查情况，编制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竣工环境保护</w:t>
            </w:r>
            <w:r>
              <w:rPr>
                <w:rFonts w:ascii="Times New Roman" w:hAnsi="Times New Roman" w:eastAsia="宋体" w:cs="Times New Roman"/>
                <w:color w:val="000000" w:themeColor="text1"/>
                <w:sz w:val="24"/>
                <w:szCs w:val="24"/>
                <w14:textFill>
                  <w14:solidFill>
                    <w14:schemeClr w14:val="tx1"/>
                  </w14:solidFill>
                </w14:textFill>
              </w:rPr>
              <w:t>验收监测报告表。</w:t>
            </w:r>
          </w:p>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p>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p>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p>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p>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p>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p>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p>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具体建设内容见下表</w:t>
            </w:r>
            <w:r>
              <w:rPr>
                <w:rFonts w:hint="eastAsia" w:ascii="Times New Roman" w:hAnsi="Times New Roman" w:cs="Times New Roman"/>
                <w:color w:val="000000" w:themeColor="text1"/>
                <w14:textFill>
                  <w14:solidFill>
                    <w14:schemeClr w14:val="tx1"/>
                  </w14:solidFill>
                </w14:textFill>
              </w:rPr>
              <w:t>2-1</w:t>
            </w:r>
            <w:r>
              <w:rPr>
                <w:rFonts w:ascii="Times New Roman" w:hAnsi="Times New Roman" w:cs="Times New Roman"/>
                <w:color w:val="000000" w:themeColor="text1"/>
                <w14:textFill>
                  <w14:solidFill>
                    <w14:schemeClr w14:val="tx1"/>
                  </w14:solidFill>
                </w14:textFill>
              </w:rPr>
              <w:t>：</w:t>
            </w:r>
          </w:p>
          <w:p>
            <w:pPr>
              <w:widowControl/>
              <w:numPr>
                <w:ilvl w:val="0"/>
                <w:numId w:val="2"/>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项目建设内容</w:t>
            </w:r>
          </w:p>
          <w:p>
            <w:pPr>
              <w:pStyle w:val="24"/>
              <w:widowControl w:val="0"/>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 xml:space="preserve">表2-1 </w:t>
            </w:r>
            <w:r>
              <w:rPr>
                <w:rFonts w:ascii="Times New Roman" w:hAnsi="Times New Roman" w:eastAsia="宋体" w:cs="Times New Roman"/>
                <w:b/>
                <w:bCs/>
                <w:color w:val="000000" w:themeColor="text1"/>
                <w:sz w:val="21"/>
                <w:szCs w:val="21"/>
                <w14:textFill>
                  <w14:solidFill>
                    <w14:schemeClr w14:val="tx1"/>
                  </w14:solidFill>
                </w14:textFill>
              </w:rPr>
              <w:t>项目建设内容</w:t>
            </w:r>
            <w:r>
              <w:rPr>
                <w:rFonts w:hint="eastAsia" w:ascii="Times New Roman" w:hAnsi="Times New Roman" w:eastAsia="宋体" w:cs="Times New Roman"/>
                <w:b/>
                <w:bCs/>
                <w:color w:val="000000" w:themeColor="text1"/>
                <w:sz w:val="21"/>
                <w:szCs w:val="21"/>
                <w14:textFill>
                  <w14:solidFill>
                    <w14:schemeClr w14:val="tx1"/>
                  </w14:solidFill>
                </w14:textFill>
              </w:rPr>
              <w:t>一览表</w:t>
            </w:r>
          </w:p>
          <w:tbl>
            <w:tblPr>
              <w:tblStyle w:val="26"/>
              <w:tblW w:w="8765" w:type="dxa"/>
              <w:tblInd w:w="0" w:type="dxa"/>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530"/>
              <w:gridCol w:w="4650"/>
              <w:gridCol w:w="1140"/>
            </w:tblGrid>
            <w:tr>
              <w:tblPrEx>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l2br w:val="nil"/>
                    <w:tr2bl w:val="nil"/>
                  </w:tcBorders>
                </w:tcPr>
                <w:p>
                  <w:pPr>
                    <w:pStyle w:val="36"/>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工程类别</w:t>
                  </w:r>
                </w:p>
              </w:tc>
              <w:tc>
                <w:tcPr>
                  <w:tcW w:w="1530" w:type="dxa"/>
                  <w:tcBorders>
                    <w:tl2br w:val="nil"/>
                    <w:tr2bl w:val="nil"/>
                  </w:tcBorders>
                </w:tcPr>
                <w:p>
                  <w:pPr>
                    <w:pStyle w:val="36"/>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组成</w:t>
                  </w:r>
                </w:p>
              </w:tc>
              <w:tc>
                <w:tcPr>
                  <w:tcW w:w="4650" w:type="dxa"/>
                  <w:tcBorders>
                    <w:tl2br w:val="nil"/>
                    <w:tr2bl w:val="nil"/>
                  </w:tcBorders>
                </w:tcPr>
                <w:p>
                  <w:pPr>
                    <w:pStyle w:val="36"/>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内容</w:t>
                  </w:r>
                </w:p>
              </w:tc>
              <w:tc>
                <w:tcPr>
                  <w:tcW w:w="1140" w:type="dxa"/>
                  <w:tcBorders>
                    <w:tl2br w:val="nil"/>
                    <w:tr2bl w:val="nil"/>
                  </w:tcBorders>
                </w:tcPr>
                <w:p>
                  <w:pPr>
                    <w:pStyle w:val="36"/>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实际情况</w:t>
                  </w:r>
                </w:p>
              </w:tc>
            </w:tr>
            <w:tr>
              <w:tblPrEx>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l2br w:val="nil"/>
                    <w:tr2bl w:val="nil"/>
                  </w:tcBorders>
                  <w:vAlign w:val="center"/>
                </w:tcPr>
                <w:p>
                  <w:pPr>
                    <w:pStyle w:val="36"/>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主体工程</w:t>
                  </w:r>
                </w:p>
              </w:tc>
              <w:tc>
                <w:tcPr>
                  <w:tcW w:w="1530" w:type="dxa"/>
                  <w:tcBorders>
                    <w:tl2br w:val="nil"/>
                    <w:tr2bl w:val="nil"/>
                  </w:tcBorders>
                  <w:vAlign w:val="center"/>
                </w:tcPr>
                <w:p>
                  <w:pPr>
                    <w:pStyle w:val="36"/>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生产车间</w:t>
                  </w:r>
                </w:p>
              </w:tc>
              <w:tc>
                <w:tcPr>
                  <w:tcW w:w="46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项目工一间生产车间（一层），设置钻孔、精车、粗车等区域</w:t>
                  </w:r>
                </w:p>
              </w:tc>
              <w:tc>
                <w:tcPr>
                  <w:tcW w:w="1140"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与环评设计一致</w:t>
                  </w:r>
                </w:p>
              </w:tc>
            </w:tr>
            <w:tr>
              <w:tblPrEx>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CellMar>
                  <w:top w:w="0" w:type="dxa"/>
                  <w:left w:w="108" w:type="dxa"/>
                  <w:bottom w:w="0" w:type="dxa"/>
                  <w:right w:w="108" w:type="dxa"/>
                </w:tblCellMar>
              </w:tblPrEx>
              <w:tc>
                <w:tcPr>
                  <w:tcW w:w="1445" w:type="dxa"/>
                  <w:tcBorders>
                    <w:tl2br w:val="nil"/>
                    <w:tr2bl w:val="nil"/>
                  </w:tcBorders>
                  <w:vAlign w:val="center"/>
                </w:tcPr>
                <w:p>
                  <w:pPr>
                    <w:pStyle w:val="36"/>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储运工程</w:t>
                  </w:r>
                </w:p>
              </w:tc>
              <w:tc>
                <w:tcPr>
                  <w:tcW w:w="1530" w:type="dxa"/>
                  <w:tcBorders>
                    <w:tl2br w:val="nil"/>
                    <w:tr2bl w:val="nil"/>
                  </w:tcBorders>
                  <w:vAlign w:val="center"/>
                </w:tcPr>
                <w:p>
                  <w:pPr>
                    <w:pStyle w:val="36"/>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仓库</w:t>
                  </w:r>
                </w:p>
              </w:tc>
              <w:tc>
                <w:tcPr>
                  <w:tcW w:w="46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项目仓库面积为300平方米，分为原料区、成品区、下脚料暂存区</w:t>
                  </w:r>
                </w:p>
              </w:tc>
              <w:tc>
                <w:tcPr>
                  <w:tcW w:w="1140"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r>
            <w:tr>
              <w:tblPrEx>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CellMar>
                  <w:top w:w="0" w:type="dxa"/>
                  <w:left w:w="108" w:type="dxa"/>
                  <w:bottom w:w="0" w:type="dxa"/>
                  <w:right w:w="108" w:type="dxa"/>
                </w:tblCellMar>
              </w:tblPrEx>
              <w:tc>
                <w:tcPr>
                  <w:tcW w:w="1445" w:type="dxa"/>
                  <w:vMerge w:val="restart"/>
                  <w:tcBorders>
                    <w:tl2br w:val="nil"/>
                    <w:tr2bl w:val="nil"/>
                  </w:tcBorders>
                  <w:vAlign w:val="center"/>
                </w:tcPr>
                <w:p>
                  <w:pPr>
                    <w:pStyle w:val="36"/>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辅助工程</w:t>
                  </w:r>
                </w:p>
              </w:tc>
              <w:tc>
                <w:tcPr>
                  <w:tcW w:w="1530" w:type="dxa"/>
                  <w:tcBorders>
                    <w:tl2br w:val="nil"/>
                    <w:tr2bl w:val="nil"/>
                  </w:tcBorders>
                  <w:vAlign w:val="center"/>
                </w:tcPr>
                <w:p>
                  <w:pPr>
                    <w:pStyle w:val="36"/>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办公区</w:t>
                  </w:r>
                </w:p>
              </w:tc>
              <w:tc>
                <w:tcPr>
                  <w:tcW w:w="46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办公区设于车间东侧，面积为50平方米</w:t>
                  </w:r>
                </w:p>
              </w:tc>
              <w:tc>
                <w:tcPr>
                  <w:tcW w:w="1140"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r>
            <w:tr>
              <w:tblPrEx>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CellMar>
                  <w:top w:w="0" w:type="dxa"/>
                  <w:left w:w="108" w:type="dxa"/>
                  <w:bottom w:w="0" w:type="dxa"/>
                  <w:right w:w="108" w:type="dxa"/>
                </w:tblCellMar>
              </w:tblPrEx>
              <w:tc>
                <w:tcPr>
                  <w:tcW w:w="1445"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c>
                <w:tcPr>
                  <w:tcW w:w="153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危废暂存区</w:t>
                  </w:r>
                </w:p>
              </w:tc>
              <w:tc>
                <w:tcPr>
                  <w:tcW w:w="46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危废暂存区设于厂区西北侧，主要用于储存废液压油等危险废物</w:t>
                  </w:r>
                </w:p>
              </w:tc>
              <w:tc>
                <w:tcPr>
                  <w:tcW w:w="1140"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r>
            <w:tr>
              <w:tblPrEx>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PrEx>
              <w:tc>
                <w:tcPr>
                  <w:tcW w:w="1445" w:type="dxa"/>
                  <w:vMerge w:val="restart"/>
                  <w:tcBorders>
                    <w:tl2br w:val="nil"/>
                    <w:tr2bl w:val="nil"/>
                  </w:tcBorders>
                  <w:vAlign w:val="center"/>
                </w:tcPr>
                <w:p>
                  <w:pPr>
                    <w:pStyle w:val="36"/>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公用工程</w:t>
                  </w:r>
                </w:p>
              </w:tc>
              <w:tc>
                <w:tcPr>
                  <w:tcW w:w="1530" w:type="dxa"/>
                  <w:tcBorders>
                    <w:tl2br w:val="nil"/>
                    <w:tr2bl w:val="nil"/>
                  </w:tcBorders>
                  <w:vAlign w:val="center"/>
                </w:tcPr>
                <w:p>
                  <w:pPr>
                    <w:pStyle w:val="36"/>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供电系统</w:t>
                  </w:r>
                </w:p>
              </w:tc>
              <w:tc>
                <w:tcPr>
                  <w:tcW w:w="46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由工业区电网引入</w:t>
                  </w:r>
                </w:p>
              </w:tc>
              <w:tc>
                <w:tcPr>
                  <w:tcW w:w="1140"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r>
            <w:tr>
              <w:tblPrEx>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CellMar>
                  <w:top w:w="0" w:type="dxa"/>
                  <w:left w:w="108" w:type="dxa"/>
                  <w:bottom w:w="0" w:type="dxa"/>
                  <w:right w:w="108" w:type="dxa"/>
                </w:tblCellMar>
              </w:tblPrEx>
              <w:tc>
                <w:tcPr>
                  <w:tcW w:w="1445"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c>
                <w:tcPr>
                  <w:tcW w:w="1530" w:type="dxa"/>
                  <w:tcBorders>
                    <w:tl2br w:val="nil"/>
                    <w:tr2bl w:val="nil"/>
                  </w:tcBorders>
                  <w:vAlign w:val="center"/>
                </w:tcPr>
                <w:p>
                  <w:pPr>
                    <w:pStyle w:val="36"/>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供水系统</w:t>
                  </w:r>
                </w:p>
              </w:tc>
              <w:tc>
                <w:tcPr>
                  <w:tcW w:w="46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由开发区市政供水管网接入，供厂区内生产、生活用水</w:t>
                  </w:r>
                </w:p>
              </w:tc>
              <w:tc>
                <w:tcPr>
                  <w:tcW w:w="1140"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r>
            <w:tr>
              <w:tblPrEx>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CellMar>
                  <w:top w:w="0" w:type="dxa"/>
                  <w:left w:w="108" w:type="dxa"/>
                  <w:bottom w:w="0" w:type="dxa"/>
                  <w:right w:w="108" w:type="dxa"/>
                </w:tblCellMar>
              </w:tblPrEx>
              <w:tc>
                <w:tcPr>
                  <w:tcW w:w="1445"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c>
                <w:tcPr>
                  <w:tcW w:w="1530" w:type="dxa"/>
                  <w:tcBorders>
                    <w:tl2br w:val="nil"/>
                    <w:tr2bl w:val="nil"/>
                  </w:tcBorders>
                  <w:vAlign w:val="center"/>
                </w:tcPr>
                <w:p>
                  <w:pPr>
                    <w:pStyle w:val="36"/>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排水系统</w:t>
                  </w:r>
                </w:p>
              </w:tc>
              <w:tc>
                <w:tcPr>
                  <w:tcW w:w="46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项目废水经化粪池处理后排入工业区污水管网</w:t>
                  </w:r>
                </w:p>
              </w:tc>
              <w:tc>
                <w:tcPr>
                  <w:tcW w:w="1140"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r>
            <w:tr>
              <w:tblPrEx>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PrEx>
              <w:tc>
                <w:tcPr>
                  <w:tcW w:w="1445" w:type="dxa"/>
                  <w:vMerge w:val="restart"/>
                  <w:tcBorders>
                    <w:tl2br w:val="nil"/>
                    <w:tr2bl w:val="nil"/>
                  </w:tcBorders>
                  <w:vAlign w:val="center"/>
                </w:tcPr>
                <w:p>
                  <w:pPr>
                    <w:pStyle w:val="36"/>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环保工程</w:t>
                  </w:r>
                </w:p>
              </w:tc>
              <w:tc>
                <w:tcPr>
                  <w:tcW w:w="1530" w:type="dxa"/>
                  <w:tcBorders>
                    <w:tl2br w:val="nil"/>
                    <w:tr2bl w:val="nil"/>
                  </w:tcBorders>
                  <w:vAlign w:val="center"/>
                </w:tcPr>
                <w:p>
                  <w:pPr>
                    <w:pStyle w:val="36"/>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废水处理站</w:t>
                  </w:r>
                </w:p>
              </w:tc>
              <w:tc>
                <w:tcPr>
                  <w:tcW w:w="46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项目废水主要为生活污水，近期项目废水经“隐化池+SBR”工艺处理后通过高排渠排入龙津溪；远期项目废水经化粪池处理后排入工业区污水管网</w:t>
                  </w:r>
                </w:p>
              </w:tc>
              <w:tc>
                <w:tcPr>
                  <w:tcW w:w="1140"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r>
            <w:tr>
              <w:tblPrEx>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CellMar>
                  <w:top w:w="0" w:type="dxa"/>
                  <w:left w:w="108" w:type="dxa"/>
                  <w:bottom w:w="0" w:type="dxa"/>
                  <w:right w:w="108" w:type="dxa"/>
                </w:tblCellMar>
              </w:tblPrEx>
              <w:tc>
                <w:tcPr>
                  <w:tcW w:w="1445"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c>
                <w:tcPr>
                  <w:tcW w:w="1530" w:type="dxa"/>
                  <w:tcBorders>
                    <w:tl2br w:val="nil"/>
                    <w:tr2bl w:val="nil"/>
                  </w:tcBorders>
                  <w:vAlign w:val="center"/>
                </w:tcPr>
                <w:p>
                  <w:pPr>
                    <w:pStyle w:val="36"/>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噪声处理设施</w:t>
                  </w:r>
                </w:p>
              </w:tc>
              <w:tc>
                <w:tcPr>
                  <w:tcW w:w="46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高噪声源设置减震垫片、消声座等</w:t>
                  </w:r>
                </w:p>
              </w:tc>
              <w:tc>
                <w:tcPr>
                  <w:tcW w:w="1140"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r>
            <w:tr>
              <w:tblPrEx>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CellMar>
                  <w:top w:w="0" w:type="dxa"/>
                  <w:left w:w="108" w:type="dxa"/>
                  <w:bottom w:w="0" w:type="dxa"/>
                  <w:right w:w="108" w:type="dxa"/>
                </w:tblCellMar>
              </w:tblPrEx>
              <w:tc>
                <w:tcPr>
                  <w:tcW w:w="1445"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c>
                <w:tcPr>
                  <w:tcW w:w="1530"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eastAsia="zh-CN"/>
                      <w14:textFill>
                        <w14:solidFill>
                          <w14:schemeClr w14:val="tx1"/>
                        </w14:solidFill>
                      </w14:textFill>
                    </w:rPr>
                    <w:t>固体废物</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处置</w:t>
                  </w:r>
                </w:p>
              </w:tc>
              <w:tc>
                <w:tcPr>
                  <w:tcW w:w="46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一般固废由物资回收公司回收利用</w:t>
                  </w:r>
                </w:p>
              </w:tc>
              <w:tc>
                <w:tcPr>
                  <w:tcW w:w="1140"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r>
            <w:tr>
              <w:tblPrEx>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CellMar>
                  <w:top w:w="0" w:type="dxa"/>
                  <w:left w:w="108" w:type="dxa"/>
                  <w:bottom w:w="0" w:type="dxa"/>
                  <w:right w:w="108" w:type="dxa"/>
                </w:tblCellMar>
              </w:tblPrEx>
              <w:tc>
                <w:tcPr>
                  <w:tcW w:w="1445"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c>
                <w:tcPr>
                  <w:tcW w:w="1530"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c>
                <w:tcPr>
                  <w:tcW w:w="46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危废由有资质单位处理</w:t>
                  </w:r>
                </w:p>
              </w:tc>
              <w:tc>
                <w:tcPr>
                  <w:tcW w:w="1140"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r>
            <w:tr>
              <w:tblPrEx>
                <w:tblBorders>
                  <w:top w:val="single" w:color="auto" w:sz="12" w:space="0"/>
                  <w:left w:val="dashSmallGap" w:color="auto" w:sz="4" w:space="0"/>
                  <w:bottom w:val="single" w:color="auto" w:sz="12" w:space="0"/>
                  <w:right w:val="dashSmallGap" w:color="auto" w:sz="4" w:space="0"/>
                  <w:insideH w:val="single" w:color="auto" w:sz="4" w:space="0"/>
                  <w:insideV w:val="single" w:color="auto" w:sz="4" w:space="0"/>
                </w:tblBorders>
                <w:tblCellMar>
                  <w:top w:w="0" w:type="dxa"/>
                  <w:left w:w="108" w:type="dxa"/>
                  <w:bottom w:w="0" w:type="dxa"/>
                  <w:right w:w="108" w:type="dxa"/>
                </w:tblCellMar>
              </w:tblPrEx>
              <w:tc>
                <w:tcPr>
                  <w:tcW w:w="1445"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c>
                <w:tcPr>
                  <w:tcW w:w="1530"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c>
                <w:tcPr>
                  <w:tcW w:w="46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污泥委托有资质单位处理</w:t>
                  </w:r>
                </w:p>
              </w:tc>
              <w:tc>
                <w:tcPr>
                  <w:tcW w:w="1140" w:type="dxa"/>
                  <w:vMerge w:val="continue"/>
                  <w:tcBorders>
                    <w:tl2br w:val="nil"/>
                    <w:tr2bl w:val="nil"/>
                  </w:tcBorders>
                  <w:vAlign w:val="center"/>
                </w:tcPr>
                <w:p>
                  <w:pPr>
                    <w:pStyle w:val="36"/>
                    <w:jc w:val="center"/>
                    <w:rPr>
                      <w:rFonts w:hint="eastAsia" w:ascii="Times New Roman" w:hAnsi="Times New Roman" w:cs="Times New Roman"/>
                      <w:b w:val="0"/>
                      <w:bCs w:val="0"/>
                      <w:color w:val="000000" w:themeColor="text1"/>
                      <w:sz w:val="21"/>
                      <w:szCs w:val="21"/>
                      <w:vertAlign w:val="baseline"/>
                      <w14:textFill>
                        <w14:solidFill>
                          <w14:schemeClr w14:val="tx1"/>
                        </w14:solidFill>
                      </w14:textFill>
                    </w:rPr>
                  </w:pPr>
                </w:p>
              </w:tc>
            </w:tr>
          </w:tbl>
          <w:p>
            <w:pPr>
              <w:pStyle w:val="36"/>
              <w:jc w:val="center"/>
              <w:rPr>
                <w:rFonts w:hint="eastAsia" w:ascii="Times New Roman" w:hAnsi="Times New Roman" w:cs="Times New Roman"/>
                <w:b/>
                <w:bCs/>
                <w:color w:val="0000FF"/>
                <w:sz w:val="21"/>
                <w:szCs w:val="21"/>
              </w:rPr>
            </w:pPr>
          </w:p>
          <w:p>
            <w:pPr>
              <w:pStyle w:val="36"/>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 xml:space="preserve">表2-2 </w:t>
            </w:r>
            <w:r>
              <w:rPr>
                <w:rFonts w:ascii="Times New Roman" w:hAnsi="Times New Roman" w:cs="Times New Roman"/>
                <w:b/>
                <w:bCs/>
                <w:color w:val="000000" w:themeColor="text1"/>
                <w:sz w:val="21"/>
                <w:szCs w:val="21"/>
                <w14:textFill>
                  <w14:solidFill>
                    <w14:schemeClr w14:val="tx1"/>
                  </w14:solidFill>
                </w14:textFill>
              </w:rPr>
              <w:t>项目</w:t>
            </w:r>
            <w:r>
              <w:rPr>
                <w:rFonts w:hint="eastAsia" w:ascii="Times New Roman" w:hAnsi="Times New Roman" w:cs="Times New Roman"/>
                <w:b/>
                <w:bCs/>
                <w:color w:val="000000" w:themeColor="text1"/>
                <w:sz w:val="21"/>
                <w:szCs w:val="21"/>
                <w14:textFill>
                  <w14:solidFill>
                    <w14:schemeClr w14:val="tx1"/>
                  </w14:solidFill>
                </w14:textFill>
              </w:rPr>
              <w:t>产品方案</w:t>
            </w:r>
          </w:p>
          <w:tbl>
            <w:tblPr>
              <w:tblStyle w:val="25"/>
              <w:tblW w:w="8725" w:type="dxa"/>
              <w:jc w:val="center"/>
              <w:tblLayout w:type="fixed"/>
              <w:tblCellMar>
                <w:top w:w="0" w:type="dxa"/>
                <w:left w:w="108" w:type="dxa"/>
                <w:bottom w:w="0" w:type="dxa"/>
                <w:right w:w="108" w:type="dxa"/>
              </w:tblCellMar>
            </w:tblPr>
            <w:tblGrid>
              <w:gridCol w:w="1735"/>
              <w:gridCol w:w="2310"/>
              <w:gridCol w:w="2295"/>
              <w:gridCol w:w="2385"/>
            </w:tblGrid>
            <w:tr>
              <w:tblPrEx>
                <w:tblCellMar>
                  <w:top w:w="0" w:type="dxa"/>
                  <w:left w:w="108" w:type="dxa"/>
                  <w:bottom w:w="0" w:type="dxa"/>
                  <w:right w:w="108" w:type="dxa"/>
                </w:tblCellMar>
              </w:tblPrEx>
              <w:trPr>
                <w:trHeight w:val="312" w:hRule="atLeast"/>
                <w:jc w:val="center"/>
              </w:trPr>
              <w:tc>
                <w:tcPr>
                  <w:tcW w:w="1735" w:type="dxa"/>
                  <w:vMerge w:val="restart"/>
                  <w:tcBorders>
                    <w:top w:val="single" w:color="000000"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产品名称</w:t>
                  </w:r>
                </w:p>
              </w:tc>
              <w:tc>
                <w:tcPr>
                  <w:tcW w:w="2310" w:type="dxa"/>
                  <w:vMerge w:val="restart"/>
                  <w:tcBorders>
                    <w:top w:val="single" w:color="000000"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原辅材料名称</w:t>
                  </w:r>
                </w:p>
              </w:tc>
              <w:tc>
                <w:tcPr>
                  <w:tcW w:w="2295" w:type="dxa"/>
                  <w:vMerge w:val="restart"/>
                  <w:tcBorders>
                    <w:top w:val="single" w:color="000000" w:sz="4" w:space="0"/>
                    <w:left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环评设计用量</w:t>
                  </w:r>
                </w:p>
              </w:tc>
              <w:tc>
                <w:tcPr>
                  <w:tcW w:w="2385" w:type="dxa"/>
                  <w:vMerge w:val="restart"/>
                  <w:tcBorders>
                    <w:top w:val="single" w:color="000000" w:sz="4" w:space="0"/>
                    <w:left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实际用量</w:t>
                  </w:r>
                </w:p>
              </w:tc>
            </w:tr>
            <w:tr>
              <w:tblPrEx>
                <w:tblCellMar>
                  <w:top w:w="0" w:type="dxa"/>
                  <w:left w:w="108" w:type="dxa"/>
                  <w:bottom w:w="0" w:type="dxa"/>
                  <w:right w:w="108" w:type="dxa"/>
                </w:tblCellMar>
              </w:tblPrEx>
              <w:trPr>
                <w:trHeight w:val="312" w:hRule="atLeast"/>
                <w:jc w:val="center"/>
              </w:trPr>
              <w:tc>
                <w:tcPr>
                  <w:tcW w:w="1735" w:type="dxa"/>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10" w:type="dxa"/>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295" w:type="dxa"/>
                  <w:vMerge w:val="continue"/>
                  <w:tcBorders>
                    <w:left w:val="single" w:color="auto"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85" w:type="dxa"/>
                  <w:vMerge w:val="continue"/>
                  <w:tcBorders>
                    <w:left w:val="single" w:color="auto"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274" w:hRule="atLeast"/>
                <w:jc w:val="center"/>
              </w:trPr>
              <w:tc>
                <w:tcPr>
                  <w:tcW w:w="17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轴套、杆端轴承外套</w:t>
                  </w:r>
                </w:p>
              </w:tc>
              <w:tc>
                <w:tcPr>
                  <w:tcW w:w="2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轴承钢</w:t>
                  </w:r>
                </w:p>
              </w:tc>
              <w:tc>
                <w:tcPr>
                  <w:tcW w:w="2295"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115/a</w:t>
                  </w:r>
                </w:p>
              </w:tc>
              <w:tc>
                <w:tcPr>
                  <w:tcW w:w="23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115/a</w:t>
                  </w:r>
                </w:p>
              </w:tc>
            </w:tr>
            <w:tr>
              <w:tblPrEx>
                <w:tblCellMar>
                  <w:top w:w="0" w:type="dxa"/>
                  <w:left w:w="108" w:type="dxa"/>
                  <w:bottom w:w="0" w:type="dxa"/>
                  <w:right w:w="108" w:type="dxa"/>
                </w:tblCellMar>
              </w:tblPrEx>
              <w:trPr>
                <w:trHeight w:val="90" w:hRule="atLeast"/>
                <w:jc w:val="center"/>
              </w:trPr>
              <w:tc>
                <w:tcPr>
                  <w:tcW w:w="173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45#钢</w:t>
                  </w:r>
                </w:p>
              </w:tc>
              <w:tc>
                <w:tcPr>
                  <w:tcW w:w="229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100t/a</w:t>
                  </w:r>
                </w:p>
              </w:tc>
              <w:tc>
                <w:tcPr>
                  <w:tcW w:w="2385"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100t/a</w:t>
                  </w:r>
                </w:p>
              </w:tc>
            </w:tr>
            <w:tr>
              <w:tblPrEx>
                <w:tblCellMar>
                  <w:top w:w="0" w:type="dxa"/>
                  <w:left w:w="108" w:type="dxa"/>
                  <w:bottom w:w="0" w:type="dxa"/>
                  <w:right w:w="108" w:type="dxa"/>
                </w:tblCellMar>
              </w:tblPrEx>
              <w:trPr>
                <w:trHeight w:val="90" w:hRule="atLeast"/>
                <w:jc w:val="center"/>
              </w:trPr>
              <w:tc>
                <w:tcPr>
                  <w:tcW w:w="173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皂化油</w:t>
                  </w:r>
                </w:p>
              </w:tc>
              <w:tc>
                <w:tcPr>
                  <w:tcW w:w="229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2.1t/a</w:t>
                  </w:r>
                </w:p>
              </w:tc>
              <w:tc>
                <w:tcPr>
                  <w:tcW w:w="2385"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2.1t/a</w:t>
                  </w:r>
                </w:p>
              </w:tc>
            </w:tr>
            <w:tr>
              <w:tblPrEx>
                <w:tblCellMar>
                  <w:top w:w="0" w:type="dxa"/>
                  <w:left w:w="108" w:type="dxa"/>
                  <w:bottom w:w="0" w:type="dxa"/>
                  <w:right w:w="108" w:type="dxa"/>
                </w:tblCellMar>
              </w:tblPrEx>
              <w:trPr>
                <w:trHeight w:val="90" w:hRule="atLeast"/>
                <w:jc w:val="center"/>
              </w:trPr>
              <w:tc>
                <w:tcPr>
                  <w:tcW w:w="1735" w:type="dxa"/>
                  <w:vMerge w:val="continue"/>
                  <w:tcBorders>
                    <w:top w:val="single" w:color="000000" w:sz="4" w:space="0"/>
                    <w:left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310"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液压油</w:t>
                  </w:r>
                </w:p>
              </w:tc>
              <w:tc>
                <w:tcPr>
                  <w:tcW w:w="2295"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1.05t/a</w:t>
                  </w:r>
                </w:p>
              </w:tc>
              <w:tc>
                <w:tcPr>
                  <w:tcW w:w="2385"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1.05t/a</w:t>
                  </w:r>
                </w:p>
              </w:tc>
            </w:tr>
          </w:tbl>
          <w:p>
            <w:pPr>
              <w:pStyle w:val="36"/>
              <w:spacing w:line="240" w:lineRule="auto"/>
              <w:jc w:val="center"/>
              <w:rPr>
                <w:rFonts w:hint="eastAsia" w:ascii="Times New Roman" w:hAnsi="Times New Roman" w:cs="Times New Roman"/>
                <w:b/>
                <w:bCs/>
                <w:color w:val="0000FF"/>
                <w:sz w:val="21"/>
                <w:szCs w:val="21"/>
              </w:rPr>
            </w:pPr>
          </w:p>
          <w:p>
            <w:pPr>
              <w:pStyle w:val="36"/>
              <w:spacing w:line="240" w:lineRule="auto"/>
              <w:jc w:val="center"/>
              <w:rPr>
                <w:rFonts w:hint="eastAsia"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表2-</w:t>
            </w:r>
            <w:r>
              <w:rPr>
                <w:rFonts w:hint="eastAsia" w:ascii="Times New Roman" w:hAnsi="Times New Roman" w:cs="Times New Roman"/>
                <w:b/>
                <w:bCs/>
                <w:color w:val="000000" w:themeColor="text1"/>
                <w:sz w:val="21"/>
                <w:szCs w:val="21"/>
                <w:lang w:val="en-US" w:eastAsia="zh-CN"/>
                <w14:textFill>
                  <w14:solidFill>
                    <w14:schemeClr w14:val="tx1"/>
                  </w14:solidFill>
                </w14:textFill>
              </w:rPr>
              <w:t>3</w:t>
            </w:r>
            <w:r>
              <w:rPr>
                <w:rFonts w:hint="eastAsia" w:ascii="Times New Roman" w:hAnsi="Times New Roman" w:cs="Times New Roman"/>
                <w:b/>
                <w:bCs/>
                <w:color w:val="000000" w:themeColor="text1"/>
                <w:sz w:val="21"/>
                <w:szCs w:val="21"/>
                <w14:textFill>
                  <w14:solidFill>
                    <w14:schemeClr w14:val="tx1"/>
                  </w14:solidFill>
                </w14:textFill>
              </w:rPr>
              <w:t xml:space="preserve"> 主要生产设备一览表</w:t>
            </w:r>
          </w:p>
          <w:tbl>
            <w:tblPr>
              <w:tblStyle w:val="25"/>
              <w:tblW w:w="449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929"/>
              <w:gridCol w:w="3499"/>
              <w:gridCol w:w="1124"/>
              <w:gridCol w:w="1165"/>
              <w:gridCol w:w="116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8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221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71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环评设计数量</w:t>
                  </w:r>
                </w:p>
              </w:tc>
              <w:tc>
                <w:tcPr>
                  <w:tcW w:w="73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实际建设数量</w:t>
                  </w:r>
                </w:p>
              </w:tc>
              <w:tc>
                <w:tcPr>
                  <w:tcW w:w="73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变动情况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8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21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数控车床（CA6150）</w:t>
                  </w:r>
                </w:p>
              </w:tc>
              <w:tc>
                <w:tcPr>
                  <w:tcW w:w="71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15台</w:t>
                  </w:r>
                </w:p>
              </w:tc>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15台</w:t>
                  </w:r>
                </w:p>
              </w:tc>
              <w:tc>
                <w:tcPr>
                  <w:tcW w:w="73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8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21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普通车床（CA6140/CA6150）</w:t>
                  </w:r>
                </w:p>
              </w:tc>
              <w:tc>
                <w:tcPr>
                  <w:tcW w:w="71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5台</w:t>
                  </w:r>
                </w:p>
              </w:tc>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5台</w:t>
                  </w:r>
                </w:p>
              </w:tc>
              <w:tc>
                <w:tcPr>
                  <w:tcW w:w="73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8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21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钻床</w:t>
                  </w:r>
                </w:p>
              </w:tc>
              <w:tc>
                <w:tcPr>
                  <w:tcW w:w="71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4台</w:t>
                  </w:r>
                </w:p>
              </w:tc>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4台</w:t>
                  </w:r>
                </w:p>
              </w:tc>
              <w:tc>
                <w:tcPr>
                  <w:tcW w:w="73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8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21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锯床</w:t>
                  </w:r>
                </w:p>
              </w:tc>
              <w:tc>
                <w:tcPr>
                  <w:tcW w:w="71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3台</w:t>
                  </w:r>
                </w:p>
              </w:tc>
              <w:tc>
                <w:tcPr>
                  <w:tcW w:w="116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3台</w:t>
                  </w:r>
                </w:p>
              </w:tc>
              <w:tc>
                <w:tcPr>
                  <w:tcW w:w="73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bl>
          <w:p>
            <w:pPr>
              <w:pStyle w:val="36"/>
              <w:spacing w:before="200" w:line="360" w:lineRule="auto"/>
              <w:ind w:left="440" w:left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3、验收范围</w:t>
            </w:r>
          </w:p>
          <w:p>
            <w:pPr>
              <w:pStyle w:val="36"/>
              <w:spacing w:line="360" w:lineRule="auto"/>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eastAsia" w:ascii="Times New Roman"/>
                <w:color w:val="000000" w:themeColor="text1"/>
                <w:sz w:val="24"/>
                <w:szCs w:val="24"/>
                <w:lang w:eastAsia="zh-CN"/>
                <w14:textFill>
                  <w14:solidFill>
                    <w14:schemeClr w14:val="tx1"/>
                  </w14:solidFill>
                </w14:textFill>
              </w:rPr>
              <w:t>长泰友联机械厂（普通合伙）年加工30万件轴承配件</w:t>
            </w:r>
            <w:r>
              <w:rPr>
                <w:rFonts w:hint="eastAsia" w:ascii="Times New Roman" w:eastAsia="宋体"/>
                <w:color w:val="000000" w:themeColor="text1"/>
                <w:sz w:val="24"/>
                <w:szCs w:val="24"/>
                <w:lang w:val="en-US" w:eastAsia="zh-CN"/>
                <w14:textFill>
                  <w14:solidFill>
                    <w14:schemeClr w14:val="tx1"/>
                  </w14:solidFill>
                </w14:textFill>
              </w:rPr>
              <w:t>选址于</w:t>
            </w:r>
            <w:r>
              <w:rPr>
                <w:rFonts w:hint="eastAsia" w:ascii="Times New Roman"/>
                <w:color w:val="000000" w:themeColor="text1"/>
                <w:sz w:val="24"/>
                <w:szCs w:val="24"/>
                <w:lang w:eastAsia="zh-CN"/>
                <w14:textFill>
                  <w14:solidFill>
                    <w14:schemeClr w14:val="tx1"/>
                  </w14:solidFill>
                </w14:textFill>
              </w:rPr>
              <w:t>长泰县古农农场银塘街</w:t>
            </w:r>
            <w:r>
              <w:rPr>
                <w:rFonts w:hint="eastAsia" w:ascii="Times New Roman" w:eastAsia="宋体"/>
                <w:color w:val="000000" w:themeColor="text1"/>
                <w:sz w:val="24"/>
                <w:szCs w:val="24"/>
                <w:lang w:val="en-US" w:eastAsia="zh-CN"/>
                <w14:textFill>
                  <w14:solidFill>
                    <w14:schemeClr w14:val="tx1"/>
                  </w14:solidFill>
                </w14:textFill>
              </w:rPr>
              <w:t>，</w:t>
            </w:r>
            <w:r>
              <w:rPr>
                <w:rFonts w:hint="default" w:ascii="Times New Roman" w:eastAsia="宋体"/>
                <w:color w:val="000000" w:themeColor="text1"/>
                <w:sz w:val="24"/>
                <w:szCs w:val="24"/>
                <w:lang w:val="en-US" w:eastAsia="zh-CN"/>
                <w14:textFill>
                  <w14:solidFill>
                    <w14:schemeClr w14:val="tx1"/>
                  </w14:solidFill>
                </w14:textFill>
              </w:rPr>
              <w:t>目前</w:t>
            </w:r>
            <w:r>
              <w:rPr>
                <w:rFonts w:hint="eastAsia" w:ascii="Times New Roman" w:eastAsia="宋体"/>
                <w:color w:val="000000" w:themeColor="text1"/>
                <w:sz w:val="24"/>
                <w:szCs w:val="24"/>
                <w:lang w:val="en-US" w:eastAsia="zh-CN"/>
                <w14:textFill>
                  <w14:solidFill>
                    <w14:schemeClr w14:val="tx1"/>
                  </w14:solidFill>
                </w14:textFill>
              </w:rPr>
              <w:t>本</w:t>
            </w:r>
            <w:r>
              <w:rPr>
                <w:rFonts w:hint="default" w:ascii="Times New Roman" w:eastAsia="宋体"/>
                <w:color w:val="000000" w:themeColor="text1"/>
                <w:sz w:val="24"/>
                <w:szCs w:val="24"/>
                <w:lang w:val="en-US" w:eastAsia="zh-CN"/>
                <w14:textFill>
                  <w14:solidFill>
                    <w14:schemeClr w14:val="tx1"/>
                  </w14:solidFill>
                </w14:textFill>
              </w:rPr>
              <w:t>项目</w:t>
            </w:r>
            <w:r>
              <w:rPr>
                <w:rFonts w:hint="eastAsia" w:ascii="Times New Roman"/>
                <w:color w:val="000000" w:themeColor="text1"/>
                <w:sz w:val="24"/>
                <w:szCs w:val="24"/>
                <w:lang w:val="en-US" w:eastAsia="zh-CN"/>
                <w14:textFill>
                  <w14:solidFill>
                    <w14:schemeClr w14:val="tx1"/>
                  </w14:solidFill>
                </w14:textFill>
              </w:rPr>
              <w:t>已建成并投入试生产</w:t>
            </w:r>
            <w:r>
              <w:rPr>
                <w:rFonts w:hint="eastAsia" w:ascii="Times New Roman" w:eastAsia="宋体"/>
                <w:color w:val="000000" w:themeColor="text1"/>
                <w:sz w:val="24"/>
                <w:szCs w:val="24"/>
                <w:lang w:val="en-US" w:eastAsia="zh-CN"/>
                <w14:textFill>
                  <w14:solidFill>
                    <w14:schemeClr w14:val="tx1"/>
                  </w14:solidFill>
                </w14:textFill>
              </w:rPr>
              <w:t>，故本次验收针对</w:t>
            </w:r>
            <w:r>
              <w:rPr>
                <w:rFonts w:hint="eastAsia" w:ascii="Times New Roman"/>
                <w:color w:val="000000" w:themeColor="text1"/>
                <w:sz w:val="24"/>
                <w:szCs w:val="24"/>
                <w:lang w:eastAsia="zh-CN"/>
                <w14:textFill>
                  <w14:solidFill>
                    <w14:schemeClr w14:val="tx1"/>
                  </w14:solidFill>
                </w14:textFill>
              </w:rPr>
              <w:t>长泰友联机械厂（普通合伙）年加工30万件轴承配件</w:t>
            </w:r>
            <w:r>
              <w:rPr>
                <w:rFonts w:hint="eastAsia" w:ascii="Times New Roman" w:eastAsia="宋体"/>
                <w:color w:val="000000" w:themeColor="text1"/>
                <w:sz w:val="24"/>
                <w:szCs w:val="24"/>
                <w:lang w:val="en-US" w:eastAsia="zh-CN"/>
                <w14:textFill>
                  <w14:solidFill>
                    <w14:schemeClr w14:val="tx1"/>
                  </w14:solidFill>
                </w14:textFill>
              </w:rPr>
              <w:t>进行</w:t>
            </w:r>
            <w:r>
              <w:rPr>
                <w:rFonts w:hint="eastAsia" w:ascii="Times New Roman"/>
                <w:color w:val="000000" w:themeColor="text1"/>
                <w:sz w:val="24"/>
                <w:szCs w:val="24"/>
                <w:lang w:val="en-US" w:eastAsia="zh-CN"/>
                <w14:textFill>
                  <w14:solidFill>
                    <w14:schemeClr w14:val="tx1"/>
                  </w14:solidFill>
                </w14:textFill>
              </w:rPr>
              <w:t>整体</w:t>
            </w:r>
            <w:r>
              <w:rPr>
                <w:rFonts w:hint="eastAsia" w:ascii="Times New Roman" w:eastAsia="宋体"/>
                <w:color w:val="000000" w:themeColor="text1"/>
                <w:sz w:val="24"/>
                <w:szCs w:val="24"/>
                <w:lang w:val="en-US" w:eastAsia="zh-CN"/>
                <w14:textFill>
                  <w14:solidFill>
                    <w14:schemeClr w14:val="tx1"/>
                  </w14:solidFill>
                </w14:textFill>
              </w:rPr>
              <w:t>验收</w:t>
            </w:r>
            <w:r>
              <w:rPr>
                <w:rFonts w:hint="default" w:ascii="Times New Roman" w:eastAsia="宋体"/>
                <w:color w:val="000000" w:themeColor="text1"/>
                <w:sz w:val="24"/>
                <w:szCs w:val="24"/>
                <w:lang w:val="en-US" w:eastAsia="zh-CN"/>
                <w14:textFill>
                  <w14:solidFill>
                    <w14:schemeClr w14:val="tx1"/>
                  </w14:solidFill>
                </w14:textFill>
              </w:rPr>
              <w:t>。</w:t>
            </w:r>
          </w:p>
          <w:p>
            <w:pPr>
              <w:pStyle w:val="36"/>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4、工程变动情况</w:t>
            </w:r>
          </w:p>
          <w:p>
            <w:pPr>
              <w:widowControl w:val="0"/>
              <w:shd w:val="clear"/>
              <w:spacing w:line="360" w:lineRule="auto"/>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根据《中华人民共和国环境影响评价法》和《建设项目环境保护管理条例》有关规定：“建设项目的环境影响评价文件经批准后，建设项目的性质、规模、地点、采用的生产工艺或者防治污染、防止生态破坏的措施发生重大变动的，建设单位应当重新报批建设项目的环境影响评价文件”。</w:t>
            </w:r>
            <w:r>
              <w:rPr>
                <w:rFonts w:hint="eastAsia" w:ascii="Times New Roman" w:hAnsi="Times New Roman" w:eastAsia="宋体" w:cs="Times New Roman"/>
                <w:color w:val="000000" w:themeColor="text1"/>
                <w:sz w:val="24"/>
                <w:szCs w:val="24"/>
                <w:lang w:eastAsia="zh-CN"/>
                <w14:textFill>
                  <w14:solidFill>
                    <w14:schemeClr w14:val="tx1"/>
                  </w14:solidFill>
                </w14:textFill>
              </w:rPr>
              <w:t>本项目在生产过程中新增加一台三色水墨印刷机，所增加的设备主要是应市场和客户需求，印刷不同规格的纸箱。</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设备增加后整体产能以及使用的原辅材料不变。</w:t>
            </w:r>
          </w:p>
          <w:p>
            <w:pPr>
              <w:pStyle w:val="51"/>
              <w:widowControl w:val="0"/>
              <w:spacing w:beforeLines="0" w:afterLines="0" w:line="360" w:lineRule="auto"/>
              <w:ind w:firstLine="480" w:firstLineChars="200"/>
              <w:jc w:val="both"/>
              <w:rPr>
                <w:rFonts w:hint="default" w:ascii="Times New Roman" w:hAnsi="Times New Roman" w:eastAsia="宋体" w:cs="Times New Roman"/>
                <w:b w:val="0"/>
                <w:color w:val="auto"/>
                <w:sz w:val="24"/>
                <w:szCs w:val="24"/>
                <w:lang w:val="en-US" w:eastAsia="zh-CN" w:bidi="ar-SA"/>
              </w:rPr>
            </w:pPr>
            <w:r>
              <w:rPr>
                <w:rFonts w:ascii="Times New Roman" w:hAnsi="Times New Roman" w:eastAsia="宋体" w:cs="Times New Roman"/>
                <w:b w:val="0"/>
                <w:color w:val="auto"/>
                <w:sz w:val="24"/>
                <w:szCs w:val="24"/>
                <w:lang w:val="en-US" w:eastAsia="zh-CN" w:bidi="ar-SA"/>
              </w:rPr>
              <w:t>根据项目实际建设情况，经过与《污染影响类建设项目重大变动清单（试行）》</w:t>
            </w:r>
            <w:r>
              <w:rPr>
                <w:rFonts w:hint="eastAsia" w:ascii="Times New Roman" w:hAnsi="Times New Roman" w:eastAsia="宋体" w:cs="Times New Roman"/>
                <w:b w:val="0"/>
                <w:color w:val="auto"/>
                <w:sz w:val="24"/>
                <w:szCs w:val="24"/>
                <w:lang w:val="en-US" w:eastAsia="zh-CN" w:bidi="ar-SA"/>
              </w:rPr>
              <w:t>（环办环评函[2020]688号）</w:t>
            </w:r>
            <w:r>
              <w:rPr>
                <w:rFonts w:ascii="Times New Roman" w:hAnsi="Times New Roman" w:eastAsia="宋体" w:cs="Times New Roman"/>
                <w:b w:val="0"/>
                <w:color w:val="auto"/>
                <w:sz w:val="24"/>
                <w:szCs w:val="24"/>
                <w:lang w:val="en-US" w:eastAsia="zh-CN" w:bidi="ar-SA"/>
              </w:rPr>
              <w:t>的</w:t>
            </w:r>
            <w:r>
              <w:rPr>
                <w:rFonts w:hint="eastAsia" w:ascii="Times New Roman" w:hAnsi="Times New Roman" w:eastAsia="宋体" w:cs="Times New Roman"/>
                <w:b w:val="0"/>
                <w:color w:val="auto"/>
                <w:sz w:val="24"/>
                <w:szCs w:val="24"/>
                <w:lang w:val="en-US" w:eastAsia="zh-CN" w:bidi="ar-SA"/>
              </w:rPr>
              <w:t>十三条内容逐一对照</w:t>
            </w:r>
            <w:r>
              <w:rPr>
                <w:rFonts w:ascii="Times New Roman" w:hAnsi="Times New Roman" w:eastAsia="宋体" w:cs="Times New Roman"/>
                <w:b w:val="0"/>
                <w:color w:val="auto"/>
                <w:sz w:val="24"/>
                <w:szCs w:val="24"/>
                <w:lang w:val="en-US" w:eastAsia="zh-CN" w:bidi="ar-SA"/>
              </w:rPr>
              <w:t>，最终得出结论：本项目不存在《污染影响类建设项目重大变动清单（试行）》</w:t>
            </w:r>
            <w:r>
              <w:rPr>
                <w:rFonts w:hint="eastAsia" w:ascii="Times New Roman" w:hAnsi="Times New Roman" w:eastAsia="宋体" w:cs="Times New Roman"/>
                <w:b w:val="0"/>
                <w:color w:val="auto"/>
                <w:sz w:val="24"/>
                <w:szCs w:val="24"/>
                <w:lang w:val="en-US" w:eastAsia="zh-CN" w:bidi="ar-SA"/>
              </w:rPr>
              <w:t>（环办环评函[2020]688号）</w:t>
            </w:r>
            <w:r>
              <w:rPr>
                <w:rFonts w:ascii="Times New Roman" w:hAnsi="Times New Roman" w:eastAsia="宋体" w:cs="Times New Roman"/>
                <w:b w:val="0"/>
                <w:color w:val="auto"/>
                <w:sz w:val="24"/>
                <w:szCs w:val="24"/>
                <w:lang w:val="en-US" w:eastAsia="zh-CN" w:bidi="ar-SA"/>
              </w:rPr>
              <w:t>的</w:t>
            </w:r>
            <w:r>
              <w:rPr>
                <w:rFonts w:hint="eastAsia" w:ascii="Times New Roman" w:hAnsi="Times New Roman" w:eastAsia="宋体" w:cs="Times New Roman"/>
                <w:b w:val="0"/>
                <w:color w:val="auto"/>
                <w:sz w:val="24"/>
                <w:szCs w:val="24"/>
                <w:lang w:val="en-US" w:eastAsia="zh-CN" w:bidi="ar-SA"/>
              </w:rPr>
              <w:t>十三条内容的重大变动</w:t>
            </w:r>
            <w:r>
              <w:rPr>
                <w:rFonts w:ascii="Times New Roman" w:hAnsi="Times New Roman" w:eastAsia="宋体" w:cs="Times New Roman"/>
                <w:b w:val="0"/>
                <w:color w:val="auto"/>
                <w:sz w:val="24"/>
                <w:szCs w:val="24"/>
                <w:lang w:val="en-US" w:eastAsia="zh-CN" w:bidi="ar-SA"/>
              </w:rPr>
              <w:t>情形。本项目实际建设情况与《污染影响类建设项目重大变动清单（试行）》</w:t>
            </w:r>
            <w:r>
              <w:rPr>
                <w:rFonts w:hint="eastAsia" w:ascii="Times New Roman" w:hAnsi="Times New Roman" w:eastAsia="宋体" w:cs="Times New Roman"/>
                <w:b w:val="0"/>
                <w:color w:val="auto"/>
                <w:sz w:val="24"/>
                <w:szCs w:val="24"/>
                <w:lang w:val="en-US" w:eastAsia="zh-CN" w:bidi="ar-SA"/>
              </w:rPr>
              <w:t>（环办环评函[2020]688号）十三条内容</w:t>
            </w:r>
            <w:r>
              <w:rPr>
                <w:rFonts w:ascii="Times New Roman" w:hAnsi="Times New Roman" w:eastAsia="宋体" w:cs="Times New Roman"/>
                <w:b w:val="0"/>
                <w:color w:val="auto"/>
                <w:sz w:val="24"/>
                <w:szCs w:val="24"/>
                <w:lang w:val="en-US" w:eastAsia="zh-CN" w:bidi="ar-SA"/>
              </w:rPr>
              <w:t>详细对比情况见下表</w:t>
            </w:r>
            <w:r>
              <w:rPr>
                <w:rFonts w:hint="eastAsia" w:ascii="Times New Roman" w:hAnsi="Times New Roman" w:eastAsia="宋体" w:cs="Times New Roman"/>
                <w:b w:val="0"/>
                <w:color w:val="auto"/>
                <w:sz w:val="24"/>
                <w:szCs w:val="24"/>
                <w:lang w:val="en-US" w:eastAsia="zh-CN" w:bidi="ar-SA"/>
              </w:rPr>
              <w:t>2-4。</w:t>
            </w:r>
          </w:p>
          <w:p>
            <w:pPr>
              <w:pStyle w:val="51"/>
              <w:widowControl w:val="0"/>
              <w:spacing w:beforeLines="0" w:afterLines="0"/>
              <w:ind w:firstLine="422" w:firstLineChars="20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表</w:t>
            </w:r>
            <w:r>
              <w:rPr>
                <w:rFonts w:hint="eastAsia"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 xml:space="preserve"> 项目与《污染影响类建设项目重大变动清单（试行）》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十三条内容</w:t>
            </w:r>
            <w:r>
              <w:rPr>
                <w:rFonts w:ascii="Times New Roman" w:hAnsi="Times New Roman" w:eastAsia="宋体" w:cs="Times New Roman"/>
                <w:color w:val="000000" w:themeColor="text1"/>
                <w:sz w:val="21"/>
                <w:szCs w:val="21"/>
                <w14:textFill>
                  <w14:solidFill>
                    <w14:schemeClr w14:val="tx1"/>
                  </w14:solidFill>
                </w14:textFill>
              </w:rPr>
              <w:t>对照情况一览表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4277"/>
              <w:gridCol w:w="2793"/>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序号</w:t>
                  </w:r>
                </w:p>
              </w:tc>
              <w:tc>
                <w:tcPr>
                  <w:tcW w:w="2442"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《办法》规定不得提出验收合格意见的情形</w:t>
                  </w:r>
                </w:p>
              </w:tc>
              <w:tc>
                <w:tcPr>
                  <w:tcW w:w="1595"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本项目实际建设情况</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是否存在不符合验收情形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建设项目开发、使用功能发生变化的。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项目开发、使用功能均与环评时期一致，未发生变化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生产、处置或储存能力增大30%及以上的。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生产、处置或储存能力均与环评时期一致，未发生变化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生产、处置或储存能力增大，导致废水第一类污染物排放量增加的。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厂区无第一类污染物排放</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重新选址；在原厂址附近调整（包括总平面布置变化）导致环境防护距离范围变化且新增敏感点的。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项目建设地点与环评时期一致，未发生变化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新增产品品种或生产工艺（含主要生产装置、设备及配套设施）、主要原辅材料、燃料变化，导致以下情形之一：</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（1）新增排放污染物种类的（毒性、挥发性降低的除外）；</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（2）位于环境质量不达标区的建设项目相应污染物排放量增加的；</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（3）废水第一类污染物排放量增加的；</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（4）其他污染物排放量增加10%及以上的。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项目无新增产品品种或生产工艺，均与环评时期一致，未发生变化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物料运输、装卸、贮存方式变化，导致大气污染物无组织排放量增加10%及以上的。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物料运输、装卸、贮存方式均与环评时期一致，未发生变化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废气、废水污染防治措施变化，导致第6条中所列情形之一（废气无组织排放改为有组织排放、污染防治措施强化或改进的除外）或大气污染物无组织排放量增加10%及以上的。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废气、废水污染防治措施变化均与环评时期一致，未发生变化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新增废水直接排放口；废水由间接排放改为直接排放；废水直接排放口位置变化，导致不利环境影响加重的。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废水排放口位置与环评时期一致，未发生变化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新增废气主要排放口（废气无组织排放改为有组织排放的除外）；主要排放口排气筒高度降低10%及以上的。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项目废气排气筒，均为无组织排放，与环评设计一致</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噪声、土壤或地下水污染防治措施变化，导致不利环境影响加重的。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噪声、土壤或地下水污染防治措施与环评时期一致，未发生变化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固体废物利用处置方式由委托外单位利用处置改为自行利用处置的（自行利用处置设施单独开展环境影响评价的除外）；固体废物自行处置方式变化，导致不利环境影响加重的。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事故废水暂存能力或拦截设施变化，导致环境风险防范能力弱化或降低的。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事故废水暂存能力或拦截设施与环评时期一致，未发生变化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bl>
          <w:p>
            <w:pPr>
              <w:pStyle w:val="36"/>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5、水平衡：</w:t>
            </w:r>
          </w:p>
          <w:p>
            <w:pPr>
              <w:widowControl w:val="0"/>
              <w:snapToGrid w:val="0"/>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目前本项目生产过程中产生的废水主要为员工生活污水。</w:t>
            </w:r>
          </w:p>
          <w:p>
            <w:pPr>
              <w:widowControl w:val="0"/>
              <w:snapToGrid w:val="0"/>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经核实</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widowControl w:val="0"/>
              <w:snapToGrid w:val="0"/>
              <w:spacing w:line="360" w:lineRule="auto"/>
              <w:ind w:firstLine="480" w:firstLineChars="20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本项目生活用水量为412.5t/a，生活污水排放量为330t/a。生活污水经三级化粪池+SBR一体化处理后经市政污水管网直接排放至银塘污水处理厂处理</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pPr>
              <w:widowControl w:val="0"/>
              <w:snapToGrid w:val="0"/>
              <w:spacing w:line="360" w:lineRule="auto"/>
              <w:jc w:val="center"/>
              <w:rPr>
                <w:rFonts w:hint="default" w:ascii="Times New Roman" w:hAnsi="Times New Roman" w:eastAsia="宋体" w:cs="Times New Roman"/>
                <w:color w:val="0000FF"/>
                <w:sz w:val="24"/>
                <w:szCs w:val="24"/>
                <w:lang w:val="zh-CN" w:eastAsia="zh-CN" w:bidi="ar-SA"/>
              </w:rPr>
            </w:pPr>
            <w:r>
              <w:rPr>
                <w:sz w:val="22"/>
              </w:rPr>
              <mc:AlternateContent>
                <mc:Choice Requires="wps">
                  <w:drawing>
                    <wp:anchor distT="0" distB="0" distL="114300" distR="114300" simplePos="0" relativeHeight="251664384" behindDoc="0" locked="0" layoutInCell="1" allowOverlap="1">
                      <wp:simplePos x="0" y="0"/>
                      <wp:positionH relativeFrom="column">
                        <wp:posOffset>3631565</wp:posOffset>
                      </wp:positionH>
                      <wp:positionV relativeFrom="paragraph">
                        <wp:posOffset>765175</wp:posOffset>
                      </wp:positionV>
                      <wp:extent cx="304800" cy="3810"/>
                      <wp:effectExtent l="0" t="36830" r="0" b="35560"/>
                      <wp:wrapNone/>
                      <wp:docPr id="43" name="直接箭头连接符 43"/>
                      <wp:cNvGraphicFramePr/>
                      <a:graphic xmlns:a="http://schemas.openxmlformats.org/drawingml/2006/main">
                        <a:graphicData uri="http://schemas.microsoft.com/office/word/2010/wordprocessingShape">
                          <wps:wsp>
                            <wps:cNvCnPr/>
                            <wps:spPr>
                              <a:xfrm flipV="1">
                                <a:off x="0" y="0"/>
                                <a:ext cx="304800" cy="38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5.95pt;margin-top:60.25pt;height:0.3pt;width:24pt;z-index:251664384;mso-width-relative:page;mso-height-relative:page;" filled="f" stroked="t" coordsize="21600,21600" o:gfxdata="UEsDBAoAAAAAAIdO4kAAAAAAAAAAAAAAAAAEAAAAZHJzL1BLAwQUAAAACACHTuJAyydkJ9gAAAAL&#10;AQAADwAAAGRycy9kb3ducmV2LnhtbE2PwU7DMBBE70j8g7VIXCpqO1ILCXF6KCCQkCoofIBrmyTC&#10;Xkex24S/Z3uC4848zc7Umzl4dnJj6iMqkEsBzKGJtsdWwefH080dsJQ1Wu0jOgU/LsGmubyodWXj&#10;hO/utM8toxBMlVbQ5TxUnCfTuaDTMg4OyfuKY9CZzrHldtQThQfPCyHWPOge6UOnB7ftnPneH4OC&#10;mT+WL2Jhnh/wdSqs8bu37bRQ6vpKintg2c35D4ZzfaoODXU6xCPaxLyC1a0sCSWjECtgRKxlScrh&#10;rEgJvKn5/w3NL1BLAwQUAAAACACHTuJAxs5iqiQCAAAZBAAADgAAAGRycy9lMm9Eb2MueG1srVPN&#10;bhMxEL4j8Q6W72Q3TamiKJseEsoFQSSg94nXu2vJfxq72eQleAEkTsAJOPXO09DyGIy9IYVy6YE9&#10;WOOZnW/m+2Y8P98ZzbYSg3K24uNRyZm0wtXKthV/++biyZSzEMHWoJ2VFd/LwM8Xjx/Nez+TJ65z&#10;upbICMSGWe8r3sXoZ0URRCcNhJHz0lKwcWgg0hXbokboCd3o4qQsz4reYe3RCRkCeVdDkB8Q8SGA&#10;rmmUkCsnroy0cUBFqSESpdApH/gid9s0UsRXTRNkZLrixDTmk4qQvUlnsZjDrEXwnRKHFuAhLdzj&#10;ZEBZKnqEWkEEdoXqHyijBLrgmjgSzhQDkawIsRiX97R53YGXmQtJHfxR9PD/YMXL7RqZqit+OuHM&#10;gqGJ376/vnn36fbb1x8fr39+/5DsL58ZxUms3ocZ5SztGg+34NeYmO8aNKzRyl/SVmUtiB3bZan3&#10;R6nlLjJBzkl5Oi1pCIJCk+k4D6IYQBKYxxCfS2dYMioeIoJqu7h01tJIHQ4FYPsiRGqDEn8npGTr&#10;LpTWebLasr7iZ5OnqRTQtja0JWQaT4yDbTkD3dIzEBFzy8FpVafshBOw3Sw1si2k5clfkoCq/fVb&#10;Kr2C0A3/5dCwVkZFeilamYoTV/oGdyehfmZrFveexLb0yAZ/BKXv/BEV2FZLnggYWXOmJTWarKEH&#10;bamVNI5hAMnauHqf55L9tDG52cN2p5X8856z71704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J2Qn2AAAAAsBAAAPAAAAAAAAAAEAIAAAACIAAABkcnMvZG93bnJldi54bWxQSwECFAAUAAAACACH&#10;TuJAxs5iqiQCAAAZBAAADgAAAAAAAAABACAAAAAnAQAAZHJzL2Uyb0RvYy54bWxQSwUGAAAAAAYA&#10;BgBZAQAAvQUAAAAA&#10;">
                      <v:fill on="f" focussize="0,0"/>
                      <v:stroke weight="0.5pt" color="#000000 [3213]" miterlimit="8" joinstyle="miter" endarrow="block"/>
                      <v:imagedata o:title=""/>
                      <o:lock v:ext="edit" aspectratio="f"/>
                    </v:shape>
                  </w:pict>
                </mc:Fallback>
              </mc:AlternateContent>
            </w:r>
            <w:r>
              <w:rPr>
                <w:sz w:val="22"/>
              </w:rPr>
              <mc:AlternateContent>
                <mc:Choice Requires="wps">
                  <w:drawing>
                    <wp:anchor distT="0" distB="0" distL="114300" distR="114300" simplePos="0" relativeHeight="251663360" behindDoc="0" locked="0" layoutInCell="1" allowOverlap="1">
                      <wp:simplePos x="0" y="0"/>
                      <wp:positionH relativeFrom="column">
                        <wp:posOffset>2259965</wp:posOffset>
                      </wp:positionH>
                      <wp:positionV relativeFrom="paragraph">
                        <wp:posOffset>765175</wp:posOffset>
                      </wp:positionV>
                      <wp:extent cx="371475" cy="9525"/>
                      <wp:effectExtent l="0" t="36195" r="9525" b="30480"/>
                      <wp:wrapNone/>
                      <wp:docPr id="41" name="直接箭头连接符 41"/>
                      <wp:cNvGraphicFramePr/>
                      <a:graphic xmlns:a="http://schemas.openxmlformats.org/drawingml/2006/main">
                        <a:graphicData uri="http://schemas.microsoft.com/office/word/2010/wordprocessingShape">
                          <wps:wsp>
                            <wps:cNvCnPr/>
                            <wps:spPr>
                              <a:xfrm flipV="1">
                                <a:off x="0" y="0"/>
                                <a:ext cx="371475" cy="95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7.95pt;margin-top:60.25pt;height:0.75pt;width:29.25pt;z-index:251663360;mso-width-relative:page;mso-height-relative:page;" filled="f" stroked="t" coordsize="21600,21600" o:gfxdata="UEsDBAoAAAAAAIdO4kAAAAAAAAAAAAAAAAAEAAAAZHJzL1BLAwQUAAAACACHTuJAqLhcQtkAAAAL&#10;AQAADwAAAGRycy9kb3ducmV2LnhtbE2PQU7DMBBF90jcwRokNlVrJySIhjhdFBBISAhaDuDaQxJh&#10;j6PYbcLtcVewnPlPf97Um9lZdsIx9J4kZCsBDEl701Mr4XP/tLwDFqIio6wnlPCDATbN5UWtKuMn&#10;+sDTLrYslVColIQuxqHiPOgOnQorPyCl7MuPTsU0ji03o5pSubM8F+KWO9VTutCpAbcd6u/d0UmY&#10;+eP6RSz08wO9TrnR9u19Oy2kvL7KxD2wiHP8g+Gsn9ShSU4HfyQTmJVwU5brhKYgFyWwRBRZUQA7&#10;nDe5AN7U/P8PzS9QSwMEFAAAAAgAh07iQJ7rabMlAgAAGQQAAA4AAABkcnMvZTJvRG9jLnhtbK1T&#10;zW4TMRC+I/EOlu9kk7RpyyqbHhLKBUElfu4Tr3fXkv/kcbPJS/ACSJyAE3DqnaeB8hiMvSGFcumB&#10;PazGM57P830zMz/fGs02MqBytuKT0ZgzaYWrlW0r/vrVxaMzzjCCrUE7Kyu+k8jPFw8fzHtfyqnr&#10;nK5lYARisex9xbsYfVkUKDppAEfOS0vBxgUDkY6hLeoAPaEbXUzH45Oid6H2wQmJSN7VEOR7xHAf&#10;QNc0SsiVE1dG2jigBqkhEiXslEe+yNU2jRTxRdOgjExXnJjG/KdHyF6nf7GYQ9kG8J0S+xLgPiXc&#10;4WRAWXr0ALWCCOwqqH+gjBLBoWviSDhTDESyIsRiMr6jzcsOvMxcSGr0B9Hx/8GK55vLwFRd8eMJ&#10;ZxYMdfzm3fWPtx9vvn75/uH657f3yf78iVGcxOo9lpSztJdhf0J/GRLzbRMMa7Tyb2iqshbEjm2z&#10;1LuD1HIbmSDn0enk+HTGmaDQ49l0lrCLASSB+YDxqXSGJaPiGAOototLZy211IXhAdg8wzgk/k5I&#10;ydZdKK3JD6W2rK/4ydGM+i2AprWhKSHTeGKMtuUMdEtrIGLIJaPTqk7ZKRlDu17qwDaQhid/+zL/&#10;upaeXgF2w70cStegNCrSpmhlKn52yIayk1A/sTWLO09iW1qy4XoEpW/9MSiwrZY8ETCy5kxLKjRZ&#10;A2NtSbHUjqEByVq7epf7kv00MVnT/XSnkfzznLNvN3r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i4XELZAAAACwEAAA8AAAAAAAAAAQAgAAAAIgAAAGRycy9kb3ducmV2LnhtbFBLAQIUABQAAAAI&#10;AIdO4kCe62mzJQIAABkEAAAOAAAAAAAAAAEAIAAAACgBAABkcnMvZTJvRG9jLnhtbFBLBQYAAAAA&#10;BgAGAFkBAAC/BQAAAAA=&#10;">
                      <v:fill on="f" focussize="0,0"/>
                      <v:stroke weight="0.5pt" color="#000000 [3213]" miterlimit="8" joinstyle="miter" endarrow="block"/>
                      <v:imagedata o:title=""/>
                      <o:lock v:ext="edit" aspectratio="f"/>
                    </v:shape>
                  </w:pict>
                </mc:Fallback>
              </mc:AlternateContent>
            </w:r>
            <w:r>
              <w:rPr>
                <w:sz w:val="22"/>
              </w:rPr>
              <mc:AlternateContent>
                <mc:Choice Requires="wps">
                  <w:drawing>
                    <wp:anchor distT="0" distB="0" distL="114300" distR="114300" simplePos="0" relativeHeight="251662336" behindDoc="0" locked="0" layoutInCell="1" allowOverlap="1">
                      <wp:simplePos x="0" y="0"/>
                      <wp:positionH relativeFrom="column">
                        <wp:posOffset>1021715</wp:posOffset>
                      </wp:positionH>
                      <wp:positionV relativeFrom="paragraph">
                        <wp:posOffset>755650</wp:posOffset>
                      </wp:positionV>
                      <wp:extent cx="371475" cy="9525"/>
                      <wp:effectExtent l="0" t="36195" r="9525" b="30480"/>
                      <wp:wrapNone/>
                      <wp:docPr id="39" name="直接箭头连接符 39"/>
                      <wp:cNvGraphicFramePr/>
                      <a:graphic xmlns:a="http://schemas.openxmlformats.org/drawingml/2006/main">
                        <a:graphicData uri="http://schemas.microsoft.com/office/word/2010/wordprocessingShape">
                          <wps:wsp>
                            <wps:cNvCnPr/>
                            <wps:spPr>
                              <a:xfrm flipV="1">
                                <a:off x="1873250" y="8147685"/>
                                <a:ext cx="371475" cy="95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0.45pt;margin-top:59.5pt;height:0.75pt;width:29.25pt;z-index:251662336;mso-width-relative:page;mso-height-relative:page;" filled="f" stroked="t" coordsize="21600,21600" o:gfxdata="UEsDBAoAAAAAAIdO4kAAAAAAAAAAAAAAAAAEAAAAZHJzL1BLAwQUAAAACACHTuJAs1jTmdkAAAAL&#10;AQAADwAAAGRycy9kb3ducmV2LnhtbE2PwU7DMBBE70j8g7VIXCpqJ4KKhDg9FBBISBW0/QDXXpKI&#10;eB3FbhP+nuUEt53d0eybaj37XpxxjF0gDdlSgUCywXXUaDjsn2/uQcRkyJk+EGr4xgjr+vKiMqUL&#10;E33geZcawSEUS6OhTWkopYy2RW/iMgxIfPsMozeJ5dhIN5qJw30vc6VW0puO+ENrBty0aL92J69h&#10;lk/Fq1rYl0d6m3Jn++37ZlpofX2VqQcQCef0Z4ZffEaHmpmO4UQuip71ShVs5SEruBQ78qy4BXHk&#10;Ta7uQNaV/N+h/gFQSwMEFAAAAAgAh07iQOJipzgwAgAAJQQAAA4AAABkcnMvZTJvRG9jLnhtbK1T&#10;S44TMRDdI3EHy3vS+ZDPtNKZRcKwQTASn33Fdndb8k+2J51cggsgsQJWwGr2nAaGY1B2hwwMm1nQ&#10;i1bZVfXqvary8nyvFdkJH6Q1FR0NhpQIwyyXpqno61cXjxaUhAiGg7JGVPQgAj1fPXyw7Fwpxra1&#10;igtPEMSEsnMVbWN0ZVEE1goNYWCdMOisrdcQ8eibgnvoEF2rYjwczorOeu68ZSIEvN30TnpE9PcB&#10;tHUtmdhYdqWFiT2qFwoiSgqtdIGuMtu6Fiy+qOsgIlEVRaUx/7EI2tv0L1ZLKBsPrpXsSAHuQ+GO&#10;Jg3SYNET1AYikCsv/4HSknkbbB0HzOqiF5I7gipGwzu9edmCE1kLtjq4U9PD/4Nlz3eXnkhe0ckZ&#10;JQY0Tvzm3fWPtx9vvn75/uH657f3yf78iaAfm9W5UGLO2lz64ym4S5+U72uvSa2ke4NblXuB6sge&#10;D4v5ZDzFhh8quhg9ns8W077tYh8Jw4DJHG+nlDAMOJuOs7foAROw8yE+FVaTZFQ0RA+yaePaGoPj&#10;tb4vBrtnISIlTPydkJKNvZBK5SkrQ7qKziaJCgPc3Bo3Bk3tUH0wDSWgGnwSLPpMP1glecpOOME3&#10;27XyZAdpkfKXRGC1v8JS6Q2Eto/Lrl6rlhFfjZIae3DKhrIVwJ8YTuLBYeMNPrg+PIJUt/fRSzCN&#10;EjQJ0IJTogQSTVbPQRmkkkbTDyNZW8sPeUb5Hrcnkz1uelrPP885+/Z1r3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1jTmdkAAAALAQAADwAAAAAAAAABACAAAAAiAAAAZHJzL2Rvd25yZXYueG1s&#10;UEsBAhQAFAAAAAgAh07iQOJipzgwAgAAJQQAAA4AAAAAAAAAAQAgAAAAKAEAAGRycy9lMm9Eb2Mu&#10;eG1sUEsFBgAAAAAGAAYAWQEAAMoFAAAAAA==&#10;">
                      <v:fill on="f" focussize="0,0"/>
                      <v:stroke weight="0.5pt" color="#000000 [3213]" miterlimit="8" joinstyle="miter" endarrow="block"/>
                      <v:imagedata o:title=""/>
                      <o:lock v:ext="edit" aspectratio="f"/>
                    </v:shape>
                  </w:pict>
                </mc:Fallback>
              </mc:AlternateContent>
            </w:r>
            <w:r>
              <w:rPr>
                <w:sz w:val="22"/>
              </w:rPr>
              <mc:AlternateContent>
                <mc:Choice Requires="wpc">
                  <w:drawing>
                    <wp:inline distT="0" distB="0" distL="114300" distR="114300">
                      <wp:extent cx="5067935" cy="1042035"/>
                      <wp:effectExtent l="6350" t="0" r="0" b="20955"/>
                      <wp:docPr id="37" name="画布 37"/>
                      <wp:cNvGraphicFramePr/>
                      <a:graphic xmlns:a="http://schemas.openxmlformats.org/drawingml/2006/main">
                        <a:graphicData uri="http://schemas.microsoft.com/office/word/2010/wordprocessingCanvas">
                          <wpc:wpc>
                            <wpc:bg/>
                            <wpc:whole/>
                            <wps:wsp>
                              <wps:cNvPr id="38" name="矩形 38"/>
                              <wps:cNvSpPr/>
                              <wps:spPr>
                                <a:xfrm>
                                  <a:off x="0" y="498475"/>
                                  <a:ext cx="7524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新鲜水</w:t>
                                    </w:r>
                                  </w:p>
                                  <w:p>
                                    <w:pPr>
                                      <w:pStyle w:val="2"/>
                                      <w:jc w:val="center"/>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412.5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矩形 40"/>
                              <wps:cNvSpPr/>
                              <wps:spPr>
                                <a:xfrm>
                                  <a:off x="1132205" y="616585"/>
                                  <a:ext cx="856615" cy="2965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 42"/>
                              <wps:cNvSpPr/>
                              <wps:spPr>
                                <a:xfrm>
                                  <a:off x="2360930" y="536575"/>
                                  <a:ext cx="998855" cy="505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三级化粪池+SBR一体化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矩形 45"/>
                              <wps:cNvSpPr/>
                              <wps:spPr>
                                <a:xfrm>
                                  <a:off x="3684905" y="636905"/>
                                  <a:ext cx="1265555" cy="2965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lang w:val="en-US" w:eastAsia="zh-CN"/>
                                      </w:rPr>
                                    </w:pPr>
                                    <w:r>
                                      <w:rPr>
                                        <w:rFonts w:hint="eastAsia" w:ascii="Times New Roman" w:hAnsi="Times New Roman" w:eastAsia="宋体" w:cs="Times New Roman"/>
                                        <w:color w:val="000000" w:themeColor="text1"/>
                                        <w:sz w:val="24"/>
                                        <w:lang w:val="en-US" w:eastAsia="zh-CN"/>
                                        <w14:textFill>
                                          <w14:solidFill>
                                            <w14:schemeClr w14:val="tx1"/>
                                          </w14:solidFill>
                                        </w14:textFill>
                                      </w:rPr>
                                      <w:t>银塘污水处理厂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直接箭头连接符 47"/>
                              <wps:cNvCnPr/>
                              <wps:spPr>
                                <a:xfrm flipV="1">
                                  <a:off x="1331595" y="422275"/>
                                  <a:ext cx="247650" cy="19050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 name="矩形 48"/>
                              <wps:cNvSpPr/>
                              <wps:spPr>
                                <a:xfrm>
                                  <a:off x="1227455" y="132080"/>
                                  <a:ext cx="85661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损耗82.5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矩形 49"/>
                              <wps:cNvSpPr/>
                              <wps:spPr>
                                <a:xfrm>
                                  <a:off x="513080" y="465455"/>
                                  <a:ext cx="85661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412.5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矩形 50"/>
                              <wps:cNvSpPr/>
                              <wps:spPr>
                                <a:xfrm>
                                  <a:off x="1732280" y="474980"/>
                                  <a:ext cx="85661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330</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82.05pt;width:399.05pt;" coordsize="5067935,1042035" editas="canvas" o:gfxdata="UEsDBAoAAAAAAIdO4kAAAAAAAAAAAAAAAAAEAAAAZHJzL1BLAwQUAAAACACHTuJAG48B4tYAAAAF&#10;AQAADwAAAGRycy9kb3ducmV2LnhtbE2PQUvDQBCF74L/YRnBi9hNRGqN2fRQEIsIxVR7nmbHJJid&#10;TbPbpP57Ry96eTC8x3vf5MuT69RIQ2g9G0hnCSjiytuWawNv28frBagQkS12nsnAFwVYFudnOWbW&#10;T/xKYxlrJSUcMjTQxNhnWoeqIYdh5nti8T784DDKOdTaDjhJuev0TZLMtcOWZaHBnlYNVZ/l0RmY&#10;qs2427486c3Vbu35sD6syvdnYy4v0uQBVKRT/AvDD76gQyFMe39kG1RnQB6Jvyre3f0iBbWX0Pw2&#10;BV3k+j998Q1QSwMEFAAAAAgAh07iQNgXUwCLBAAA8xkAAA4AAABkcnMvZTJvRG9jLnhtbO1ZS2ss&#10;RRjdC/6Hovdm+j0PMrmE5CYIF28gPtaV7uoHdFe1VTWZiVv3rtwJCqKCoK7uQhDx18Trz/BUVfck&#10;mRu9cxVDkJnFTL36q/5Ofa9Ts/9k1TbkkklVCz73gj3fI4xnIq95Ofc+eP/knYlHlKY8p43gbO5d&#10;MeU9OXj7rf1lN2OhqESTM0kghKvZspt7ldbdbDRSWcVaqvZExzgmCyFbqtGV5SiXdAnpbTMKfT8d&#10;LYXMOykyphRGj92k10uU2wgURVFn7Fhki5Zx7aRK1lANlVRVd8o7sG9bFCzTz4tCMU2auQdNtf3G&#10;JmhfmO/RwT6dlZJ2VZ31r0C3eYUNnVpac2y6FnVMNSULWb8iqq0zKZQo9F4m2pFTxCICLQJ/A5tT&#10;KRad1aWcLctuDToOagP1fyw2e+/yTJI6n3vR2COctjjxl5//cv3zpwQDQGfZlTMsOpXdeXcm+4HS&#10;9YzCq0K25heqkJXF9WqNK1tpkmEw8dPxNEo8kmEu8OPQR8cin1U4nleey6qnr3lyNGw8Mu+3fp1l&#10;B5tUN0CpfwfUeUU7ZvFXBoMBKDhID9RX31//+jWJJg4ou2iNkpopAPaXEMXTSTzuURhwGiehGbMw&#10;JWgn1j7XutJZJ5U+ZaIlpjH3JMzbWh29fKY0AMXSYYnZmIuTumks0A0nS2Afjn1YfkbhtwX8Bc22&#10;w9krXnqENiUCQqalFalEU+fmcSNIyfLiqJHkkho3sh+jMra7s8zsfUxV5dbZKXfMba0RM5q6nXuT&#10;2083HELMoTmoTEuvLlYQbZoXIr8C5lI4r1VddlJjh2dU6TMq4aZQBYFMP8dX0QjoJ/qWRyohP7lv&#10;3KyHUWDWI0u4PXT/eEEl80jzLoe5TIM4NnHCduJkHKIjb89c3J7hi/ZIAJIAIbPLbNOs183QLKRo&#10;P0K8OzS7YoryDHs7lPvOkXbhCBEzY4eHdhliQ0f1M37eZUa4O8vDhRZFbY/5Bp0ePxi9w+w/t36D&#10;zh3rx0B/XnCR11t/EERh6MPIEQrSIE0mGz4wSdI06H0gnKZJbOd3PrDzARPPHokPhJs+EL6RD4RR&#10;6k8jOBJ8IInSZDMPTKeTSTLkAT+J010e2OWBx5YHYJ9384AN1CYzbZUHonQST4c8EKWmaQuVoRYK&#10;wjTBxxVDu0SwK4YeZTF0w5m+ePH7Z9++/OnH629e/PHbl6b9w3ck7imU9Ykj3vOnodx1HIYUTd19&#10;OJR5PY0KoihIprB+ZIg4DMPNDAGekIIdOEIF30FV7+rxgY4NNKBnCkpLWpeVPhKcgzQI6YrKbXlD&#10;GtnNHoQ25CAQLhTcyxrorGI0f8pzoq86kFWOSwq3XNO6uRnXsqa8bBjK/LnXshwFPgO9MS2H1D3c&#10;wxEOM23C2APW1JuMMn4zRhnAQGITKw29jkJ/Yq2BzoZY+phq6lucdEcXLdn7f9PF6WaZMDX+t3WZ&#10;kASRMWcbBw0Z3KgSdpa9uwhxUfvBg7bJiHcKYHdbt7VlB2NchAymPcZ14C5o21u03R3f393x2ftu&#10;/BcAc7/zZ8PtvnWFm/9qDv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YAAFtDb250ZW50X1R5cGVzXS54bWxQSwECFAAKAAAAAACHTuJAAAAA&#10;AAAAAAAAAAAABgAAAAAAAAAAABAAAADcBQAAX3JlbHMvUEsBAhQAFAAAAAgAh07iQIoUZjzRAAAA&#10;lAEAAAsAAAAAAAAAAQAgAAAAAAYAAF9yZWxzLy5yZWxzUEsBAhQACgAAAAAAh07iQAAAAAAAAAAA&#10;AAAAAAQAAAAAAAAAAAAQAAAAAAAAAGRycy9QSwECFAAUAAAACACHTuJAG48B4tYAAAAFAQAADwAA&#10;AAAAAAABACAAAAAiAAAAZHJzL2Rvd25yZXYueG1sUEsBAhQAFAAAAAgAh07iQNgXUwCLBAAA8xkA&#10;AA4AAAAAAAAAAQAgAAAAJQEAAGRycy9lMm9Eb2MueG1sUEsFBgAAAAAGAAYAWQEAACIIAAAAAA==&#10;">
                      <o:lock v:ext="edit" aspectratio="f"/>
                      <v:shape id="_x0000_s1026" o:spid="_x0000_s1026" style="position:absolute;left:0;top:0;height:1042035;width:5067935;" filled="f" stroked="f" coordsize="21600,21600" o:gfxdata="UEsDBAoAAAAAAIdO4kAAAAAAAAAAAAAAAAAEAAAAZHJzL1BLAwQUAAAACACHTuJAG48B4tYAAAAF&#10;AQAADwAAAGRycy9kb3ducmV2LnhtbE2PQUvDQBCF74L/YRnBi9hNRGqN2fRQEIsIxVR7nmbHJJid&#10;TbPbpP57Ry96eTC8x3vf5MuT69RIQ2g9G0hnCSjiytuWawNv28frBagQkS12nsnAFwVYFudnOWbW&#10;T/xKYxlrJSUcMjTQxNhnWoeqIYdh5nti8T784DDKOdTaDjhJuev0TZLMtcOWZaHBnlYNVZ/l0RmY&#10;qs2427486c3Vbu35sD6syvdnYy4v0uQBVKRT/AvDD76gQyFMe39kG1RnQB6Jvyre3f0iBbWX0Pw2&#10;BV3k+j998Q1QSwMEFAAAAAgAh07iQJ89fJ9BBAAAOBkAAA4AAABkcnMvZTJvRG9jLnhtbO1Z227s&#10;NBR9R+IfrLzTmVznoqZH1ZQipIpTqVyePYkziZTYwfZcykfwA0ggIUBCAp7OK+JrDofPYNlO2ulQ&#10;oTkClQplHtLtS/aOt9e299o9fbFrarJhUlWCp55/MvYI45nIK75KvU8+vnxv6hGlKc9pLThLvVum&#10;vBdn775zum3nLBClqHMmCZRwNd+2qVdq3c5HI5WVrKHqRLSMY7AQsqEaTbka5ZJuob2pR8F4nIy2&#10;QuatFBlTCr0XbtDrNMpjFIqiqDJ2IbJ1w7h2WiWrqcaSVFm1yjuzX1sULNMvi0IxTerUw0q1fcII&#10;5KV5js5O6XwlaVtWWfcJ9JhPOFhTQysOo3eqLqimZC2rv6hqqkwKJQp9kolm5BZiPYJV+OMD3ywo&#10;31C3mAy+7j8Q0r+od7mCD6ByvsXWMitjY1V7t8Xqnxm7KWnL7IaoefbR5lqSKk+9ECjjtAG+3nzz&#10;4+tfvyXo6Gxj0k17LbuWgmgcuytkY/7CZWRn9+829aLZNJrEbhPZTpMMI5M4MH0kw3gMObabPLrX&#10;0EqlP2CiIUZIPQmM2K2jmyulYRVT+ynGIBeXVV2jn85rTrYImWAyBnwyCvAXAB3EpsWSFF95hNYr&#10;RFWmpVWpRF3l5nXztpKr5aKWZEMNFu3PfDnMPZhmbF9QVbp5dsgtsKk0Aq+umtSb7r9dcyjZtmru&#10;XGUkvVvuOv8tRX4Ln0vhoK/a7LKChSuq9DWVwDqWgtNAv8SjqAXWJzrJI6WQXzzWb+YDFBj1yBax&#10;g7V/vqaSeaT+kAMuMz+KTLDZRhRPAjTk/shyf4Svm4WAS3ycO21mRTNf171YSNF8hkPj3FjFEOUZ&#10;bDsvd42FdjGNYydj5+d2GgKspfqK35hw8e1+cHG+1qKo7DYbRznvdP4D6E0kPAH6jXceoB8d3X4d&#10;hX7fD4NgDJAD44mfxNODGJjGSeJ3MRDMkjiy40MMDDFgzrNnEgPBYQwEbxUDQZiMZyECycbAZBof&#10;xMAsDKZDDAz3AHnO9wDO6If3gAWxuYOOugfCZBrN+nsgTIxoE5U+F/KDJMbPJUPDRdBd90My9LyS&#10;ocldEHz16vcvv3/zy8+vv3v1x29fG/mnH0g02bsXFvxRZkCKumo/7dO8jiP4YejHM5clRUEQHDIF&#10;8IQE7MAyBR+xg6ze5eM91+hpQMcUlJa0WpV6ITgHaRDSJZXH8oYktMaehDbkIBDuKHiUNdB5yWj+&#10;Ps+Jvm3BwTiYvpuuaVXf92tZUb6qGdL81GtYjgSfgd4YyXnqEe7hUmoz3KXST5VTHzLK6O0YpQ+A&#10;ROasRD6B9Ho87YoD/Vn6nHLqPU460EVL9v7fdHF2d0K6Ykk0M/F3dJoQ+6GBs0F2ZMjgQZYwIHso&#10;hPxHhRBzIz5IgF217mhk+xMUQnpoT1AOHA5tW0Ubanx/V+NDZmLr6bb42hX/TcV+v23zl/t/eJz9&#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BuPAeLWAAAABQEAAA8AAAAAAAAAAQAgAAAAIgAAAGRy&#10;cy9kb3ducmV2LnhtbFBLAQIUABQAAAAIAIdO4kCfPXyfQQQAADgZAAAOAAAAAAAAAAEAIAAAACUB&#10;AABkcnMvZTJvRG9jLnhtbFBLBQYAAAAABgAGAFkBAADYBwAAAAA=&#10;">
                        <v:fill on="f" focussize="0,0"/>
                        <v:stroke on="f"/>
                        <v:imagedata o:title=""/>
                        <o:lock v:ext="edit" aspectratio="f"/>
                      </v:shape>
                      <v:rect id="_x0000_s1026" o:spid="_x0000_s1026" o:spt="1" style="position:absolute;left:0;top:498475;height:552450;width:752475;v-text-anchor:middle;" filled="f" stroked="t" coordsize="21600,21600" o:gfxdata="UEsDBAoAAAAAAIdO4kAAAAAAAAAAAAAAAAAEAAAAZHJzL1BLAwQUAAAACACHTuJANDi/9NUAAAAF&#10;AQAADwAAAGRycy9kb3ducmV2LnhtbE2PwU7DMBBE70j8g7VI3Kgd1JY2jdNDEAcEEqJw4baNlyQQ&#10;ryPbScrfY7jAZaTVjGbeFvuT7cVEPnSONWQLBYK4dqbjRsPry93VBkSIyAZ7x6ThiwLsy/OzAnPj&#10;Zn6m6RAbkUo45KihjXHIpQx1SxbDwg3EyXt33mJMp2+k8TinctvLa6XW0mLHaaHFgaqW6s/DaDW8&#10;rT7kU1fNOD7e3z6sJu9UtXRaX15kagci0in+heEHP6FDmZiObmQTRK8hPRJ/NXk3200G4phC62UG&#10;sizkf/ryG1BLAwQUAAAACACHTuJALWHFaHICAADcBAAADgAAAGRycy9lMm9Eb2MueG1srVTLbhMx&#10;FN0j8Q+W93SSkJA2yqSKGhUhVTRSQawdjydjyS9sJ5PwM0js+Ag+B/EbHHumbSgsuiCLybXvnXN9&#10;zj2e+eVBK7IXPkhrSjo8G1AiDLeVNNuSfvxw/eqckhCZqZiyRpT0KAK9XLx8MW/dTIxsY1UlPAGI&#10;CbPWlbSJ0c2KIvBGaBbOrBMGydp6zSKWfltUnrVA16oYDQZvitb6ynnLRQjYXXVJ2iP65wDaupZc&#10;rCzfaWFih+qFYhGUQiNdoIt82roWPN7WdRCRqJKCacxPNEG8Sc9iMWezrWeukbw/AnvOEZ5w0kwa&#10;NH2AWrHIyM7Lv6C05N4GW8czbnXREcmKgMVw8ESbu4Y5kblA6uAeRA//D5a/3689kVVJX2PuhmlM&#10;/NfX7z9/fCPYgDqtCzMU3bm171cBYaJ6qL1O/yBBDlnRY0nHF+fj6aSTVRwi4chMJ6O0RzjyE8ST&#10;LHvxiOB8iG+F1SQFJfWYWhaT7W9CRFeU3pekhsZeS6Xy5JQhLUw8mg4wUM5gxxo2QKgdKAWzpYSp&#10;LXzOo8+QwSpZpdcTUPDbzZXyZM+SO/IvnRzt/ihLvVcsNF1dTnUEtYy4Ckrqkp6fvq0MQJJwnVQp&#10;iofNoddvY6sjNPe2M2Nw/Fqiww0Lcc083AcquJ/xFo9aWfCzfURJY/2Xf+2nepgCWUpauBncP++Y&#10;F5SodwZ2uRiOx8n+eTGeTEdY+NPM5jRjdvrKQpIhvgSO5zDVR3Uf1t7qT7jGy9QVKWY4encq94ur&#10;2N0yfAi4WC5zGSzvWLwxd44n8G6Wy120tcxjTkJ16vT6wfR5HP0FTbfqdJ2rHj9K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0OL/01QAAAAUBAAAPAAAAAAAAAAEAIAAAACIAAABkcnMvZG93bnJl&#10;di54bWxQSwECFAAUAAAACACHTuJALWHFaHICAADcBAAADgAAAAAAAAABACAAAAAkAQAAZHJzL2Uy&#10;b0RvYy54bWxQSwUGAAAAAAYABgBZAQAACAY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新鲜水</w:t>
                              </w:r>
                            </w:p>
                            <w:p>
                              <w:pPr>
                                <w:pStyle w:val="2"/>
                                <w:jc w:val="center"/>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412.5</w:t>
                              </w:r>
                            </w:p>
                          </w:txbxContent>
                        </v:textbox>
                      </v:rect>
                      <v:rect id="_x0000_s1026" o:spid="_x0000_s1026" o:spt="1" style="position:absolute;left:1132205;top:616585;height:296545;width:856615;v-text-anchor:middle;" filled="f" stroked="t" coordsize="21600,21600" o:gfxdata="UEsDBAoAAAAAAIdO4kAAAAAAAAAAAAAAAAAEAAAAZHJzL1BLAwQUAAAACACHTuJANDi/9NUAAAAF&#10;AQAADwAAAGRycy9kb3ducmV2LnhtbE2PwU7DMBBE70j8g7VI3Kgd1JY2jdNDEAcEEqJw4baNlyQQ&#10;ryPbScrfY7jAZaTVjGbeFvuT7cVEPnSONWQLBYK4dqbjRsPry93VBkSIyAZ7x6ThiwLsy/OzAnPj&#10;Zn6m6RAbkUo45KihjXHIpQx1SxbDwg3EyXt33mJMp2+k8TinctvLa6XW0mLHaaHFgaqW6s/DaDW8&#10;rT7kU1fNOD7e3z6sJu9UtXRaX15kagci0in+heEHP6FDmZiObmQTRK8hPRJ/NXk3200G4phC62UG&#10;sizkf/ryG1BLAwQUAAAACACHTuJAnor3M3oCAADiBAAADgAAAGRycy9lMm9Eb2MueG1srVTNbhMx&#10;EL4j8Q6W73SzIUnbqJsqalSEVNFKBXF2vN6sJf9hO9mUl0HixkP0cRCvwWfvtg2FQw/k4Iw9s9/4&#10;+2bGZ+d7rchO+CCtqWh5NKJEGG5raTYV/fTx8s0JJSEyUzNljajonQj0fPH61Vnn5mJsW6tq4QlA&#10;TJh3rqJtjG5eFIG3QrNwZJ0wcDbWaxax9Zui9qwDulbFeDSaFZ31tfOWixBwuuqddED0LwG0TSO5&#10;WFm+1cLEHtULxSIohVa6QBf5tk0jeLxumiAiURUF05hXJIG9TmuxOGPzjWeulXy4AnvJFZ5x0kwa&#10;JH2EWrHIyNbLv6C05N4G28QjbnXRE8mKgEU5eqbNbcucyFwgdXCPoof/B8s/7G48kXVFJ5DEMI2K&#10;//r24+f9d4IDqNO5MEfQrbvxwy7ATFT3jdfpHyTIHp1Uvh2PR1NK7io6K2fTk2kvrthHwuE/mc5m&#10;Jdwc/vHpbDrJ/uIJx/kQ3wmrSTIq6lG7LCnbXYWI3Ah9CElpjb2USuX6KUM6XGB8PAIHztCUDZoB&#10;pnYgFsyGEqY26HYefYYMVsk6fZ6Agt+sL5QnO5Z6JP/SzZHuj7CUe8VC28dlV09Qy4iBUFKD4+HX&#10;ygAkydcLlqy4X+8HFde2voPy3vYtGRy/lMhwxUK8YR49CCqY0niNpVEW/OxgUdJa//Vf5ykerQEv&#10;JR16Gty/bJkXlKj3Bk1zWk5SlWPeTKbHY2z8oWd96DFbfWEhSYn3wPFspvioHszGW/0Zw7xMWeFi&#10;hiN3r/KwuYj9rOE54GK5zGFofMfilbl1PIH3tVxuo21kLnMSqldn0A+tn8sxjGmarcN9jnp6mh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Q4v/TVAAAABQEAAA8AAAAAAAAAAQAgAAAAIgAAAGRy&#10;cy9kb3ducmV2LnhtbFBLAQIUABQAAAAIAIdO4kCeivczegIAAOIEAAAOAAAAAAAAAAEAIAAAACQB&#10;AABkcnMvZTJvRG9jLnhtbFBLBQYAAAAABgAGAFkBAAAQBg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生活用水</w:t>
                              </w:r>
                            </w:p>
                          </w:txbxContent>
                        </v:textbox>
                      </v:rect>
                      <v:rect id="_x0000_s1026" o:spid="_x0000_s1026" o:spt="1" style="position:absolute;left:2360930;top:536575;height:505460;width:998855;v-text-anchor:middle;" filled="f" stroked="t" coordsize="21600,21600" o:gfxdata="UEsDBAoAAAAAAIdO4kAAAAAAAAAAAAAAAAAEAAAAZHJzL1BLAwQUAAAACACHTuJANDi/9NUAAAAF&#10;AQAADwAAAGRycy9kb3ducmV2LnhtbE2PwU7DMBBE70j8g7VI3Kgd1JY2jdNDEAcEEqJw4baNlyQQ&#10;ryPbScrfY7jAZaTVjGbeFvuT7cVEPnSONWQLBYK4dqbjRsPry93VBkSIyAZ7x6ThiwLsy/OzAnPj&#10;Zn6m6RAbkUo45KihjXHIpQx1SxbDwg3EyXt33mJMp2+k8TinctvLa6XW0mLHaaHFgaqW6s/DaDW8&#10;rT7kU1fNOD7e3z6sJu9UtXRaX15kagci0in+heEHP6FDmZiObmQTRK8hPRJ/NXk3200G4phC62UG&#10;sizkf/ryG1BLAwQUAAAACACHTuJAGMVPiXwCAADiBAAADgAAAGRycy9lMm9Eb2MueG1srVTNbhMx&#10;EL4j8Q6W73STbZImUTdV1KgIqaKVCuLseL1ZS/7Ddn7KyyBx4yF4HMRr8Nm7bUPh0AM5ODOe2W/8&#10;fZ7x+cVBK7ITPkhrKjo8GVAiDLe1NJuKfvxw9WZKSYjM1ExZIyp6LwK9WLx+db53c1Ha1qpaeAIQ&#10;E+Z7V9E2RjcvisBboVk4sU4YBBvrNYtw/aaoPdsDXauiHAwmxd762nnLRQjYXXVB2iP6lwDappFc&#10;rCzfamFih+qFYhGUQitdoIt82qYRPN40TRCRqIqCacwrisBep7VYnLP5xjPXSt4fgb3kCM84aSYN&#10;ij5CrVhkZOvlX1Bacm+DbeIJt7roiGRFwGI4eKbNXcucyFwgdXCPoof/B8vf7249kXVFRyUlhmnc&#10;+K+v33/++EawAXX2LsyRdOdufe8FmInqofE6/YMEOVS0PJ0MZqfQ9b6ik+HZdDzuxBWHSDjis9Ny&#10;OhxTwhEvZ5PxKMeLJxznQ3wrrCbJqKjH3WVJ2e46RNRG6kNKKmvslVQq358yZI9WLs8GKM8ZmrJB&#10;M8DUDsSC2VDC1AbdzqPPkMEqWafPE1Dwm/Wl8mTHUo/kXzo5yv2RlmqvWGi7vBzqCGoZMRBK6opO&#10;j79WBiBJvk6wZMXD+tCruLb1PZT3tmvJ4PiVRIVrFuIt8+hBUMGUxhssjbLgZ3uLktb6L//aT/lo&#10;DUQp2aOnwf3zlnlBiXpn0DSz4WgE2Jid0fishOOPI+vjiNnqSwtJhngPHM9myo/qwWy81Z8wzMtU&#10;FSFmOGp3KvfOZexmDc8BF8tlTkPjOxavzZ3jCby7y+U22kbma05Cder0+qH183X0Y5pm69jPWU9P&#10;0+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Di/9NUAAAAFAQAADwAAAAAAAAABACAAAAAiAAAA&#10;ZHJzL2Rvd25yZXYueG1sUEsBAhQAFAAAAAgAh07iQBjFT4l8AgAA4gQAAA4AAAAAAAAAAQAgAAAA&#10;JAEAAGRycy9lMm9Eb2MueG1sUEsFBgAAAAAGAAYAWQEAABIGA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三级化粪池+SBR一体化</w:t>
                              </w:r>
                            </w:p>
                          </w:txbxContent>
                        </v:textbox>
                      </v:rect>
                      <v:rect id="_x0000_s1026" o:spid="_x0000_s1026" o:spt="1" style="position:absolute;left:3684905;top:636905;height:296545;width:1265555;v-text-anchor:middle;" filled="f" stroked="t" coordsize="21600,21600" o:gfxdata="UEsDBAoAAAAAAIdO4kAAAAAAAAAAAAAAAAAEAAAAZHJzL1BLAwQUAAAACACHTuJANDi/9NUAAAAF&#10;AQAADwAAAGRycy9kb3ducmV2LnhtbE2PwU7DMBBE70j8g7VI3Kgd1JY2jdNDEAcEEqJw4baNlyQQ&#10;ryPbScrfY7jAZaTVjGbeFvuT7cVEPnSONWQLBYK4dqbjRsPry93VBkSIyAZ7x6ThiwLsy/OzAnPj&#10;Zn6m6RAbkUo45KihjXHIpQx1SxbDwg3EyXt33mJMp2+k8TinctvLa6XW0mLHaaHFgaqW6s/DaDW8&#10;rT7kU1fNOD7e3z6sJu9UtXRaX15kagci0in+heEHP6FDmZiObmQTRK8hPRJ/NXk3200G4phC62UG&#10;sizkf/ryG1BLAwQUAAAACACHTuJA5LmOtHgCAADjBAAADgAAAGRycy9lMm9Eb2MueG1srVRLbtsw&#10;EN0X6B0I7hvZju0kRuTAsOGiQNAESIuuaYqyCPBXkracXqZAdz1Ej1P0Gn2klMRNu8iiWlAzmtEb&#10;vscZXl4dtCJ74YO0pqTDkwElwnBbSbMt6ccP6zfnlITITMWUNaKk9yLQq/nrV5etm4mRbayqhCcA&#10;MWHWupI2MbpZUQTeCM3CiXXCIFhbr1mE67dF5VkLdK2K0WAwLVrrK+ctFyHg66oL0h7RvwTQ1rXk&#10;YmX5TgsTO1QvFIugFBrpAp3n3da14PGmroOIRJUUTGNeUQT2Jq3F/JLNtp65RvJ+C+wlW3jGSTNp&#10;UPQRasUiIzsv/4LSknsbbB1PuNVFRyQrAhbDwTNt7hrmROYCqYN7FD38P1j+fn/riaxKOp5QYpjG&#10;if/6+v3nj28EH6BO68IMSXfu1vdegJmoHmqv0xskyKGkp9Pz8cUAIPclnZ5Ok5nFFYdIOOLD0XSC&#10;hxKOhNHFdNLhF09Azof4VlhNklFSj8PLmrL9dYjAQupDSqpr7FoqlWsoQ9pU4WyAc+UMXVmjG2Bq&#10;B2bBbClhaot259FnyGCVrNLvCSj47WapPNmz1CT5SVtHuT/SUu0VC02Xl0MdQy0jJkJJXdLz47+V&#10;AUjSr1MsWfGwOQA6mRtb3UN6b7ueDI6vJSpcsxBvmUcTggrGNN5gqZUFP9tblDTWf/nX95SP3kCU&#10;khZNDe6fd8wLStQ7g665GI7HaQqyM56cjeD448jmOGJ2emkhyRAXguPZTPlRPZi1t/oTpnmRqiLE&#10;DEftTuXeWcZu2HAfcLFY5DR0vmPx2tw5nsC7s1zsoq1lPuYndXr90Pv5OPo5TcN17Oesp7tp/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0OL/01QAAAAUBAAAPAAAAAAAAAAEAIAAAACIAAABkcnMv&#10;ZG93bnJldi54bWxQSwECFAAUAAAACACHTuJA5LmOtHgCAADjBAAADgAAAAAAAAABACAAAAAkAQAA&#10;ZHJzL2Uyb0RvYy54bWxQSwUGAAAAAAYABgBZAQAADgYAAAAA&#10;">
                        <v:fill on="f" focussize="0,0"/>
                        <v:stroke weight="1pt" color="#000000 [3213]" miterlimit="8" joinstyle="miter"/>
                        <v:imagedata o:title=""/>
                        <o:lock v:ext="edit" aspectratio="f"/>
                        <v:textbox>
                          <w:txbxContent>
                            <w:p>
                              <w:pPr>
                                <w:rPr>
                                  <w:rFonts w:hint="default"/>
                                  <w:lang w:val="en-US" w:eastAsia="zh-CN"/>
                                </w:rPr>
                              </w:pPr>
                              <w:r>
                                <w:rPr>
                                  <w:rFonts w:hint="eastAsia" w:ascii="Times New Roman" w:hAnsi="Times New Roman" w:eastAsia="宋体" w:cs="Times New Roman"/>
                                  <w:color w:val="000000" w:themeColor="text1"/>
                                  <w:sz w:val="24"/>
                                  <w:lang w:val="en-US" w:eastAsia="zh-CN"/>
                                  <w14:textFill>
                                    <w14:solidFill>
                                      <w14:schemeClr w14:val="tx1"/>
                                    </w14:solidFill>
                                  </w14:textFill>
                                </w:rPr>
                                <w:t>银塘污水处理厂</w:t>
                              </w:r>
                            </w:p>
                          </w:txbxContent>
                        </v:textbox>
                      </v:rect>
                      <v:shape id="_x0000_s1026" o:spid="_x0000_s1026" o:spt="32" type="#_x0000_t32" style="position:absolute;left:1331595;top:422275;flip:y;height:190500;width:247650;" filled="f" stroked="t" coordsize="21600,21600" o:gfxdata="UEsDBAoAAAAAAIdO4kAAAAAAAAAAAAAAAAAEAAAAZHJzL1BLAwQUAAAACACHTuJAuiNuGtYAAAAF&#10;AQAADwAAAGRycy9kb3ducmV2LnhtbE2PwW7CMBBE75X6D9ZW6q04QVUKIQ4HEEKi7aG0B45OvCQR&#10;8TqyDYG/77aX9jLSakYzb4vl1fbigj50jhSkkwQEUu1MR42Cr8/N0wxEiJqM7h2hghsGWJb3d4XO&#10;jRvpAy/72AguoZBrBW2MQy5lqFu0OkzcgMTe0XmrI5++kcbrkcttL6dJkkmrO+KFVg+4arE+7c9W&#10;wea9WtHpdT6+rcnvjtRl28M2U+rxIU0WICJe418YfvAZHUpmqtyZTBC9An4k/ip7L/NZCqLiUPac&#10;giwL+Z++/AZQSwMEFAAAAAgAh07iQN1FQdQyAgAAJQQAAA4AAABkcnMvZTJvRG9jLnhtbK1TzY7T&#10;MBC+I/EOlu80abptd6Ome2hZLghW4uc+dZzEkv9ke5v2JXgBJE7AaeG0d54Glsdg7JQuLJc9kEM0&#10;9ni++b75WZzvlCRb7rwwuqLjUU4J18zUQrcVffP64skpJT6ArkEazSu6556eLx8/WvS25IXpjKy5&#10;IwiifdnbinYh2DLLPOu4Aj8ylmt0NsYpCHh0bVY76BFdyazI81nWG1dbZxj3Hm/Xg5MeEN1DAE3T&#10;CMbXhl0prsOA6riEgJJ8J6yny8S2aTgLL5vG80BkRVFpSH9MgvYm/rPlAsrWge0EO1CAh1C4p0mB&#10;0Jj0CLWGAOTKiX+glGDOeNOEETMqG4SkiqCKcX6vNq86sDxpwVJ7eyy6/3+w7MX20hFRV/RkTokG&#10;hR2/fX/z492n269fvn+8+fntQ7SvPxP0Y7F660uMWelLdzh5e+mi8l3jFGmksG9xqlItUB3Z4WEy&#10;GU/PppTsMUlRFPPpUHW+C4ShvziZz6bYD4b+8Vk+zVNXsgExIlvnwzNuFIlGRX1wINourIzW2F/j&#10;hmywfe4DcsLA3wExWJsLIWVqs9Skr+hskpIBjm6DI4N5lUX5XreUgGxxJ1hwib83UtQxOuJ4125W&#10;0pEtxElKX5SB2f56FlOvwXfDuxqtQawSAbdGClXR02MwlB2H+qmuSdhbLLzGhRueBxDy7j44AbqV&#10;nEb+iteUSI48ozVQkBqZxNYMzYjWxtT71KN0j9OTuB4mPY7nn+cUfbfd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6I24a1gAAAAUBAAAPAAAAAAAAAAEAIAAAACIAAABkcnMvZG93bnJldi54bWxQ&#10;SwECFAAUAAAACACHTuJA3UVB1DICAAAlBAAADgAAAAAAAAABACAAAAAlAQAAZHJzL2Uyb0RvYy54&#10;bWxQSwUGAAAAAAYABgBZAQAAyQUAAAAA&#10;">
                        <v:fill on="f" focussize="0,0"/>
                        <v:stroke weight="0.5pt" color="#000000 [3213]" miterlimit="8" joinstyle="miter" dashstyle="dash" endarrow="block"/>
                        <v:imagedata o:title=""/>
                        <o:lock v:ext="edit" aspectratio="f"/>
                      </v:shape>
                      <v:rect id="_x0000_s1026" o:spid="_x0000_s1026" o:spt="1" style="position:absolute;left:1227455;top:132080;height:296545;width:856615;v-text-anchor:middle;" filled="f" stroked="f" coordsize="21600,21600" o:gfxdata="UEsDBAoAAAAAAIdO4kAAAAAAAAAAAAAAAAAEAAAAZHJzL1BLAwQUAAAACACHTuJA9yhkq9MAAAAF&#10;AQAADwAAAGRycy9kb3ducmV2LnhtbE2PQUvEMBCF74L/IYzgzU0rsna7TRcURGQP4qr3NJlti82k&#10;JGm7++8dvejlwfAe731T7U5uEDOG2HtSkK8yEEjG255aBR/vTzcFiJg0WT14QgVnjLCrLy8qXVq/&#10;0BvOh9QKLqFYagVdSmMpZTQdOh1XfkRi7+iD04nP0Eob9MLlbpC3WbaWTvfEC50e8bFD83WYnIJP&#10;f3xYnGnoZT6/9tPzPhhT7JW6vsqzLYiEp/QXhh98RoeamRo/kY1iUMCPpF9l735T5CAaDq3vcpB1&#10;Jf/T199QSwMEFAAAAAgAh07iQKt4xAtpAgAAuQQAAA4AAABkcnMvZTJvRG9jLnhtbK1UzW4TMRC+&#10;I/EOlu90N0uStlE2VdSoCCmilQri7Hi9WUv+w3ayCS+DxI2H4HEQr8Hn3W0bFQ49kIMz9ky+mfnm&#10;m8yvDlqRvfBBWlPS0VlOiTDcVtJsS/rp482bC0pCZKZiyhpR0qMI9Grx+tW8dTNR2MaqSngCEBNm&#10;rStpE6ObZVngjdAsnFknDJy19ZpFXP02qzxrga5VVuT5NGutr5y3XISA11XvpAOifwmgrWvJxcry&#10;nRYm9qheKBbRUmikC3TRVVvXgsfbug4iElVSdBq7E0lgb9KZLeZstvXMNZIPJbCXlPCsJ82kQdJH&#10;qBWLjOy8/AtKS+5tsHU841ZnfSMdI+hilD/j5r5hTnS9gOrgHkkP/w+Wf9jfeSKrko4xd8M0Jv77&#10;249fP78TPICd1oUZgu7dnR9uAWZq9VB7nb7RBDlASUVxPp5MKDnCflvkFwO54hAJh/9iMp2O4Obw&#10;F5fTyXiS4LMnHOdDfCesJskoqcfsOkrZfh1iH/oQktIaeyOVwjubKUPaVMB5jrFyBlHWEANM7dBY&#10;MFtKmNpC7Tz6DvLktwlyxUJD9gwSCVbJqheFlhE6V1Kj9Dx9hnKVQdWJlZ6HZMXD5jCQs7HVEYR6&#10;2ystOH4jkWHNQrxjHtJChVi+eIujVhZl28GipLH+67/eUzwmDi8lLaSKMr/smBeUqPcGWrgcjcdJ&#10;291lPDkvcPGnns2px+z0tUWrI6y5452Z4qN6MGtv9Wfs6DJlhYsZjtw9ecPlOvYrhC3nYrnswqBn&#10;x+La3DuewPsRLXfR1rKbXiKqZ2fgD4ru5j9sX1qZ03sX9fSPs/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yhkq9MAAAAFAQAADwAAAAAAAAABACAAAAAiAAAAZHJzL2Rvd25yZXYueG1sUEsBAhQA&#10;FAAAAAgAh07iQKt4xAtpAgAAuQQAAA4AAAAAAAAAAQAgAAAAIgEAAGRycy9lMm9Eb2MueG1sUEsF&#10;BgAAAAAGAAYAWQEAAP0FA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损耗82.5</w:t>
                              </w:r>
                            </w:p>
                          </w:txbxContent>
                        </v:textbox>
                      </v:rect>
                      <v:rect id="_x0000_s1026" o:spid="_x0000_s1026" o:spt="1" style="position:absolute;left:513080;top:465455;height:296545;width:856615;v-text-anchor:middle;" filled="f" stroked="f" coordsize="21600,21600" o:gfxdata="UEsDBAoAAAAAAIdO4kAAAAAAAAAAAAAAAAAEAAAAZHJzL1BLAwQUAAAACACHTuJA9yhkq9MAAAAF&#10;AQAADwAAAGRycy9kb3ducmV2LnhtbE2PQUvEMBCF74L/IYzgzU0rsna7TRcURGQP4qr3NJlti82k&#10;JGm7++8dvejlwfAe731T7U5uEDOG2HtSkK8yEEjG255aBR/vTzcFiJg0WT14QgVnjLCrLy8qXVq/&#10;0BvOh9QKLqFYagVdSmMpZTQdOh1XfkRi7+iD04nP0Eob9MLlbpC3WbaWTvfEC50e8bFD83WYnIJP&#10;f3xYnGnoZT6/9tPzPhhT7JW6vsqzLYiEp/QXhh98RoeamRo/kY1iUMCPpF9l735T5CAaDq3vcpB1&#10;Jf/T199QSwMEFAAAAAgAh07iQO8kakdpAgAAuAQAAA4AAABkcnMvZTJvRG9jLnhtbK1UzW4TMRC+&#10;I/EOlu9kNyGbNlE3VdQoCKmilQri7Hi9WUv+w3ayKS+DxI2H4HEQr8Hn3W0bFQ49kIMz45l8M/P5&#10;m1xcHrUiB+GDtKak41FOiTDcVtLsSvrp4+bNOSUhMlMxZY0o6b0I9HL5+tVF6xZiYhurKuEJQExY&#10;tK6kTYxukWWBN0KzMLJOGARr6zWLcP0uqzxrga5VNsnzWdZaXzlvuQgBt+s+SAdE/xJAW9eSi7Xl&#10;ey1M7FG9UCxipNBIF+iy67auBY83dR1EJKqkmDR2J4rA3qYzW16wxc4z10g+tMBe0sKzmTSTBkUf&#10;odYsMrL38i8oLbm3wdZxxK3O+kE6RjDFOH/GzV3DnOhmAdXBPZIe/h8s/3C49URWJZ3OKTFM48V/&#10;f/vx6+d3gguw07qwQNKdu/WDF2CmUY+11+kbQ5BjSYvx2/wctN4DalZMi6LnVhwj4QifF7PZuKCE&#10;Iz6Zp4QUz55gnA/xnbCaJKOkHk/XMcoO1yH2qQ8pqaqxG6kU7tlCGdJCyZOzHOU5gyZraAGmdpgr&#10;mB0lTO0gdh59B3ny2wS5ZqEhBwaFBKtk1fetZYTMldRoPU+foV1l0HUipachWfG4PQ7cbG11Dz69&#10;7YUWHN9IVLhmId4yD2WhQ+xevMFRK4u27WBR0lj/9V/3KR8PjiglLZSKNr/smReUqPcGUpiPp1PA&#10;xs6ZFmcTOP40sj2NmL2+shh1jC13vDNTflQPZu2t/owVXaWqCDHDUbsnb3CuYr9BWHIuVqsuDXJ2&#10;LF6bO8cTeP9Eq320texeLxHVszPwB0F37z8sX9qYU7/LevrDW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yhkq9MAAAAFAQAADwAAAAAAAAABACAAAAAiAAAAZHJzL2Rvd25yZXYueG1sUEsBAhQA&#10;FAAAAAgAh07iQO8kakdpAgAAuAQAAA4AAAAAAAAAAQAgAAAAIgEAAGRycy9lMm9Eb2MueG1sUEsF&#10;BgAAAAAGAAYAWQEAAP0FA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412.5</w:t>
                              </w:r>
                            </w:p>
                          </w:txbxContent>
                        </v:textbox>
                      </v:rect>
                      <v:rect id="_x0000_s1026" o:spid="_x0000_s1026" o:spt="1" style="position:absolute;left:1732280;top:474980;height:296545;width:856615;v-text-anchor:middle;" filled="f" stroked="f" coordsize="21600,21600" o:gfxdata="UEsDBAoAAAAAAIdO4kAAAAAAAAAAAAAAAAAEAAAAZHJzL1BLAwQUAAAACACHTuJA9yhkq9MAAAAF&#10;AQAADwAAAGRycy9kb3ducmV2LnhtbE2PQUvEMBCF74L/IYzgzU0rsna7TRcURGQP4qr3NJlti82k&#10;JGm7++8dvejlwfAe731T7U5uEDOG2HtSkK8yEEjG255aBR/vTzcFiJg0WT14QgVnjLCrLy8qXVq/&#10;0BvOh9QKLqFYagVdSmMpZTQdOh1XfkRi7+iD04nP0Eob9MLlbpC3WbaWTvfEC50e8bFD83WYnIJP&#10;f3xYnGnoZT6/9tPzPhhT7JW6vsqzLYiEp/QXhh98RoeamRo/kY1iUMCPpF9l735T5CAaDq3vcpB1&#10;Jf/T199QSwMEFAAAAAgAh07iQKQPjaJoAgAAuQQAAA4AAABkcnMvZTJvRG9jLnhtbK1UzW4TMRC+&#10;I/EOlu90kyU/bdRNFTUqQqpopYI4O15v1pL/sJ1syssgceMheBzEa/DZu22jwqEHcnBmPJNvZj5/&#10;k/OLg1ZkL3yQ1lR0fDKiRBhua2m2Ff308erNKSUhMlMzZY2o6L0I9GL5+tV55xaitK1VtfAEICYs&#10;OlfRNka3KIrAW6FZOLFOGAQb6zWLcP22qD3rgK5VUY5Gs6KzvnbechECbtd9kA6I/iWAtmkkF2vL&#10;d1qY2KN6oVjESKGVLtBl7rZpBI83TRNEJKqimDTmE0Vgb9JZLM/ZYuuZayUfWmAvaeHZTJpJg6KP&#10;UGsWGdl5+ReUltzbYJt4wq0u+kEyI5hiPHrGzV3LnMizgOrgHkkP/w+Wf9jfeiLrik5BiWEaL/77&#10;249fP78TXICdzoUFku7crR+8ADONemi8Tt8YghygpPnbsjwFyH1FJ/PJGcxMrjhEwhE/nc5m4ykl&#10;HPHybDadTFO8eMJxPsR3wmqSjIp6vF2mlO2vQ+xTH1JSWWOvpFK5hDKkQwPlfITynEGUDcQAUzsM&#10;FsyWEqa2UDuPPkMe/TZBrlloyZ5BIsEqWfd9axmhcyU1Wh+lz9CuMug6sdLzkKx42BzQSDI3tr4H&#10;od72SguOX0lUuGYh3jIPaaFDLF+8wdEoi7btYFHSWv/1X/cpHy+OKCUdpIo2v+yYF5So9wZaOBtP&#10;JoCN2ZlM5yUcfxzZHEfMTl9ajDrGmjuezZQf1YPZeKs/Y0dXqSpCzHDU7skbnMvYrxC2nIvVKqdB&#10;z47Fa3PneALvn2i1i7aR+fWe2Bn4g6Lz+w/bl1bm2M9ZT/84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3KGSr0wAAAAUBAAAPAAAAAAAAAAEAIAAAACIAAABkcnMvZG93bnJldi54bWxQSwECFAAU&#10;AAAACACHTuJApA+NomgCAAC5BAAADgAAAAAAAAABACAAAAAiAQAAZHJzL2Uyb0RvYy54bWxQSwUG&#10;AAAAAAYABgBZAQAA/AU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330</w:t>
                              </w:r>
                            </w:p>
                          </w:txbxContent>
                        </v:textbox>
                      </v:rect>
                      <w10:wrap type="none"/>
                      <w10:anchorlock/>
                    </v:group>
                  </w:pict>
                </mc:Fallback>
              </mc:AlternateContent>
            </w:r>
          </w:p>
          <w:p>
            <w:pPr>
              <w:pStyle w:val="4"/>
              <w:widowControl w:val="0"/>
              <w:jc w:val="center"/>
              <w:rPr>
                <w:rFonts w:hint="eastAsia"/>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18"/>
                <w:lang w:val="zh-CN"/>
                <w14:textFill>
                  <w14:solidFill>
                    <w14:schemeClr w14:val="tx1"/>
                  </w14:solidFill>
                </w14:textFill>
              </w:rPr>
              <w:t>图</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1</w:t>
            </w:r>
            <w:r>
              <w:rPr>
                <w:rFonts w:hint="default" w:ascii="Times New Roman" w:hAnsi="Times New Roman" w:eastAsia="宋体" w:cs="Times New Roman"/>
                <w:b/>
                <w:color w:val="000000" w:themeColor="text1"/>
                <w:sz w:val="21"/>
                <w:szCs w:val="18"/>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水平衡图（t/a）</w:t>
            </w:r>
          </w:p>
          <w:p>
            <w:pPr>
              <w:pStyle w:val="23"/>
              <w:widowControl w:val="0"/>
              <w:ind w:firstLine="450" w:firstLineChars="200"/>
              <w:jc w:val="both"/>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6、主要工艺流程及产污环节</w:t>
            </w:r>
          </w:p>
          <w:p>
            <w:pPr>
              <w:pStyle w:val="23"/>
              <w:widowControl w:val="0"/>
              <w:ind w:firstLine="0" w:firstLineChars="0"/>
              <w:jc w:val="left"/>
              <w:rPr>
                <w:rFonts w:ascii="Times New Roman" w:hAnsi="Times New Roman" w:eastAsia="宋体" w:cs="Times New Roman"/>
                <w:b/>
                <w:bCs/>
                <w:color w:val="0000FF"/>
                <w:sz w:val="21"/>
                <w:szCs w:val="21"/>
              </w:rPr>
            </w:pPr>
          </w:p>
          <w:p>
            <w:pPr>
              <w:keepNext/>
              <w:keepLines/>
              <w:pageBreakBefore w:val="0"/>
              <w:widowControl/>
              <w:kinsoku/>
              <w:wordWrap/>
              <w:overflowPunct/>
              <w:topLinePunct w:val="0"/>
              <w:autoSpaceDE/>
              <w:autoSpaceDN/>
              <w:bidi w:val="0"/>
              <w:adjustRightInd/>
              <w:snapToGrid/>
              <w:spacing w:before="0" w:beforeLines="0" w:after="0" w:afterLines="0" w:line="24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bookmarkStart w:id="1" w:name="_Toc29387767"/>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轴套</w:t>
            </w:r>
            <w:r>
              <w:rPr>
                <w:rFonts w:hint="eastAsia" w:ascii="Times New Roman" w:hAnsi="Times New Roman" w:eastAsia="宋体" w:cs="Times New Roman"/>
                <w:color w:val="000000" w:themeColor="text1"/>
                <w:sz w:val="24"/>
                <w:szCs w:val="24"/>
                <w:lang w:eastAsia="zh-CN"/>
                <w14:textFill>
                  <w14:solidFill>
                    <w14:schemeClr w14:val="tx1"/>
                  </w14:solidFill>
                </w14:textFill>
              </w:rPr>
              <w:t>生产</w:t>
            </w:r>
            <w:r>
              <w:rPr>
                <w:rFonts w:hint="default" w:ascii="Times New Roman" w:hAnsi="Times New Roman" w:eastAsia="宋体" w:cs="Times New Roman"/>
                <w:color w:val="000000" w:themeColor="text1"/>
                <w:sz w:val="24"/>
                <w:szCs w:val="24"/>
                <w:lang w:eastAsia="zh-CN"/>
                <w14:textFill>
                  <w14:solidFill>
                    <w14:schemeClr w14:val="tx1"/>
                  </w14:solidFill>
                </w14:textFill>
              </w:rPr>
              <w:t>工艺流程及产污环节</w:t>
            </w:r>
          </w:p>
          <w:p>
            <w:pPr>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FF"/>
              </w:rPr>
            </w:pPr>
            <w:r>
              <w:drawing>
                <wp:inline distT="0" distB="0" distL="114300" distR="114300">
                  <wp:extent cx="5461000" cy="2941955"/>
                  <wp:effectExtent l="0" t="0" r="6350" b="1079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1"/>
                          <a:srcRect b="3043"/>
                          <a:stretch>
                            <a:fillRect/>
                          </a:stretch>
                        </pic:blipFill>
                        <pic:spPr>
                          <a:xfrm>
                            <a:off x="0" y="0"/>
                            <a:ext cx="5461000" cy="2941955"/>
                          </a:xfrm>
                          <a:prstGeom prst="rect">
                            <a:avLst/>
                          </a:prstGeom>
                          <a:noFill/>
                          <a:ln>
                            <a:noFill/>
                          </a:ln>
                        </pic:spPr>
                      </pic:pic>
                    </a:graphicData>
                  </a:graphic>
                </wp:inline>
              </w:drawing>
            </w:r>
          </w:p>
          <w:p>
            <w:pPr>
              <w:pageBreakBefore w:val="0"/>
              <w:widowControl w:val="0"/>
              <w:kinsoku/>
              <w:wordWrap/>
              <w:overflowPunct/>
              <w:topLinePunct w:val="0"/>
              <w:bidi w:val="0"/>
              <w:adjustRightInd w:val="0"/>
              <w:snapToGrid w:val="0"/>
              <w:spacing w:line="360" w:lineRule="auto"/>
              <w:jc w:val="center"/>
              <w:rPr>
                <w:rFonts w:hint="default" w:ascii="Times New Roman" w:hAnsi="Times New Roman" w:eastAsia="宋体" w:cs="Times New Roman"/>
                <w:b/>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18"/>
                <w:lang w:val="zh-CN"/>
                <w14:textFill>
                  <w14:solidFill>
                    <w14:schemeClr w14:val="tx1"/>
                  </w14:solidFill>
                </w14:textFill>
              </w:rPr>
              <w:t>图</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2</w:t>
            </w:r>
            <w:r>
              <w:rPr>
                <w:rFonts w:hint="default" w:ascii="Times New Roman" w:hAnsi="Times New Roman" w:eastAsia="宋体" w:cs="Times New Roman"/>
                <w:b/>
                <w:color w:val="000000" w:themeColor="text1"/>
                <w:sz w:val="21"/>
                <w:szCs w:val="18"/>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轴套生产</w:t>
            </w:r>
            <w:r>
              <w:rPr>
                <w:rFonts w:hint="default" w:ascii="Times New Roman" w:hAnsi="Times New Roman" w:eastAsia="宋体" w:cs="Times New Roman"/>
                <w:b/>
                <w:color w:val="000000" w:themeColor="text1"/>
                <w:sz w:val="21"/>
                <w:szCs w:val="18"/>
                <w:lang w:val="en-US" w:eastAsia="zh-CN"/>
                <w14:textFill>
                  <w14:solidFill>
                    <w14:schemeClr w14:val="tx1"/>
                  </w14:solidFill>
                </w14:textFill>
              </w:rPr>
              <w:t>工艺流程及产污环节</w:t>
            </w:r>
          </w:p>
          <w:p>
            <w:pPr>
              <w:pStyle w:val="2"/>
              <w:widowControl w:val="0"/>
              <w:spacing w:line="360" w:lineRule="auto"/>
              <w:ind w:firstLine="482" w:firstLineChars="200"/>
              <w:jc w:val="both"/>
              <w:rPr>
                <w:rFonts w:hint="default" w:ascii="Times New Roman" w:hAnsi="Times New Roman" w:eastAsia="宋体" w:cs="Times New Roman"/>
                <w:b/>
                <w:bCs/>
                <w:color w:val="000000" w:themeColor="text1"/>
                <w:spacing w:val="0"/>
                <w:sz w:val="24"/>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4"/>
                <w:szCs w:val="22"/>
                <w:lang w:val="en-US" w:eastAsia="zh-CN" w:bidi="ar-SA"/>
                <w14:textFill>
                  <w14:solidFill>
                    <w14:schemeClr w14:val="tx1"/>
                  </w14:solidFill>
                </w14:textFill>
              </w:rPr>
              <w:t>工艺简介:</w:t>
            </w:r>
          </w:p>
          <w:p>
            <w:pPr>
              <w:pStyle w:val="3"/>
              <w:widowControl w:val="0"/>
              <w:spacing w:line="360" w:lineRule="auto"/>
              <w:ind w:firstLine="480" w:firstLineChars="200"/>
              <w:jc w:val="both"/>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2"/>
                <w:lang w:val="en-US" w:eastAsia="zh-CN" w:bidi="ar-SA"/>
                <w14:textFill>
                  <w14:solidFill>
                    <w14:schemeClr w14:val="tx1"/>
                  </w14:solidFill>
                </w14:textFill>
              </w:rPr>
              <w:t>本项目采用成熟的机械加工工艺生产轴套，首先将购买的轴承钢钢管送进锯床，根据设计好的尺寸锯料，将锯好的毛坏进行粗车加工，加工过程中使用皂化油进行冷却、液压油进行润滑，粗车加工主要是切削掉工件表面的毛坏余量，由于切削时切削抗力较大，表面的形位公差都较大，产品表面的光洁度较差，因此再对产品进行精车加工，使产品符合设计的尺寸和规格，增加产品表面光洁度，精加工同样使用皂化油进行冷却、液压油进行润滑，经过精加工处理后，用钻孔</w:t>
            </w:r>
            <w:r>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t>油杯钻小孔，在检验产品合格性，合格产品即可出库，不合格品由物资回收单位回收。</w:t>
            </w:r>
          </w:p>
          <w:p>
            <w:pPr>
              <w:pStyle w:val="2"/>
              <w:widowControl w:val="0"/>
              <w:spacing w:line="360" w:lineRule="auto"/>
              <w:ind w:firstLine="448" w:firstLineChars="200"/>
              <w:jc w:val="both"/>
              <w:rPr>
                <w:rFonts w:hint="default"/>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（2）杆端轴承外套</w:t>
            </w:r>
            <w:r>
              <w:rPr>
                <w:rFonts w:hint="default" w:ascii="Times New Roman" w:hAnsi="Times New Roman" w:eastAsia="宋体" w:cs="Times New Roman"/>
                <w:color w:val="000000" w:themeColor="text1"/>
                <w:sz w:val="24"/>
                <w:szCs w:val="24"/>
                <w:lang w:eastAsia="zh-CN"/>
                <w14:textFill>
                  <w14:solidFill>
                    <w14:schemeClr w14:val="tx1"/>
                  </w14:solidFill>
                </w14:textFill>
              </w:rPr>
              <w:t>工艺流程及产污环节</w:t>
            </w:r>
          </w:p>
          <w:p>
            <w:pPr>
              <w:pStyle w:val="2"/>
              <w:widowControl w:val="0"/>
              <w:jc w:val="both"/>
              <w:rPr>
                <w:rFonts w:hint="default"/>
                <w:lang w:val="en-US" w:eastAsia="zh-CN"/>
              </w:rPr>
            </w:pPr>
            <w:r>
              <w:drawing>
                <wp:inline distT="0" distB="0" distL="114300" distR="114300">
                  <wp:extent cx="5514975" cy="2815590"/>
                  <wp:effectExtent l="0" t="0" r="9525" b="381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2"/>
                          <a:srcRect b="909"/>
                          <a:stretch>
                            <a:fillRect/>
                          </a:stretch>
                        </pic:blipFill>
                        <pic:spPr>
                          <a:xfrm>
                            <a:off x="0" y="0"/>
                            <a:ext cx="5514975" cy="2815590"/>
                          </a:xfrm>
                          <a:prstGeom prst="rect">
                            <a:avLst/>
                          </a:prstGeom>
                          <a:noFill/>
                          <a:ln>
                            <a:noFill/>
                          </a:ln>
                        </pic:spPr>
                      </pic:pic>
                    </a:graphicData>
                  </a:graphic>
                </wp:inline>
              </w:drawing>
            </w:r>
          </w:p>
          <w:p>
            <w:pPr>
              <w:widowControl/>
              <w:spacing w:line="360" w:lineRule="auto"/>
              <w:jc w:val="center"/>
              <w:rPr>
                <w:rFonts w:hint="default" w:ascii="Times New Roman" w:hAnsi="Times New Roman" w:eastAsia="宋体" w:cs="Times New Roman"/>
                <w:b/>
                <w:bCs/>
                <w:color w:val="000000" w:themeColor="text1"/>
                <w:spacing w:val="0"/>
                <w:sz w:val="24"/>
                <w:szCs w:val="22"/>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18"/>
                <w:lang w:val="zh-CN"/>
                <w14:textFill>
                  <w14:solidFill>
                    <w14:schemeClr w14:val="tx1"/>
                  </w14:solidFill>
                </w14:textFill>
              </w:rPr>
              <w:t>图</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3</w:t>
            </w:r>
            <w:r>
              <w:rPr>
                <w:rFonts w:hint="default" w:ascii="Times New Roman" w:hAnsi="Times New Roman" w:eastAsia="宋体" w:cs="Times New Roman"/>
                <w:b/>
                <w:color w:val="000000" w:themeColor="text1"/>
                <w:sz w:val="21"/>
                <w:szCs w:val="18"/>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杆端轴承外套生产</w:t>
            </w:r>
            <w:r>
              <w:rPr>
                <w:rFonts w:hint="default" w:ascii="Times New Roman" w:hAnsi="Times New Roman" w:eastAsia="宋体" w:cs="Times New Roman"/>
                <w:b/>
                <w:color w:val="000000" w:themeColor="text1"/>
                <w:sz w:val="21"/>
                <w:szCs w:val="18"/>
                <w:lang w:val="en-US" w:eastAsia="zh-CN"/>
                <w14:textFill>
                  <w14:solidFill>
                    <w14:schemeClr w14:val="tx1"/>
                  </w14:solidFill>
                </w14:textFill>
              </w:rPr>
              <w:t>工艺流程及产污环节</w:t>
            </w:r>
          </w:p>
          <w:p>
            <w:pPr>
              <w:widowControl/>
              <w:spacing w:line="360" w:lineRule="auto"/>
              <w:ind w:firstLine="482" w:firstLineChars="200"/>
              <w:jc w:val="both"/>
              <w:rPr>
                <w:rFonts w:hint="default" w:ascii="Times New Roman" w:hAnsi="Times New Roman" w:eastAsia="宋体" w:cs="Times New Roman"/>
                <w:b/>
                <w:bCs/>
                <w:color w:val="000000" w:themeColor="text1"/>
                <w:spacing w:val="0"/>
                <w:sz w:val="24"/>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4"/>
                <w:szCs w:val="22"/>
                <w:lang w:val="en-US" w:eastAsia="zh-CN" w:bidi="ar-SA"/>
                <w14:textFill>
                  <w14:solidFill>
                    <w14:schemeClr w14:val="tx1"/>
                  </w14:solidFill>
                </w14:textFill>
              </w:rPr>
              <w:t>工艺简介:</w:t>
            </w:r>
          </w:p>
          <w:p>
            <w:pPr>
              <w:pStyle w:val="58"/>
              <w:widowControl w:val="0"/>
              <w:ind w:firstLine="447"/>
              <w:jc w:val="both"/>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t>本项目杆端轴承外套的生产工序首先将毛坏送进钻床钻大孔，再进行粗车加工切削掉工件表面的毛坏余量，加工过程中使用皂化油进行冷却、液压油进行润滑，由于切削时切削抗力较大，表面的形位公差都较大，产品表面的光洁度较差，因此再对产品进行精车加工，使产品符合设计的尺寸和规格，增加产品表面光洁度，精加工同样使用皂化油进行冷却、液压油进行润滑，经过精加工处理后，用钻孔油杯钻小孔，再检验产阳合格性，合格产品即可出库，不合格品由物资回收单位回收。</w:t>
            </w:r>
          </w:p>
          <w:p>
            <w:pPr>
              <w:widowControl/>
              <w:spacing w:line="360" w:lineRule="auto"/>
              <w:ind w:firstLine="482" w:firstLineChars="200"/>
              <w:jc w:val="both"/>
              <w:rPr>
                <w:rFonts w:hint="eastAsia" w:ascii="Times New Roman" w:hAnsi="Times New Roman" w:eastAsia="宋体" w:cs="Times New Roman"/>
                <w:b/>
                <w:bCs/>
                <w:color w:val="000000" w:themeColor="text1"/>
                <w:sz w:val="24"/>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2"/>
                <w:lang w:val="en-US" w:eastAsia="zh-CN" w:bidi="ar-SA"/>
                <w14:textFill>
                  <w14:solidFill>
                    <w14:schemeClr w14:val="tx1"/>
                  </w14:solidFill>
                </w14:textFill>
              </w:rPr>
              <w:t>产污环节：</w:t>
            </w:r>
          </w:p>
          <w:p>
            <w:pPr>
              <w:widowControl/>
              <w:spacing w:line="360" w:lineRule="auto"/>
              <w:ind w:firstLine="480" w:firstLineChars="200"/>
              <w:jc w:val="both"/>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2"/>
                <w:lang w:val="en-US" w:eastAsia="zh-CN" w:bidi="ar-SA"/>
                <w14:textFill>
                  <w14:solidFill>
                    <w14:schemeClr w14:val="tx1"/>
                  </w14:solidFill>
                </w14:textFill>
              </w:rPr>
              <w:t>项目加工过程中主要污染物有员工生活产生的生活污水；粗车、精车、钻孔过程中使用皂化油政法产生的烟气；生产过程各机械设备运转的声音；生产过程中产生的边角料、不合格品，机械加工产生的废皂化油、废液压油。</w:t>
            </w:r>
          </w:p>
          <w:p>
            <w:pPr>
              <w:pStyle w:val="5"/>
              <w:widowControl w:val="0"/>
              <w:numPr>
                <w:ilvl w:val="0"/>
                <w:numId w:val="3"/>
              </w:numPr>
              <w:spacing w:line="415" w:lineRule="auto"/>
              <w:ind w:firstLine="450" w:firstLineChars="200"/>
              <w:jc w:val="both"/>
              <w:outlineLvl w:val="1"/>
              <w:rPr>
                <w:rFonts w:ascii="Times New Roman" w:hAnsi="Times New Roman" w:eastAsia="宋体" w:cs="Times New Roman"/>
                <w:color w:val="000000" w:themeColor="text1"/>
                <w:spacing w:val="-8"/>
                <w:kern w:val="0"/>
                <w:sz w:val="24"/>
                <w:szCs w:val="24"/>
                <w14:textFill>
                  <w14:solidFill>
                    <w14:schemeClr w14:val="tx1"/>
                  </w14:solidFill>
                </w14:textFill>
              </w:rPr>
            </w:pPr>
            <w:r>
              <w:rPr>
                <w:rFonts w:ascii="Times New Roman" w:hAnsi="Times New Roman" w:eastAsia="宋体" w:cs="Times New Roman"/>
                <w:color w:val="000000" w:themeColor="text1"/>
                <w:spacing w:val="-8"/>
                <w:kern w:val="0"/>
                <w:sz w:val="24"/>
                <w:szCs w:val="24"/>
                <w14:textFill>
                  <w14:solidFill>
                    <w14:schemeClr w14:val="tx1"/>
                  </w14:solidFill>
                </w14:textFill>
              </w:rPr>
              <w:t>不符合验收情形统计</w:t>
            </w:r>
            <w:bookmarkEnd w:id="1"/>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项目实际建设情况，经过与《建设项目竣工环境保护验收暂行办法》第八条逐一对照，最终得出结论：本项目不存在《建设项目竣工环境保护验收暂行办法》（以下简称《办法》）第八条规定的验收不合格情形。本项目实际建设情况与《办法》第八条规定详细对比情况见下表</w:t>
            </w:r>
            <w:r>
              <w:rPr>
                <w:rFonts w:hint="eastAsia" w:ascii="Times New Roman" w:hAnsi="Times New Roman" w:eastAsia="宋体" w:cs="Times New Roman"/>
                <w:color w:val="000000" w:themeColor="text1"/>
                <w:sz w:val="24"/>
                <w14:textFill>
                  <w14:solidFill>
                    <w14:schemeClr w14:val="tx1"/>
                  </w14:solidFill>
                </w14:textFill>
              </w:rPr>
              <w:t>2-5</w:t>
            </w:r>
            <w:r>
              <w:rPr>
                <w:rFonts w:ascii="Times New Roman" w:hAnsi="Times New Roman" w:eastAsia="宋体" w:cs="Times New Roman"/>
                <w:color w:val="000000" w:themeColor="text1"/>
                <w:sz w:val="24"/>
                <w14:textFill>
                  <w14:solidFill>
                    <w14:schemeClr w14:val="tx1"/>
                  </w14:solidFill>
                </w14:textFill>
              </w:rPr>
              <w:t>。</w:t>
            </w:r>
          </w:p>
          <w:p>
            <w:pPr>
              <w:pStyle w:val="51"/>
              <w:widowControl w:val="0"/>
              <w:spacing w:beforeLines="0" w:afterLines="0"/>
              <w:ind w:firstLine="422" w:firstLineChars="20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表</w:t>
            </w:r>
            <w:r>
              <w:rPr>
                <w:rFonts w:hint="eastAsia"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ascii="Times New Roman" w:hAnsi="Times New Roman" w:eastAsia="宋体" w:cs="Times New Roman"/>
                <w:color w:val="000000" w:themeColor="text1"/>
                <w:sz w:val="21"/>
                <w:szCs w:val="21"/>
                <w14:textFill>
                  <w14:solidFill>
                    <w14:schemeClr w14:val="tx1"/>
                  </w14:solidFill>
                </w14:textFill>
              </w:rPr>
              <w:t xml:space="preserve"> 项目与《建设项目竣工环境保护验收暂行办法》第八条规定对照情况一览表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416"/>
              <w:gridCol w:w="3742"/>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序号</w:t>
                  </w:r>
                </w:p>
              </w:tc>
              <w:tc>
                <w:tcPr>
                  <w:tcW w:w="1951"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《办法》规定不得提出验收合格意见的情形</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本项目实际建设情况</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是否存在不符合验收情形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未按环境影响报告书（表）及其审批部门审批决定要求建成环境保护设施，或者环境保护设施不能与主体工程同时投产或者使用的；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项目按照建设项目环评及环评批复同时设计和建设了生活污水、废气、噪声、固废等污染防治设施，并同时投入试生产；</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污染物排放不符合国家和地方相关标准、环境影响报告书（表）及其审批部门审批决定或者重点污染物排放总量控制指标要求的；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根据监测</w:t>
                  </w:r>
                  <w:r>
                    <w:rPr>
                      <w:rFonts w:hint="eastAsia" w:ascii="Times New Roman" w:hAnsi="Times New Roman" w:eastAsia="宋体" w:cs="Times New Roman"/>
                      <w:color w:val="000000" w:themeColor="text1"/>
                      <w:sz w:val="21"/>
                      <w:szCs w:val="21"/>
                      <w14:textFill>
                        <w14:solidFill>
                          <w14:schemeClr w14:val="tx1"/>
                        </w14:solidFill>
                      </w14:textFill>
                    </w:rPr>
                    <w:t>结果</w:t>
                  </w:r>
                  <w:r>
                    <w:rPr>
                      <w:rFonts w:ascii="Times New Roman" w:hAnsi="Times New Roman" w:eastAsia="宋体"/>
                      <w:color w:val="000000" w:themeColor="text1"/>
                      <w:sz w:val="21"/>
                      <w:szCs w:val="21"/>
                      <w14:textFill>
                        <w14:solidFill>
                          <w14:schemeClr w14:val="tx1"/>
                        </w14:solidFill>
                      </w14:textFill>
                    </w:rPr>
                    <w:t>，项目生活污水、废气、噪声监测结果均符合相关标准要求</w:t>
                  </w:r>
                  <w:r>
                    <w:rPr>
                      <w:rFonts w:ascii="Times New Roman" w:hAnsi="Times New Roman" w:eastAsia="宋体" w:cs="Times New Roman"/>
                      <w:color w:val="000000" w:themeColor="text1"/>
                      <w:sz w:val="21"/>
                      <w:szCs w:val="21"/>
                      <w14:textFill>
                        <w14:solidFill>
                          <w14:schemeClr w14:val="tx1"/>
                        </w14:solidFill>
                      </w14:textFill>
                    </w:rPr>
                    <w:t>；</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本项目性质、规模、地点、采用的生产工艺和防治污染、防止生态破坏的措施均未发生重大变动。在生产规模不变的情况下，</w:t>
                  </w:r>
                  <w:r>
                    <w:rPr>
                      <w:rFonts w:hint="eastAsia" w:ascii="Times New Roman" w:hAnsi="Times New Roman" w:eastAsia="宋体"/>
                      <w:color w:val="000000" w:themeColor="text1"/>
                      <w:sz w:val="21"/>
                      <w:szCs w:val="21"/>
                      <w14:textFill>
                        <w14:solidFill>
                          <w14:schemeClr w14:val="tx1"/>
                        </w14:solidFill>
                      </w14:textFill>
                    </w:rPr>
                    <w:t>减少了破碎、对辊这两个高噪声工序</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以及增加了临时堆场面积，</w:t>
                  </w:r>
                  <w:r>
                    <w:rPr>
                      <w:rFonts w:ascii="Times New Roman" w:hAnsi="Times New Roman" w:eastAsia="宋体" w:cs="Times New Roman"/>
                      <w:color w:val="000000" w:themeColor="text1"/>
                      <w:sz w:val="21"/>
                      <w:szCs w:val="21"/>
                      <w14:textFill>
                        <w14:solidFill>
                          <w14:schemeClr w14:val="tx1"/>
                        </w14:solidFill>
                      </w14:textFill>
                    </w:rPr>
                    <w:t>不属于重大变动；</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建设过程中造成重大环境污染未治理完成，或者造成重大生态破坏未恢复的；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项目建设过程中未造成重大环境污染，未造成重大生态破坏；</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纳入排污许可管理的建设项目，无证排污或者不按证排污的；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排污许可证</w:t>
                  </w:r>
                  <w:r>
                    <w:rPr>
                      <w:rFonts w:hint="eastAsia" w:ascii="Times New Roman" w:hAnsi="Times New Roman" w:eastAsia="宋体"/>
                      <w:color w:val="000000" w:themeColor="text1"/>
                      <w:sz w:val="21"/>
                      <w:szCs w:val="21"/>
                      <w:lang w:val="en-US" w:eastAsia="zh-CN"/>
                      <w14:textFill>
                        <w14:solidFill>
                          <w14:schemeClr w14:val="tx1"/>
                        </w14:solidFill>
                      </w14:textFill>
                    </w:rPr>
                    <w:t>正在</w:t>
                  </w:r>
                  <w:r>
                    <w:rPr>
                      <w:rFonts w:hint="eastAsia" w:ascii="Times New Roman" w:hAnsi="Times New Roman" w:eastAsia="宋体"/>
                      <w:color w:val="000000" w:themeColor="text1"/>
                      <w:sz w:val="21"/>
                      <w:szCs w:val="21"/>
                      <w14:textFill>
                        <w14:solidFill>
                          <w14:schemeClr w14:val="tx1"/>
                        </w14:solidFill>
                      </w14:textFill>
                    </w:rPr>
                    <w:t>办理中</w:t>
                  </w:r>
                  <w:r>
                    <w:rPr>
                      <w:rFonts w:ascii="Times New Roman" w:hAnsi="Times New Roman" w:eastAsia="宋体" w:cs="Times New Roman"/>
                      <w:color w:val="000000" w:themeColor="text1"/>
                      <w:sz w:val="21"/>
                      <w:szCs w:val="21"/>
                      <w14:textFill>
                        <w14:solidFill>
                          <w14:schemeClr w14:val="tx1"/>
                        </w14:solidFill>
                      </w14:textFill>
                    </w:rPr>
                    <w:t>；</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分期建设、分期投入生产或者使用依法应当分期验收的建设项目，其分期建设、分期投入生产或者使用的环境保护设施防治环境污染和生态破坏的能力不能满足其相应主体工程需要的；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根据验收监测结果，项目配套建设的环境保护设施防治环境污染和生态破坏的能力可以满足主体工程需要；</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建设单位因该建设项目违反国家和地方环境保护法律法规受到处罚，被责令改正，尚未改正完成的；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本项目存在未批先建行为，但已按要求停止建设并依法缴纳罚款</w:t>
                  </w:r>
                  <w:r>
                    <w:rPr>
                      <w:rFonts w:ascii="Times New Roman" w:hAnsi="Times New Roman" w:eastAsia="宋体" w:cs="Times New Roman"/>
                      <w:color w:val="000000" w:themeColor="text1"/>
                      <w:sz w:val="21"/>
                      <w:szCs w:val="21"/>
                      <w14:textFill>
                        <w14:solidFill>
                          <w14:schemeClr w14:val="tx1"/>
                        </w14:solidFill>
                      </w14:textFill>
                    </w:rPr>
                    <w:t>；</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p>
              </w:tc>
              <w:tc>
                <w:tcPr>
                  <w:tcW w:w="1951" w:type="pct"/>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验收报告的基础资料数据明显不实，内容存在重大缺项、遗漏，或者验收结论不明确、不合理的；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验收报告的基础资料来自企业提供以及</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厦门威正检测技术有限公司</w:t>
                  </w:r>
                  <w:r>
                    <w:rPr>
                      <w:rFonts w:ascii="Times New Roman" w:hAnsi="Times New Roman" w:eastAsia="宋体" w:cs="Times New Roman"/>
                      <w:color w:val="000000" w:themeColor="text1"/>
                      <w:sz w:val="21"/>
                      <w:szCs w:val="21"/>
                      <w14:textFill>
                        <w14:solidFill>
                          <w14:schemeClr w14:val="tx1"/>
                        </w14:solidFill>
                      </w14:textFill>
                    </w:rPr>
                    <w:t>采样检测所得数据，报告内容无重大缺项或遗漏，验收结论明确、合理；</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其他环境保护法律法规规章等规定不得通过环境保护验收的。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项目不存在其他环境保护法律法规规章等规定不得通过环境保护验收的。</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bl>
          <w:p>
            <w:pPr>
              <w:pStyle w:val="24"/>
              <w:widowControl w:val="0"/>
              <w:jc w:val="left"/>
              <w:rPr>
                <w:color w:val="0000FF"/>
              </w:rPr>
            </w:pPr>
          </w:p>
        </w:tc>
      </w:tr>
    </w:tbl>
    <w:p>
      <w:pPr>
        <w:spacing w:line="360" w:lineRule="auto"/>
        <w:outlineLvl w:val="0"/>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表三</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522" w:type="dxa"/>
          </w:tcPr>
          <w:p>
            <w:pPr>
              <w:widowControl/>
              <w:numPr>
                <w:ilvl w:val="255"/>
                <w:numId w:val="0"/>
              </w:num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主要污染源、污染物处理和排放：</w:t>
            </w:r>
          </w:p>
          <w:p>
            <w:pPr>
              <w:widowControl/>
              <w:numPr>
                <w:ilvl w:val="0"/>
                <w:numId w:val="4"/>
              </w:numPr>
              <w:spacing w:line="360" w:lineRule="auto"/>
              <w:ind w:left="0" w:leftChars="0" w:firstLine="480" w:firstLineChars="200"/>
              <w:jc w:val="both"/>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废水：</w:t>
            </w:r>
            <w:r>
              <w:rPr>
                <w:rFonts w:hint="eastAsia" w:ascii="Times New Roman" w:hAnsi="Times New Roman" w:eastAsia="宋体" w:cs="Times New Roman"/>
                <w:color w:val="000000" w:themeColor="text1"/>
                <w:sz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产生的废水主要为员工生活污水</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w:t>
            </w:r>
          </w:p>
          <w:p>
            <w:pPr>
              <w:widowControl/>
              <w:numPr>
                <w:ilvl w:val="0"/>
                <w:numId w:val="0"/>
              </w:numPr>
              <w:spacing w:line="360" w:lineRule="auto"/>
              <w:ind w:firstLine="480" w:firstLineChars="20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生活污水采用“三级化粪池+SBR一体化”处理后经市政污水管网排入银塘污水处理厂处理</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pPr>
              <w:widowControl/>
              <w:numPr>
                <w:ilvl w:val="0"/>
                <w:numId w:val="0"/>
              </w:numPr>
              <w:spacing w:line="360" w:lineRule="auto"/>
              <w:ind w:firstLine="480" w:firstLineChars="20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2、废气</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项目废气主要</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为机加工产生的粉尘、机加工皂化油蒸发产生的烟气。</w:t>
            </w:r>
          </w:p>
          <w:p>
            <w:pPr>
              <w:widowControl/>
              <w:numPr>
                <w:ilvl w:val="0"/>
                <w:numId w:val="0"/>
              </w:numPr>
              <w:spacing w:line="360" w:lineRule="auto"/>
              <w:ind w:firstLine="480" w:firstLineChars="20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机加工产生的粉尘、机加工皂化油蒸发产生的烟气排放量极小，均为无组织排放，主要通过加强车间通风降低无组织废气污染</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widowControl/>
              <w:numPr>
                <w:ilvl w:val="0"/>
                <w:numId w:val="0"/>
              </w:numPr>
              <w:spacing w:line="360" w:lineRule="auto"/>
              <w:ind w:firstLine="480" w:firstLineChars="20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噪声：本项目主要噪声污染源主要来自机台设备运行时产生的噪声，主要通过合理布局，使高噪声设备远离厂界；对噪声值较高的设备基座底部安装减振垫等；定期检查并调整好运动机器部件的静平衡与动平衡的动力，加强设备维护，使其处于良好运行状态，以此来降低环境噪声污染。</w:t>
            </w:r>
          </w:p>
          <w:p>
            <w:pPr>
              <w:pStyle w:val="45"/>
              <w:pageBreakBefore w:val="0"/>
              <w:kinsoku/>
              <w:wordWrap/>
              <w:overflowPunct/>
              <w:topLinePunct w:val="0"/>
              <w:bidi w:val="0"/>
              <w:ind w:firstLine="480"/>
              <w:jc w:val="left"/>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4、固（液）体废物：</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本项目主要固体废物分为两类，一部分为一般固废，主要为职工日常生活垃圾；不合格产品；边角料；含油废抹布、废手套；废包装材料。另一部分为危险固废，主要为废皂化油、废液压油、废柴油、液压油以及皂化油的包装物。</w:t>
            </w:r>
          </w:p>
          <w:p>
            <w:pPr>
              <w:widowControl w:val="0"/>
              <w:adjustRightInd w:val="0"/>
              <w:spacing w:line="360" w:lineRule="auto"/>
              <w:ind w:firstLine="482" w:firstLineChars="200"/>
              <w:jc w:val="left"/>
              <w:rPr>
                <w:rFonts w:hint="eastAsia" w:ascii="Times New Roman" w:hAnsi="Times New Roman" w:eastAsia="宋体" w:cs="Times New Roman"/>
                <w:b/>
                <w:bCs/>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2"/>
                <w:lang w:val="en-US" w:eastAsia="zh-CN" w:bidi="ar-SA"/>
                <w14:textFill>
                  <w14:solidFill>
                    <w14:schemeClr w14:val="tx1"/>
                  </w14:solidFill>
                </w14:textFill>
              </w:rPr>
              <w:t>①生活垃圾</w:t>
            </w:r>
          </w:p>
          <w:p>
            <w:pPr>
              <w:pStyle w:val="81"/>
              <w:widowControl w:val="0"/>
              <w:numPr>
                <w:ilvl w:val="0"/>
                <w:numId w:val="0"/>
              </w:numPr>
              <w:adjustRightInd w:val="0"/>
              <w:spacing w:line="360" w:lineRule="auto"/>
              <w:ind w:firstLine="480" w:firstLineChars="200"/>
              <w:jc w:val="left"/>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本项目生活垃圾产生量为4.13t/a。生活垃圾集中收集，统一交由环卫部门清理，外运到垃圾场进行无害化处理。</w:t>
            </w:r>
          </w:p>
          <w:p>
            <w:pPr>
              <w:pStyle w:val="81"/>
              <w:widowControl w:val="0"/>
              <w:numPr>
                <w:ilvl w:val="0"/>
                <w:numId w:val="0"/>
              </w:numPr>
              <w:adjustRightInd w:val="0"/>
              <w:spacing w:line="360" w:lineRule="auto"/>
              <w:ind w:left="480" w:leftChars="0"/>
              <w:jc w:val="left"/>
              <w:rPr>
                <w:rFonts w:hint="eastAsia" w:ascii="Times New Roman" w:hAnsi="Times New Roman" w:eastAsia="宋体" w:cs="Times New Roman"/>
                <w:b/>
                <w:bCs/>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2"/>
                <w:lang w:val="en-US" w:eastAsia="zh-CN" w:bidi="ar-SA"/>
                <w14:textFill>
                  <w14:solidFill>
                    <w14:schemeClr w14:val="tx1"/>
                  </w14:solidFill>
                </w14:textFill>
              </w:rPr>
              <w:t>②生产固废</w:t>
            </w:r>
          </w:p>
          <w:p>
            <w:pPr>
              <w:pStyle w:val="58"/>
              <w:widowControl w:val="0"/>
              <w:ind w:firstLine="447"/>
              <w:jc w:val="both"/>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本项目生产过程中产生的边脚料量为3.5t；不合格产品量为7.5t/a；废包装材料量为0.5t/a，外售给相关单位。</w:t>
            </w:r>
          </w:p>
          <w:p>
            <w:pPr>
              <w:pStyle w:val="81"/>
              <w:widowControl w:val="0"/>
              <w:spacing w:line="360" w:lineRule="auto"/>
              <w:ind w:firstLine="480"/>
              <w:jc w:val="left"/>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项目废抹布和废手套产生量为0.05t/a。根据《国家危险固废名录》(2016版)，废抹布和废手套属危险固废，类别为HW49其他废物，废物代码900-041-49，即含有或直接沾染危险废物的废气包装物、清理产生的废物。本项目废抹布和废手套属《国家危险废物名录》中《危险废物豁免管理清单》范围，并属全过程豁免，故本项目产生的废抹布和废手套不按危险废物收集和管理，混入生活垃圾一同处置。</w:t>
            </w:r>
          </w:p>
          <w:p>
            <w:pPr>
              <w:pStyle w:val="81"/>
              <w:widowControl w:val="0"/>
              <w:numPr>
                <w:ilvl w:val="0"/>
                <w:numId w:val="0"/>
              </w:numPr>
              <w:adjustRightInd w:val="0"/>
              <w:spacing w:line="360" w:lineRule="auto"/>
              <w:ind w:left="480" w:leftChars="0"/>
              <w:jc w:val="left"/>
              <w:rPr>
                <w:rFonts w:hint="eastAsia" w:ascii="Times New Roman" w:hAnsi="Times New Roman" w:eastAsia="宋体" w:cs="Times New Roman"/>
                <w:b/>
                <w:bCs/>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2"/>
                <w:lang w:val="en-US" w:eastAsia="zh-CN" w:bidi="ar-SA"/>
                <w14:textFill>
                  <w14:solidFill>
                    <w14:schemeClr w14:val="tx1"/>
                  </w14:solidFill>
                </w14:textFill>
              </w:rPr>
              <w:t>③危险废物</w:t>
            </w:r>
          </w:p>
          <w:p>
            <w:pPr>
              <w:widowControl w:val="0"/>
              <w:adjustRightInd w:val="0"/>
              <w:spacing w:line="360" w:lineRule="auto"/>
              <w:ind w:firstLine="480" w:firstLineChars="200"/>
              <w:jc w:val="left"/>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本项目生产过程的产生的废皂化油、废液压油、废柴油量为0.45t/a，目前暂存于危废暂存区，待一定量后委托有资质单位处理。液压油以及皂化油的包装物量为0.1t/a，集中收集后交由供应厂家回收利用。</w:t>
            </w:r>
          </w:p>
          <w:p>
            <w:pPr>
              <w:pStyle w:val="24"/>
              <w:widowControl w:val="0"/>
              <w:spacing w:line="360" w:lineRule="auto"/>
              <w:jc w:val="left"/>
              <w:rPr>
                <w:color w:val="0000FF"/>
              </w:rPr>
            </w:pPr>
          </w:p>
        </w:tc>
      </w:tr>
    </w:tbl>
    <w:p>
      <w:pPr>
        <w:spacing w:line="360" w:lineRule="auto"/>
        <w:outlineLvl w:val="0"/>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表四</w:t>
      </w:r>
    </w:p>
    <w:tbl>
      <w:tblPr>
        <w:tblStyle w:val="26"/>
        <w:tblW w:w="883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5" w:hRule="atLeast"/>
        </w:trPr>
        <w:tc>
          <w:tcPr>
            <w:tcW w:w="883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建设项目环境影响报告表主要结论及审批部门审批决定：</w:t>
            </w:r>
          </w:p>
          <w:p>
            <w:pPr>
              <w:widowControl/>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一</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建设项目环境影响报告表主要结论</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bookmarkStart w:id="2" w:name="12.1项目概况和主要环保问题"/>
            <w:bookmarkEnd w:id="2"/>
            <w:r>
              <w:rPr>
                <w:rFonts w:hint="default" w:ascii="Times New Roman" w:hAnsi="Times New Roman" w:eastAsia="宋体" w:cs="Times New Roman"/>
                <w:color w:val="000000" w:themeColor="text1"/>
                <w:sz w:val="24"/>
                <w:szCs w:val="24"/>
                <w14:textFill>
                  <w14:solidFill>
                    <w14:schemeClr w14:val="tx1"/>
                  </w14:solidFill>
                </w14:textFill>
              </w:rPr>
              <w:t>1.1项目概况</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长泰友联机械厂项目位于长泰县古农农场银塘街主要从事轴承配件加工。项目年加工轴承配件30万件。</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1.2产业政策分析结论</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根据2013年2月16日国家发展改革委第21号令《产业结构调整指导目录（2011本）（2013年修正）》，本项目不属于禁止类项目，符合国家产业发展政策。</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1.3选址环境可行性结论</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位于长泰县古农农场银塘街，项目用地属工业用地。项目原材料的来源、运输、使用及污染的排放均进行严格的控制，各污染物治理达标后排放对周围环境的影响均可在接受范围内，选址与周边环境基本相容，基本符合当地规划。因此，该项目选址可行。</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1.4环境质量现状结论</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项目所在区域水环境、大气和声环境质量现状良好，符合环境质量功能区划的要求。</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1.5 环境影响及达标排放分析结论</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废水：项目产生的废水主要为生活污水，近期职工生活污水采用“隐化池+SBR”处理工艺处理，处理达《污水综合排放标准》(GB8978-1996)表4的一级标准后排入高排渠最后进入龙津溪，远期职工生活污水采用三级化粪池处理，出水水质即可满足《污水综合排放标准》(GB8978-1996)表4的三级标准，可直接排入市政污水管网纳入长泰县西区污水处理厂，对周围水体影响较小。</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（2）废气：项目废气主要为钻孔、粗加工、精加工过程中使用的皂化油受热蒸发产生的少量烟气，车间内加强通风换气后，对周边环境影响不大。</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噪声：建设项目经采取有效的隔声、消声减噪措施确保厂界噪声排放符合《工业企业厂界环境噪声排放标准》(GB12348-2008）中的3类标准(即昼间65dB、夜间55dB)的要求，以减小对周边环境的影响。</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固体废物：一般工业固废中机加工边角料、金属屑，不合格成品以及普通废包装材料等由建设单位集中送物资回收公司回收利用。本项目生产过程中产生的废液压油、废皂化油、废柴油、含油纱布、手套、原辅材料废包装材料等均属于危险废物，必须在厂内设置单独的临时危废贮存场所，临时储存后集中送有资质的危险废物处置单位处理，液压油、皂化油包装桶由厂家回收，污水处理站污泥交由有资质的单位后处理污水处理站污泥交由有资质的单位处理，厂区职生活垃圾由开发区环卫部门统一处理。项目固废经妥善处理后，对周边环境影响不大。</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1.6总量控制分析结论</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总量控制指标有COD、氨氮，根据表10-1中的总量控制指标可知，项目运营期间废水污染物有COD、NHg-N等。项目生产废水污染物COD申请总量为0.033t/a、NHg-N申请总量为0.005ta，须向长泰县环保局申请总量调剂。本评价给出的总量参数作为总量控制建议指标，在报地方环保主管部门批准后，方可作为本项目污染物排放总量控制指标方案。</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总结论</w:t>
            </w:r>
          </w:p>
          <w:p>
            <w:pPr>
              <w:pStyle w:val="2"/>
              <w:keepNext w:val="0"/>
              <w:keepLines w:val="0"/>
              <w:pageBreakBefore w:val="0"/>
              <w:widowControl w:val="0"/>
              <w:kinsoku/>
              <w:wordWrap/>
              <w:overflowPunct/>
              <w:topLinePunct w:val="0"/>
              <w:autoSpaceDE/>
              <w:autoSpaceDN/>
              <w:bidi w:val="0"/>
              <w:spacing w:line="360" w:lineRule="auto"/>
              <w:ind w:firstLine="44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长泰友联机械厂（普通合伙）年加工30万件轴承配件项目的建设符合国家的产业政策，符合当地规划，选址合理，区域环境现状符合功能区划要求。建设单位通过采取有效的环保措施实现各项污染物达标排放，污染物排放总量控制在允许排放范围内，并积极采用清洁生产技术方法，项目正常运营对周围环境产生的影响较小。从环保角度分析，该项目的建设可行。</w:t>
            </w:r>
          </w:p>
          <w:p>
            <w:pPr>
              <w:widowControl/>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二</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审批部门审批决定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长泰友联机械厂（普通合伙）报送的年加工30万件轴承配件项目选址于长泰县经济开发区古农农场银塘工业园。项目总投资200万元，环保投资10万元，租用厂房859.84m</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32"/>
                <w14:textFill>
                  <w14:solidFill>
                    <w14:schemeClr w14:val="tx1"/>
                  </w14:solidFill>
                </w14:textFill>
              </w:rPr>
              <w:t>，年产轴承15万件，杆端轴承外套15万件。根据报告表的结论，经审核核准，同意该项目的建设，具体环保审批意见如下：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1、严格执行环保“三同时”制度，落实报告表中提出的各项环保措施，</w:t>
            </w:r>
            <w:r>
              <w:rPr>
                <w:rFonts w:hint="default" w:ascii="Times New Roman" w:hAnsi="Times New Roman" w:eastAsia="宋体" w:cs="Times New Roman"/>
                <w:color w:val="000000" w:themeColor="text1"/>
                <w:sz w:val="24"/>
                <w:szCs w:val="32"/>
                <w14:textFill>
                  <w14:solidFill>
                    <w14:schemeClr w14:val="tx1"/>
                  </w14:solidFill>
                </w14:textFill>
              </w:rPr>
              <w:t>项目投产前要经环保部门验收合格后才能投入生产。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2、要做好项目废水污染防治设施的建设，近期，生活污水经“隐化池+SBR”工艺处理后通过高排渠排入龙津溪，废水排放执行GB8978-1996《污水综合排放标准》表4一级标准；远期，待城区污水管网接入后，生活污水经化粪池处理后排入污水管网，纳入西区污水处理厂处理，废水排放执行GB8978-1996《污水综合排放标准》表4三级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3、要做好项目废气的环保设施建设，加强通风换气，废气排放执行《大气污染物综合排放标准》（GB16297-1996）表1无组织排放监控浓度限值。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4、建设项目产生的固体废弃物要规范化处理处置，做好综合利用；危险废物需委托有资质的单位进行安全处置。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5、要有噪声污染防治措施，厂界噪声要达到《工业企业厂界环境噪声排放标准》(GB12348-2008）中的3类标准。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6、今后若建设项目的性质、规模、地点或采用的生产工艺发生变化，要重新办理环评审批。</w:t>
            </w:r>
          </w:p>
          <w:p>
            <w:pPr>
              <w:pStyle w:val="36"/>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三</w:t>
            </w:r>
            <w:r>
              <w:rPr>
                <w:rFonts w:ascii="Times New Roman" w:hAnsi="Times New Roman" w:cs="Times New Roman"/>
                <w:b/>
                <w:bCs/>
                <w:color w:val="000000" w:themeColor="text1"/>
                <w14:textFill>
                  <w14:solidFill>
                    <w14:schemeClr w14:val="tx1"/>
                  </w14:solidFill>
                </w14:textFill>
              </w:rPr>
              <w:t>、环境影响报告表及批复意见落实情况调查</w:t>
            </w:r>
          </w:p>
          <w:p>
            <w:pPr>
              <w:pStyle w:val="36"/>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表4-</w:t>
            </w:r>
            <w:r>
              <w:rPr>
                <w:rFonts w:hint="eastAsia" w:ascii="Times New Roman" w:hAnsi="Times New Roman" w:cs="Times New Roman"/>
                <w:b/>
                <w:bCs/>
                <w:color w:val="000000" w:themeColor="text1"/>
                <w:sz w:val="21"/>
                <w:szCs w:val="21"/>
                <w:lang w:val="en-US" w:eastAsia="zh-CN"/>
                <w14:textFill>
                  <w14:solidFill>
                    <w14:schemeClr w14:val="tx1"/>
                  </w14:solidFill>
                </w14:textFill>
              </w:rPr>
              <w:t>2</w:t>
            </w:r>
            <w:r>
              <w:rPr>
                <w:rFonts w:ascii="Times New Roman" w:hAnsi="Times New Roman" w:cs="Times New Roman"/>
                <w:b/>
                <w:bCs/>
                <w:color w:val="000000" w:themeColor="text1"/>
                <w:sz w:val="21"/>
                <w:szCs w:val="21"/>
                <w14:textFill>
                  <w14:solidFill>
                    <w14:schemeClr w14:val="tx1"/>
                  </w14:solidFill>
                </w14:textFill>
              </w:rPr>
              <w:t xml:space="preserve"> 环境影响报告表批复意见落实一览表</w:t>
            </w:r>
          </w:p>
          <w:tbl>
            <w:tblPr>
              <w:tblStyle w:val="26"/>
              <w:tblW w:w="503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0"/>
              <w:gridCol w:w="4350"/>
              <w:gridCol w:w="39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84"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序号</w:t>
                  </w:r>
                </w:p>
              </w:tc>
              <w:tc>
                <w:tcPr>
                  <w:tcW w:w="2511"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批复情况</w:t>
                  </w:r>
                </w:p>
              </w:tc>
              <w:tc>
                <w:tcPr>
                  <w:tcW w:w="2303"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实际执行情况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2511" w:type="pct"/>
                  <w:tcBorders>
                    <w:tl2br w:val="nil"/>
                    <w:tr2bl w:val="nil"/>
                  </w:tcBorders>
                  <w:vAlign w:val="center"/>
                </w:tcPr>
                <w:p>
                  <w:pPr>
                    <w:pStyle w:val="36"/>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严格执行环保“三同时”制度，落实报告表中提出的各项环保措施，</w:t>
                  </w:r>
                  <w:r>
                    <w:rPr>
                      <w:rFonts w:hint="default" w:ascii="Times New Roman" w:hAnsi="Times New Roman" w:cs="Times New Roman"/>
                      <w:color w:val="000000" w:themeColor="text1"/>
                      <w:sz w:val="21"/>
                      <w:szCs w:val="21"/>
                      <w14:textFill>
                        <w14:solidFill>
                          <w14:schemeClr w14:val="tx1"/>
                        </w14:solidFill>
                      </w14:textFill>
                    </w:rPr>
                    <w:t>项目投产前要经环保部门验收合格后才能投入生产</w:t>
                  </w:r>
                </w:p>
              </w:tc>
              <w:tc>
                <w:tcPr>
                  <w:tcW w:w="2303" w:type="pct"/>
                  <w:tcBorders>
                    <w:tl2br w:val="nil"/>
                    <w:tr2bl w:val="nil"/>
                  </w:tcBorders>
                  <w:vAlign w:val="center"/>
                </w:tcPr>
                <w:p>
                  <w:pPr>
                    <w:pStyle w:val="58"/>
                    <w:widowControl w:val="0"/>
                    <w:spacing w:line="240" w:lineRule="auto"/>
                    <w:ind w:left="0" w:leftChars="0" w:firstLine="0" w:firstLineChars="0"/>
                    <w:jc w:val="both"/>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本项目已按报告表提出的各项环保措施进行建设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2</w:t>
                  </w:r>
                </w:p>
              </w:tc>
              <w:tc>
                <w:tcPr>
                  <w:tcW w:w="25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要做好项目废水污染防治设施的建设，近期，生活污水经“隐化池+SBR”工艺处理后通过高排渠排入龙津溪，废水排放执行GB8978-1996《污水综合排放标准》表4一级标准；远期，待城区污水管网接入后，生活污水经化粪池处理后排入污水管网，纳入西区污水处理厂处理，废水排放执行GB8978-1996《污水综合排放标准》表4三级标准</w:t>
                  </w:r>
                </w:p>
              </w:tc>
              <w:tc>
                <w:tcPr>
                  <w:tcW w:w="23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生活污水采用三级化粪池+SBR一体化处理后经市政污水管网排入银塘污水处理厂处理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3</w:t>
                  </w:r>
                </w:p>
              </w:tc>
              <w:tc>
                <w:tcPr>
                  <w:tcW w:w="25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要做好项目废气的环保设施建设，加强通风换气，废气排放执行《大气污染物综合排放标准》（GB16297-1996）表1无组织排放监控浓度限值</w:t>
                  </w:r>
                </w:p>
              </w:tc>
              <w:tc>
                <w:tcPr>
                  <w:tcW w:w="23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机加工产生的粉尘、机加工皂化油蒸发产生的烟气排放量极小，均为无组织排放，主要通过加强车间通风降低无组织废气污染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4</w:t>
                  </w:r>
                </w:p>
              </w:tc>
              <w:tc>
                <w:tcPr>
                  <w:tcW w:w="25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建设项目产生的固体废弃物要规范化处理处置，做好综合利用；危险废物需委托有资质的单位进行安全处置</w:t>
                  </w:r>
                </w:p>
              </w:tc>
              <w:tc>
                <w:tcPr>
                  <w:tcW w:w="23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本项目生产过程中产生的边脚料、不合格产品、废包装材料外售给相关单位；废皂化油、废液压油、废柴油目前暂存于危废暂存区，待一定量后委托有资质单位处理；液压油以及皂化油的包装物集中收集后交由供应厂家回收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default" w:ascii="Times New Roman" w:hAnsi="Times New Roman"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5</w:t>
                  </w:r>
                </w:p>
              </w:tc>
              <w:tc>
                <w:tcPr>
                  <w:tcW w:w="25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要有噪声污染防治措施，厂界噪声要达到《工业企业厂界环境噪声排放标准》(GB12348-2008）中的3类标准</w:t>
                  </w:r>
                </w:p>
              </w:tc>
              <w:tc>
                <w:tcPr>
                  <w:tcW w:w="23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主要通过合理布局，使高噪声设备远离厂界；对噪声值较高的设备基座底部安装减振垫等；定期检查并调整好运动机器部件的静平衡与动平衡的动力，加强设备维护，使其处于良好运行状态，以此来降低环境噪声污染。</w:t>
                  </w:r>
                </w:p>
              </w:tc>
            </w:tr>
          </w:tbl>
          <w:p>
            <w:pPr>
              <w:pStyle w:val="36"/>
              <w:spacing w:line="360" w:lineRule="auto"/>
              <w:jc w:val="both"/>
              <w:rPr>
                <w:rFonts w:ascii="Times New Roman" w:hAnsi="Times New Roman" w:cs="Times New Roman"/>
                <w:color w:val="0000FF"/>
              </w:rPr>
            </w:pPr>
          </w:p>
        </w:tc>
      </w:tr>
    </w:tbl>
    <w:p>
      <w:pPr>
        <w:spacing w:line="360" w:lineRule="auto"/>
        <w:rPr>
          <w:rFonts w:ascii="Times New Roman" w:hAnsi="Times New Roman" w:eastAsia="宋体" w:cs="Times New Roman"/>
          <w:color w:val="0000FF"/>
          <w:sz w:val="21"/>
          <w:szCs w:val="21"/>
        </w:rPr>
        <w:sectPr>
          <w:footerReference r:id="rId6" w:type="default"/>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表五</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trPr>
        <w:tc>
          <w:tcPr>
            <w:tcW w:w="8522" w:type="dxa"/>
          </w:tcPr>
          <w:p>
            <w:pPr>
              <w:widowControl/>
              <w:spacing w:line="360" w:lineRule="auto"/>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验收监测质量保证及质量控制：</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1、监测分析方法</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此次验收监测的分析方法按环境要素说明各项监测因子监测分析方法名称、方法标准号或方法来源、分析方法的最低检出限，详见下表。</w:t>
            </w:r>
          </w:p>
          <w:p>
            <w:pPr>
              <w:widowControl w:val="0"/>
              <w:adjustRightInd/>
              <w:spacing w:line="360" w:lineRule="auto"/>
              <w:ind w:firstLine="422" w:firstLineChars="200"/>
              <w:jc w:val="center"/>
              <w:rPr>
                <w:rFonts w:ascii="Times New Roman" w:hAnsi="Times New Roman" w:eastAsia="宋体" w:cs="Times New Roman"/>
                <w:b/>
                <w:bCs/>
                <w:color w:val="000000" w:themeColor="text1"/>
                <w:sz w:val="21"/>
                <w:szCs w:val="21"/>
                <w14:textFill>
                  <w14:solidFill>
                    <w14:schemeClr w14:val="tx1"/>
                  </w14:solidFill>
                </w14:textFill>
              </w:rPr>
            </w:pPr>
            <w:bookmarkStart w:id="3" w:name="_Toc1961"/>
            <w:r>
              <w:rPr>
                <w:rFonts w:ascii="Times New Roman" w:hAnsi="Times New Roman" w:eastAsia="宋体" w:cs="Times New Roman"/>
                <w:b/>
                <w:bCs/>
                <w:color w:val="000000" w:themeColor="text1"/>
                <w:sz w:val="21"/>
                <w:szCs w:val="21"/>
                <w14:textFill>
                  <w14:solidFill>
                    <w14:schemeClr w14:val="tx1"/>
                  </w14:solidFill>
                </w14:textFill>
              </w:rPr>
              <w:t>表5-1 监测分析方法</w:t>
            </w:r>
            <w:bookmarkEnd w:id="3"/>
            <w:r>
              <w:rPr>
                <w:rFonts w:ascii="Times New Roman" w:hAnsi="Times New Roman" w:eastAsia="宋体" w:cs="Times New Roman"/>
                <w:b/>
                <w:bCs/>
                <w:color w:val="000000" w:themeColor="text1"/>
                <w:sz w:val="21"/>
                <w:szCs w:val="21"/>
                <w14:textFill>
                  <w14:solidFill>
                    <w14:schemeClr w14:val="tx1"/>
                  </w14:solidFill>
                </w14:textFill>
              </w:rPr>
              <w:t>表</w:t>
            </w:r>
          </w:p>
          <w:tbl>
            <w:tblPr>
              <w:tblStyle w:val="25"/>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465"/>
              <w:gridCol w:w="4201"/>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vAlign w:val="center"/>
                </w:tcPr>
                <w:p>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检测项目</w:t>
                  </w:r>
                </w:p>
              </w:tc>
              <w:tc>
                <w:tcPr>
                  <w:tcW w:w="4201" w:type="dxa"/>
                  <w:vAlign w:val="center"/>
                </w:tcPr>
                <w:p>
                  <w:pPr>
                    <w:jc w:val="center"/>
                    <w:rPr>
                      <w:rFonts w:hint="eastAsia" w:eastAsia="微软雅黑"/>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分析方法</w:t>
                  </w:r>
                </w:p>
              </w:tc>
              <w:tc>
                <w:tcPr>
                  <w:tcW w:w="1738" w:type="dxa"/>
                  <w:vAlign w:val="center"/>
                </w:tcPr>
                <w:p>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废水</w:t>
                  </w:r>
                </w:p>
              </w:tc>
              <w:tc>
                <w:tcPr>
                  <w:tcW w:w="14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pH</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水质 </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pH </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值的测定 电极法 </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HJ </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1147-2020</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0.01无量纲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4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SS</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水质 悬浮物的测定 重量法 </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GB 11901-1989</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14:textFill>
                        <w14:solidFill>
                          <w14:schemeClr w14:val="tx1"/>
                        </w14:solidFill>
                      </w14:textFill>
                    </w:rPr>
                    <w:t>mg/</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4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CODcr</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水质 化学需氧量的测定 重铬酸盐法 </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HJ 828-2017</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sz w:val="21"/>
                      <w:szCs w:val="21"/>
                      <w14:textFill>
                        <w14:solidFill>
                          <w14:schemeClr w14:val="tx1"/>
                        </w14:solidFill>
                      </w14:textFill>
                    </w:rPr>
                    <w:t>mg/</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4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BOD</w:t>
                  </w:r>
                  <w:r>
                    <w:rPr>
                      <w:rFonts w:hint="eastAsia"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5</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水质 五日生化需氧量（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BOD5</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）的测定稀释与接种法 </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HJ 505-2009</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14:textFill>
                        <w14:solidFill>
                          <w14:schemeClr w14:val="tx1"/>
                        </w14:solidFill>
                      </w14:textFill>
                    </w:rPr>
                    <w:t>mg/</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4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氨氮</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水质 氨氮的测定 纳氏试剂分光光度法 </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HJ 535-200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sz w:val="21"/>
                      <w:szCs w:val="21"/>
                      <w14:textFill>
                        <w14:solidFill>
                          <w14:schemeClr w14:val="tx1"/>
                        </w14:solidFill>
                      </w14:textFill>
                    </w:rPr>
                    <w:t>mg/</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无组织废气</w:t>
                  </w:r>
                </w:p>
              </w:tc>
              <w:tc>
                <w:tcPr>
                  <w:tcW w:w="14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颗粒物</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环境空气 总悬浮颗粒物的测定 </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GB/T 15432-1995 </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及修改单</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14:textFill>
                        <w14:solidFill>
                          <w14:schemeClr w14:val="tx1"/>
                        </w14:solidFill>
                      </w14:textFill>
                    </w:rPr>
                    <w:t>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4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非甲烷总烃的测定 气相色谱法 </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HJ 38-2017</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14:textFill>
                        <w14:solidFill>
                          <w14:schemeClr w14:val="tx1"/>
                        </w14:solidFill>
                      </w14:textFill>
                    </w:rPr>
                    <w:t>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厂界噪声</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环境噪声监测技术规范 噪声测量值 </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修正 </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HJ706-2014</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r>
          </w:tbl>
          <w:p>
            <w:pPr>
              <w:widowControl w:val="0"/>
              <w:adjustRightInd/>
              <w:spacing w:line="360" w:lineRule="auto"/>
              <w:ind w:firstLine="422" w:firstLineChars="200"/>
              <w:jc w:val="center"/>
              <w:rPr>
                <w:rFonts w:ascii="Times New Roman" w:hAnsi="Times New Roman" w:eastAsia="宋体" w:cs="Times New Roman"/>
                <w:b/>
                <w:bCs/>
                <w:color w:val="0000FF"/>
                <w:sz w:val="21"/>
                <w:szCs w:val="21"/>
              </w:rPr>
            </w:pP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2、质控措施</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（1）人员：承担监测任务的环境监测站通过资质认定，监测人员持证上岗。</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设备：监测过程中使用的仪器设备符合国家有关标准和技术要求。《中华人民共和国强制检定的工作计量器具明细目录》里的仪器设备，经计量检定合格并在有效期内；不属于明细目录里的仪器设备，校准合格并在有效期内使用。</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（3）监测时的工况调查：监测在企业生产设备处于正常运行状态下进行，核查工况，在建设项目竣工环境保护验收技术规范要求的负荷下采样。</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采样：采样点位选取应考虑到合适性和代表性，采样严格按技术规范要求进行，采样点位若现场与方案布设的采样点位有出入，在现场记录表格中的右上角用红笔星号（※）做标记以示区别。废气采样时保证采样系统的密封性，测试前气密性检查、校零校标，并提供校准校标记录作为附件；废气采样采集平行样。噪声采样记录上反映监测时的风速，监测时加带风罩，监测前后用标准声源对仪器进行校准，校准结果不超过0.5dB 数据方认为有效。</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（5）样品的保存及运输：凡能做现场测定的项目，均应在现场测定；不能现场测定的，应加保存剂保存并在保存期内测定。</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实验室分析：保证实验室条件，实验室用水、使用试剂、器皿符合要求。分析现场采集水质密码样，实验室水质分析、样品分析能做平行双样的加测10%以上平行样。当平行双样测定合格率低于95%时，除对当批样品重新测定外再增加样品数10%～20%的平行样，直至平行双样测定合格率大于95%。平行双样最终结果以双样的平均值报出。有证环境标准样品的带有证环境标准样品进行分析。</w:t>
            </w:r>
          </w:p>
          <w:p>
            <w:pPr>
              <w:widowControl/>
              <w:spacing w:line="360" w:lineRule="auto"/>
              <w:ind w:firstLine="480" w:firstLineChars="200"/>
              <w:jc w:val="both"/>
              <w:rPr>
                <w:color w:val="000000" w:themeColor="text1"/>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（7）采样记录、分析结果、监测方案及报告均严格执行三级审核制度。</w:t>
            </w:r>
            <w:r>
              <w:rPr>
                <w:rFonts w:hint="eastAsia" w:ascii="Times New Roman" w:hAnsi="Times New Roman" w:eastAsia="宋体" w:cs="Times New Roman"/>
                <w:color w:val="000000" w:themeColor="text1"/>
                <w:sz w:val="24"/>
                <w:szCs w:val="24"/>
                <w14:textFill>
                  <w14:solidFill>
                    <w14:schemeClr w14:val="tx1"/>
                  </w14:solidFill>
                </w14:textFill>
              </w:rPr>
              <w:t>即所在检测科室的室主任、质控负责人和技术负责人逐级审核，发现问题及时解决，不得进入下一环节。</w:t>
            </w:r>
          </w:p>
          <w:p>
            <w:pPr>
              <w:pStyle w:val="24"/>
              <w:widowControl w:val="0"/>
              <w:rPr>
                <w:color w:val="000000" w:themeColor="text1"/>
                <w14:textFill>
                  <w14:solidFill>
                    <w14:schemeClr w14:val="tx1"/>
                  </w14:solidFill>
                </w14:textFill>
              </w:rPr>
            </w:pPr>
          </w:p>
          <w:p>
            <w:pPr>
              <w:pStyle w:val="24"/>
              <w:widowControl w:val="0"/>
              <w:rPr>
                <w:rFonts w:hint="default" w:ascii="Times New Roman" w:hAnsi="Times New Roman" w:cs="Times New Roman"/>
                <w:color w:val="0000FF"/>
              </w:rPr>
            </w:pPr>
          </w:p>
        </w:tc>
      </w:tr>
    </w:tbl>
    <w:p>
      <w:pPr>
        <w:spacing w:line="360" w:lineRule="auto"/>
        <w:rPr>
          <w:rFonts w:ascii="Times New Roman" w:hAnsi="Times New Roman" w:eastAsia="宋体" w:cs="Times New Roman"/>
          <w:color w:val="0000FF"/>
          <w:sz w:val="21"/>
          <w:szCs w:val="21"/>
        </w:rPr>
      </w:pPr>
    </w:p>
    <w:p>
      <w:pPr>
        <w:spacing w:line="360" w:lineRule="auto"/>
        <w:rPr>
          <w:rFonts w:ascii="Times New Roman" w:hAnsi="Times New Roman" w:eastAsia="宋体" w:cs="Times New Roman"/>
          <w:color w:val="0000FF"/>
          <w:sz w:val="21"/>
          <w:szCs w:val="21"/>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表六</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验收监测内容：</w:t>
            </w:r>
          </w:p>
          <w:p>
            <w:pPr>
              <w:widowControl w:val="0"/>
              <w:adjustRightInd/>
              <w:snapToGrid/>
              <w:spacing w:line="360" w:lineRule="auto"/>
              <w:ind w:firstLine="480" w:firstLineChars="200"/>
              <w:jc w:val="both"/>
              <w:outlineLvl w:val="1"/>
              <w:rPr>
                <w:rFonts w:ascii="Times New Roman" w:hAnsi="Times New Roman" w:eastAsia="宋体" w:cs="Times New Roman"/>
                <w:bCs/>
                <w:color w:val="auto"/>
                <w:sz w:val="24"/>
                <w:szCs w:val="24"/>
              </w:rPr>
            </w:pPr>
            <w:bookmarkStart w:id="4" w:name="_Toc24246"/>
            <w:bookmarkStart w:id="5" w:name="_Toc4084"/>
            <w:r>
              <w:rPr>
                <w:rFonts w:ascii="Times New Roman" w:hAnsi="Times New Roman" w:eastAsia="宋体" w:cs="Times New Roman"/>
                <w:bCs/>
                <w:color w:val="auto"/>
                <w:sz w:val="24"/>
                <w:szCs w:val="24"/>
              </w:rPr>
              <w:t>1、环境保护设施调试效果</w:t>
            </w:r>
            <w:bookmarkEnd w:id="4"/>
            <w:bookmarkEnd w:id="5"/>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通过对各类污染物达标排放排放及各类污染治理设施去除效率的监测，来说明环境保护设施调试效果，具体监测内容如下：</w:t>
            </w:r>
          </w:p>
          <w:p>
            <w:pPr>
              <w:widowControl w:val="0"/>
              <w:numPr>
                <w:ilvl w:val="0"/>
                <w:numId w:val="5"/>
              </w:numPr>
              <w:adjustRightInd/>
              <w:snapToGrid/>
              <w:spacing w:line="360" w:lineRule="auto"/>
              <w:ind w:firstLine="480" w:firstLineChars="200"/>
              <w:jc w:val="both"/>
              <w:rPr>
                <w:rFonts w:hint="eastAsia" w:ascii="Times New Roman" w:hAnsi="Times New Roman" w:eastAsia="宋体" w:cs="Times New Roman"/>
                <w:bCs/>
                <w:color w:val="auto"/>
                <w:sz w:val="24"/>
                <w:szCs w:val="24"/>
                <w:lang w:val="en-US" w:eastAsia="zh-CN"/>
              </w:rPr>
            </w:pPr>
            <w:r>
              <w:rPr>
                <w:rFonts w:ascii="Times New Roman" w:hAnsi="Times New Roman" w:eastAsia="宋体" w:cs="Times New Roman"/>
                <w:bCs/>
                <w:color w:val="auto"/>
                <w:sz w:val="24"/>
                <w:szCs w:val="24"/>
              </w:rPr>
              <w:t>废</w:t>
            </w:r>
            <w:r>
              <w:rPr>
                <w:rFonts w:hint="eastAsia" w:ascii="Times New Roman" w:hAnsi="Times New Roman" w:eastAsia="宋体" w:cs="Times New Roman"/>
                <w:bCs/>
                <w:color w:val="auto"/>
                <w:sz w:val="24"/>
                <w:szCs w:val="24"/>
                <w:lang w:val="en-US" w:eastAsia="zh-CN"/>
              </w:rPr>
              <w:t>水</w:t>
            </w:r>
          </w:p>
          <w:p>
            <w:pPr>
              <w:widowControl/>
              <w:numPr>
                <w:ilvl w:val="0"/>
                <w:numId w:val="0"/>
              </w:numPr>
              <w:spacing w:line="360" w:lineRule="auto"/>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lang w:val="en-US" w:eastAsia="zh-CN"/>
              </w:rPr>
              <w:t>1 废水</w:t>
            </w:r>
            <w:r>
              <w:rPr>
                <w:rFonts w:ascii="Times New Roman" w:hAnsi="Times New Roman" w:eastAsia="宋体" w:cs="Times New Roman"/>
                <w:b/>
                <w:color w:val="auto"/>
                <w:sz w:val="21"/>
                <w:szCs w:val="21"/>
              </w:rPr>
              <w:t>监测明内容细</w:t>
            </w:r>
          </w:p>
          <w:tbl>
            <w:tblPr>
              <w:tblStyle w:val="26"/>
              <w:tblW w:w="821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825"/>
              <w:gridCol w:w="2877"/>
              <w:gridCol w:w="14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03"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2825"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2877"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141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生活废水</w:t>
                  </w:r>
                </w:p>
              </w:tc>
              <w:tc>
                <w:tcPr>
                  <w:tcW w:w="2825"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生活废水处理设施出口</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三级化粪池+SBR一体化</w:t>
                  </w:r>
                </w:p>
              </w:tc>
              <w:tc>
                <w:tcPr>
                  <w:tcW w:w="141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3次/天，2天</w:t>
                  </w:r>
                </w:p>
              </w:tc>
            </w:tr>
          </w:tbl>
          <w:p>
            <w:pPr>
              <w:pStyle w:val="4"/>
              <w:widowControl w:val="0"/>
              <w:numPr>
                <w:ilvl w:val="0"/>
                <w:numId w:val="0"/>
              </w:numPr>
              <w:spacing w:line="360" w:lineRule="auto"/>
              <w:ind w:firstLine="480" w:firstLineChars="200"/>
              <w:jc w:val="both"/>
              <w:rPr>
                <w:rFonts w:hint="eastAsia" w:ascii="Times New Roman" w:hAnsi="Times New Roman" w:eastAsia="宋体" w:cs="Times New Roman"/>
                <w:b w:val="0"/>
                <w:bCs/>
                <w:color w:val="auto"/>
                <w:kern w:val="0"/>
                <w:sz w:val="24"/>
                <w:szCs w:val="24"/>
                <w:lang w:val="en-US" w:eastAsia="zh-CN" w:bidi="ar-SA"/>
              </w:rPr>
            </w:pPr>
            <w:r>
              <w:rPr>
                <w:rFonts w:hint="eastAsia" w:ascii="Times New Roman" w:hAnsi="Times New Roman" w:eastAsia="宋体" w:cs="Times New Roman"/>
                <w:b w:val="0"/>
                <w:bCs/>
                <w:color w:val="auto"/>
                <w:kern w:val="0"/>
                <w:sz w:val="24"/>
                <w:szCs w:val="24"/>
                <w:lang w:val="en-US" w:eastAsia="zh-CN" w:bidi="ar-SA"/>
              </w:rPr>
              <w:t>（2）废气</w:t>
            </w:r>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本次验收废气监测内容明细表见下表。</w:t>
            </w:r>
          </w:p>
          <w:p>
            <w:pPr>
              <w:widowControl w:val="0"/>
              <w:adjustRightInd/>
              <w:snapToGrid/>
              <w:spacing w:beforeLines="5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lang w:val="en-US" w:eastAsia="zh-CN"/>
              </w:rPr>
              <w:t xml:space="preserve">2 </w:t>
            </w:r>
            <w:r>
              <w:rPr>
                <w:rFonts w:ascii="Times New Roman" w:hAnsi="Times New Roman" w:eastAsia="宋体" w:cs="Times New Roman"/>
                <w:b/>
                <w:color w:val="auto"/>
                <w:sz w:val="21"/>
                <w:szCs w:val="21"/>
              </w:rPr>
              <w:t>废气监测明内容细</w:t>
            </w:r>
          </w:p>
          <w:tbl>
            <w:tblPr>
              <w:tblStyle w:val="26"/>
              <w:tblW w:w="821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2478"/>
              <w:gridCol w:w="2877"/>
              <w:gridCol w:w="14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2478"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2877"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141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450"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无组织废气</w:t>
                  </w:r>
                </w:p>
              </w:tc>
              <w:tc>
                <w:tcPr>
                  <w:tcW w:w="2478"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上方向1个点</w:t>
                  </w:r>
                </w:p>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下方向3个点</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41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3次/天，2天</w:t>
                  </w:r>
                </w:p>
              </w:tc>
            </w:tr>
          </w:tbl>
          <w:p>
            <w:pPr>
              <w:widowControl w:val="0"/>
              <w:adjustRightInd/>
              <w:spacing w:line="360" w:lineRule="auto"/>
              <w:ind w:firstLine="480" w:firstLineChars="200"/>
              <w:jc w:val="both"/>
              <w:outlineLvl w:val="2"/>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lang w:val="en-US" w:eastAsia="zh-CN"/>
              </w:rPr>
              <w:t>3</w:t>
            </w:r>
            <w:r>
              <w:rPr>
                <w:rFonts w:ascii="Times New Roman" w:hAnsi="Times New Roman" w:eastAsia="宋体" w:cs="Times New Roman"/>
                <w:bCs/>
                <w:color w:val="auto"/>
                <w:sz w:val="24"/>
                <w:szCs w:val="24"/>
              </w:rPr>
              <w:t>）厂界噪声监测</w:t>
            </w:r>
          </w:p>
          <w:p>
            <w:pPr>
              <w:widowControl w:val="0"/>
              <w:adjustRightIn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本次验收厂界噪声监测明细表见下表。</w:t>
            </w:r>
          </w:p>
          <w:p>
            <w:pPr>
              <w:widowControl w:val="0"/>
              <w:adjustRightInd/>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lang w:val="en-US" w:eastAsia="zh-CN"/>
              </w:rPr>
              <w:t>3</w:t>
            </w:r>
            <w:r>
              <w:rPr>
                <w:rFonts w:ascii="Times New Roman" w:hAnsi="Times New Roman" w:eastAsia="宋体" w:cs="Times New Roman"/>
                <w:b/>
                <w:color w:val="auto"/>
                <w:sz w:val="21"/>
                <w:szCs w:val="21"/>
              </w:rPr>
              <w:t>厂界噪声监测内容明细</w:t>
            </w:r>
          </w:p>
          <w:tbl>
            <w:tblPr>
              <w:tblStyle w:val="26"/>
              <w:tblW w:w="795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1955"/>
              <w:gridCol w:w="1415"/>
              <w:gridCol w:w="282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1955"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1415"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2827"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厂界噪声</w:t>
                  </w: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厂界1</w:t>
                  </w:r>
                </w:p>
              </w:tc>
              <w:tc>
                <w:tcPr>
                  <w:tcW w:w="1415" w:type="dxa"/>
                  <w:vMerge w:val="restart"/>
                  <w:tcBorders>
                    <w:tl2br w:val="nil"/>
                    <w:tr2bl w:val="nil"/>
                  </w:tcBorders>
                  <w:vAlign w:val="center"/>
                </w:tcPr>
                <w:p>
                  <w:pPr>
                    <w:widowControl w:val="0"/>
                    <w:adjustRightIn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隔声</w:t>
                  </w:r>
                  <w:r>
                    <w:rPr>
                      <w:rFonts w:hint="eastAsia" w:ascii="Times New Roman" w:hAnsi="Times New Roman" w:eastAsia="宋体" w:cs="Times New Roman"/>
                      <w:bCs/>
                      <w:color w:val="auto"/>
                      <w:sz w:val="21"/>
                      <w:szCs w:val="21"/>
                    </w:rPr>
                    <w:t>、合理布局机台</w:t>
                  </w:r>
                </w:p>
              </w:tc>
              <w:tc>
                <w:tcPr>
                  <w:tcW w:w="2827"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昼</w:t>
                  </w:r>
                  <w:r>
                    <w:rPr>
                      <w:rFonts w:hint="eastAsia" w:ascii="Times New Roman" w:hAnsi="Times New Roman" w:eastAsia="宋体" w:cs="Times New Roman"/>
                      <w:bCs/>
                      <w:color w:val="auto"/>
                      <w:sz w:val="21"/>
                      <w:szCs w:val="21"/>
                    </w:rPr>
                    <w:t>间</w:t>
                  </w:r>
                  <w:r>
                    <w:rPr>
                      <w:rFonts w:ascii="Times New Roman" w:hAnsi="Times New Roman" w:eastAsia="宋体" w:cs="Times New Roman"/>
                      <w:bCs/>
                      <w:color w:val="auto"/>
                      <w:sz w:val="21"/>
                      <w:szCs w:val="21"/>
                    </w:rPr>
                    <w:t>1次/天，2天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厂界2</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厂界3</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厂界</w:t>
                  </w:r>
                  <w:r>
                    <w:rPr>
                      <w:rFonts w:hint="eastAsia" w:ascii="Times New Roman" w:hAnsi="Times New Roman" w:eastAsia="宋体" w:cs="Times New Roman"/>
                      <w:color w:val="auto"/>
                      <w:sz w:val="21"/>
                      <w:szCs w:val="21"/>
                      <w:lang w:val="en-US" w:eastAsia="zh-CN"/>
                    </w:rPr>
                    <w:t>4</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bl>
          <w:p>
            <w:pPr>
              <w:widowControl w:val="0"/>
              <w:spacing w:line="240" w:lineRule="auto"/>
              <w:ind w:firstLine="480" w:firstLineChars="200"/>
              <w:jc w:val="both"/>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具体监测点位见下图6-1：</w:t>
            </w:r>
          </w:p>
          <w:p>
            <w:pPr>
              <w:widowControl w:val="0"/>
              <w:spacing w:line="240" w:lineRule="auto"/>
              <w:jc w:val="center"/>
              <w:rPr>
                <w:rFonts w:hint="eastAsia" w:ascii="Times New Roman" w:hAnsi="Times New Roman" w:eastAsia="宋体" w:cs="Times New Roman"/>
                <w:color w:val="auto"/>
                <w:sz w:val="24"/>
                <w:szCs w:val="24"/>
              </w:rPr>
            </w:pPr>
            <w:r>
              <w:drawing>
                <wp:inline distT="0" distB="0" distL="114300" distR="114300">
                  <wp:extent cx="4211955" cy="2712720"/>
                  <wp:effectExtent l="0" t="0" r="1714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4211955" cy="2712720"/>
                          </a:xfrm>
                          <a:prstGeom prst="rect">
                            <a:avLst/>
                          </a:prstGeom>
                          <a:noFill/>
                          <a:ln>
                            <a:noFill/>
                          </a:ln>
                        </pic:spPr>
                      </pic:pic>
                    </a:graphicData>
                  </a:graphic>
                </wp:inline>
              </w:drawing>
            </w:r>
          </w:p>
          <w:p>
            <w:pPr>
              <w:pStyle w:val="24"/>
              <w:widowControl w:val="0"/>
              <w:rPr>
                <w:color w:val="0000FF"/>
              </w:rPr>
            </w:pPr>
            <w:r>
              <w:rPr>
                <w:rFonts w:hint="eastAsia" w:ascii="Times New Roman" w:hAnsi="Times New Roman" w:eastAsia="宋体" w:cs="Times New Roman"/>
                <w:b/>
                <w:bCs/>
                <w:color w:val="auto"/>
                <w:sz w:val="21"/>
                <w:szCs w:val="21"/>
              </w:rPr>
              <w:t>图6-1 监测点位图</w:t>
            </w:r>
          </w:p>
        </w:tc>
      </w:tr>
    </w:tbl>
    <w:p>
      <w:pPr>
        <w:spacing w:line="360" w:lineRule="auto"/>
        <w:outlineLvl w:val="0"/>
        <w:rPr>
          <w:rFonts w:ascii="Times New Roman" w:hAnsi="Times New Roman" w:eastAsia="宋体" w:cs="Times New Roman"/>
          <w:b/>
          <w:color w:val="0000FF"/>
          <w:sz w:val="21"/>
          <w:szCs w:val="21"/>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表七</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3" w:hRule="atLeast"/>
        </w:trPr>
        <w:tc>
          <w:tcPr>
            <w:tcW w:w="852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验收监测期间生产工况记录：</w:t>
            </w: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bookmarkStart w:id="6" w:name="_Toc8105"/>
            <w:bookmarkStart w:id="7" w:name="_Toc23720"/>
            <w:r>
              <w:rPr>
                <w:rFonts w:ascii="Times New Roman" w:hAnsi="Times New Roman" w:eastAsia="宋体" w:cs="Times New Roman"/>
                <w:color w:val="auto"/>
                <w:sz w:val="24"/>
                <w:szCs w:val="24"/>
              </w:rPr>
              <w:t>1、生产工况</w:t>
            </w:r>
            <w:bookmarkEnd w:id="6"/>
            <w:bookmarkEnd w:id="7"/>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厦门威正检测技术有限公司</w:t>
            </w:r>
            <w:r>
              <w:rPr>
                <w:rFonts w:hint="eastAsia"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2021年6月7日至2021年6月8日</w:t>
            </w:r>
            <w:r>
              <w:rPr>
                <w:rFonts w:hint="eastAsia" w:ascii="Times New Roman" w:hAnsi="Times New Roman" w:eastAsia="宋体" w:cs="Times New Roman"/>
                <w:color w:val="auto"/>
                <w:sz w:val="24"/>
                <w:szCs w:val="24"/>
              </w:rPr>
              <w:t>到</w:t>
            </w:r>
            <w:r>
              <w:rPr>
                <w:rFonts w:hint="eastAsia" w:ascii="Times New Roman" w:hAnsi="Times New Roman" w:eastAsia="宋体" w:cs="Times New Roman"/>
                <w:color w:val="auto"/>
                <w:sz w:val="24"/>
                <w:szCs w:val="24"/>
                <w:lang w:val="en-US" w:eastAsia="zh-CN"/>
              </w:rPr>
              <w:t>长泰友联机械厂（普通合伙）</w:t>
            </w:r>
            <w:r>
              <w:rPr>
                <w:rFonts w:hint="eastAsia" w:ascii="Times New Roman" w:hAnsi="Times New Roman" w:eastAsia="宋体" w:cs="Times New Roman"/>
                <w:color w:val="auto"/>
                <w:sz w:val="24"/>
                <w:szCs w:val="24"/>
              </w:rPr>
              <w:t>进行现场监测，项目环评设计</w:t>
            </w:r>
            <w:r>
              <w:rPr>
                <w:rFonts w:hint="eastAsia" w:ascii="Times New Roman" w:hAnsi="Times New Roman" w:eastAsia="宋体" w:cs="Times New Roman"/>
                <w:color w:val="auto"/>
                <w:sz w:val="24"/>
                <w:szCs w:val="24"/>
                <w:lang w:eastAsia="zh-CN"/>
              </w:rPr>
              <w:t>年加工30万件轴承配件</w:t>
            </w:r>
            <w:r>
              <w:rPr>
                <w:rFonts w:hint="eastAsia" w:ascii="Times New Roman" w:hAnsi="Times New Roman" w:eastAsia="宋体" w:cs="Times New Roman"/>
                <w:color w:val="auto"/>
                <w:sz w:val="24"/>
                <w:szCs w:val="24"/>
              </w:rPr>
              <w:t>，目前项目实际生产能力为</w:t>
            </w:r>
            <w:r>
              <w:rPr>
                <w:rFonts w:hint="eastAsia" w:ascii="Times New Roman" w:hAnsi="Times New Roman" w:eastAsia="宋体" w:cs="Times New Roman"/>
                <w:color w:val="auto"/>
                <w:sz w:val="24"/>
                <w:szCs w:val="24"/>
                <w:lang w:eastAsia="zh-CN"/>
              </w:rPr>
              <w:t>年加工30万件轴承配件</w:t>
            </w:r>
            <w:r>
              <w:rPr>
                <w:rFonts w:hint="eastAsia" w:ascii="Times New Roman" w:hAnsi="Times New Roman" w:eastAsia="宋体" w:cs="Times New Roman"/>
                <w:color w:val="auto"/>
                <w:sz w:val="24"/>
                <w:szCs w:val="24"/>
              </w:rPr>
              <w:t>。在验收期间，</w:t>
            </w:r>
            <w:r>
              <w:rPr>
                <w:rFonts w:hint="eastAsia" w:ascii="Times New Roman" w:hAnsi="Times New Roman" w:eastAsia="宋体" w:cs="Times New Roman"/>
                <w:color w:val="auto"/>
                <w:sz w:val="24"/>
                <w:szCs w:val="24"/>
                <w:lang w:eastAsia="zh-CN"/>
              </w:rPr>
              <w:t>6月7日加工轴承配件</w:t>
            </w:r>
            <w:r>
              <w:rPr>
                <w:rFonts w:hint="eastAsia" w:ascii="Times New Roman" w:hAnsi="Times New Roman" w:eastAsia="宋体" w:cs="Times New Roman"/>
                <w:color w:val="auto"/>
                <w:sz w:val="24"/>
                <w:szCs w:val="24"/>
                <w:lang w:val="en-US" w:eastAsia="zh-CN"/>
              </w:rPr>
              <w:t>773</w:t>
            </w:r>
            <w:r>
              <w:rPr>
                <w:rFonts w:hint="eastAsia" w:ascii="Times New Roman" w:hAnsi="Times New Roman" w:eastAsia="宋体" w:cs="Times New Roman"/>
                <w:color w:val="auto"/>
                <w:sz w:val="24"/>
                <w:szCs w:val="24"/>
                <w:lang w:eastAsia="zh-CN"/>
              </w:rPr>
              <w:t>件</w:t>
            </w:r>
            <w:r>
              <w:rPr>
                <w:rFonts w:hint="eastAsia" w:ascii="Times New Roman" w:hAnsi="Times New Roman" w:eastAsia="宋体" w:cs="Times New Roman"/>
                <w:color w:val="auto"/>
                <w:sz w:val="24"/>
                <w:szCs w:val="24"/>
              </w:rPr>
              <w:t>，生产负荷率为</w:t>
            </w:r>
            <w:r>
              <w:rPr>
                <w:rFonts w:hint="eastAsia" w:ascii="Times New Roman" w:hAnsi="Times New Roman" w:eastAsia="宋体" w:cs="Times New Roman"/>
                <w:color w:val="auto"/>
                <w:sz w:val="24"/>
                <w:szCs w:val="24"/>
                <w:lang w:val="en-US" w:eastAsia="zh-CN"/>
              </w:rPr>
              <w:t>85</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6月8日加工轴承配件</w:t>
            </w:r>
            <w:r>
              <w:rPr>
                <w:rFonts w:hint="eastAsia" w:ascii="Times New Roman" w:hAnsi="Times New Roman" w:eastAsia="宋体" w:cs="Times New Roman"/>
                <w:color w:val="auto"/>
                <w:sz w:val="24"/>
                <w:szCs w:val="24"/>
                <w:lang w:val="en-US" w:eastAsia="zh-CN"/>
              </w:rPr>
              <w:t>818</w:t>
            </w:r>
            <w:r>
              <w:rPr>
                <w:rFonts w:hint="eastAsia" w:ascii="Times New Roman" w:hAnsi="Times New Roman" w:eastAsia="宋体" w:cs="Times New Roman"/>
                <w:color w:val="auto"/>
                <w:sz w:val="24"/>
                <w:szCs w:val="24"/>
                <w:lang w:eastAsia="zh-CN"/>
              </w:rPr>
              <w:t>件，生</w:t>
            </w:r>
            <w:r>
              <w:rPr>
                <w:rFonts w:hint="eastAsia" w:ascii="Times New Roman" w:hAnsi="Times New Roman" w:eastAsia="宋体" w:cs="Times New Roman"/>
                <w:color w:val="auto"/>
                <w:sz w:val="24"/>
                <w:szCs w:val="24"/>
              </w:rPr>
              <w:t>产负荷率为9</w:t>
            </w:r>
            <w:r>
              <w:rPr>
                <w:rFonts w:hint="eastAsia"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rPr>
              <w:t>%。采样期间的现场工况见下表。</w:t>
            </w:r>
          </w:p>
          <w:p>
            <w:pPr>
              <w:widowControl w:val="0"/>
              <w:adjustRightInd/>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表7-1 生产负荷表</w:t>
            </w:r>
          </w:p>
          <w:tbl>
            <w:tblPr>
              <w:tblStyle w:val="26"/>
              <w:tblW w:w="472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452"/>
              <w:gridCol w:w="1489"/>
              <w:gridCol w:w="2661"/>
              <w:gridCol w:w="99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日期</w:t>
                  </w:r>
                </w:p>
              </w:tc>
              <w:tc>
                <w:tcPr>
                  <w:tcW w:w="926"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环评设计产能</w:t>
                  </w:r>
                </w:p>
              </w:tc>
              <w:tc>
                <w:tcPr>
                  <w:tcW w:w="950"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实际产能</w:t>
                  </w:r>
                </w:p>
              </w:tc>
              <w:tc>
                <w:tcPr>
                  <w:tcW w:w="1697"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采样当天产能</w:t>
                  </w:r>
                </w:p>
              </w:tc>
              <w:tc>
                <w:tcPr>
                  <w:tcW w:w="634"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负荷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4"/>
                      <w:szCs w:val="24"/>
                      <w:lang w:eastAsia="zh-CN"/>
                    </w:rPr>
                    <w:t>6月</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eastAsia="zh-CN"/>
                    </w:rPr>
                    <w:t>日</w:t>
                  </w:r>
                </w:p>
              </w:tc>
              <w:tc>
                <w:tcPr>
                  <w:tcW w:w="926"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年加工30万件轴承配件</w:t>
                  </w:r>
                </w:p>
              </w:tc>
              <w:tc>
                <w:tcPr>
                  <w:tcW w:w="950"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年加工30万件轴承配件</w:t>
                  </w:r>
                </w:p>
              </w:tc>
              <w:tc>
                <w:tcPr>
                  <w:tcW w:w="1697" w:type="pct"/>
                  <w:tcBorders>
                    <w:tl2br w:val="nil"/>
                    <w:tr2bl w:val="nil"/>
                  </w:tcBorders>
                  <w:vAlign w:val="center"/>
                </w:tcPr>
                <w:p>
                  <w:pPr>
                    <w:widowControl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加工轴承配件</w:t>
                  </w:r>
                  <w:r>
                    <w:rPr>
                      <w:rFonts w:hint="eastAsia" w:ascii="Times New Roman" w:hAnsi="Times New Roman" w:eastAsia="宋体" w:cs="Times New Roman"/>
                      <w:color w:val="auto"/>
                      <w:sz w:val="21"/>
                      <w:szCs w:val="21"/>
                      <w:lang w:val="en-US" w:eastAsia="zh-CN"/>
                    </w:rPr>
                    <w:t>773</w:t>
                  </w:r>
                  <w:r>
                    <w:rPr>
                      <w:rFonts w:hint="eastAsia" w:ascii="Times New Roman" w:hAnsi="Times New Roman" w:eastAsia="宋体" w:cs="Times New Roman"/>
                      <w:color w:val="auto"/>
                      <w:sz w:val="21"/>
                      <w:szCs w:val="21"/>
                      <w:lang w:eastAsia="zh-CN"/>
                    </w:rPr>
                    <w:t>件</w:t>
                  </w:r>
                </w:p>
              </w:tc>
              <w:tc>
                <w:tcPr>
                  <w:tcW w:w="634" w:type="pct"/>
                  <w:vMerge w:val="restar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4"/>
                      <w:szCs w:val="24"/>
                      <w:lang w:eastAsia="zh-CN"/>
                    </w:rPr>
                    <w:t>6月8日</w:t>
                  </w:r>
                </w:p>
              </w:tc>
              <w:tc>
                <w:tcPr>
                  <w:tcW w:w="926"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p>
              </w:tc>
              <w:tc>
                <w:tcPr>
                  <w:tcW w:w="950"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p>
              </w:tc>
              <w:tc>
                <w:tcPr>
                  <w:tcW w:w="1697" w:type="pct"/>
                  <w:tcBorders>
                    <w:tl2br w:val="nil"/>
                    <w:tr2bl w:val="nil"/>
                  </w:tcBorders>
                  <w:vAlign w:val="center"/>
                </w:tcPr>
                <w:p>
                  <w:pPr>
                    <w:widowControl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加工轴承配件</w:t>
                  </w:r>
                  <w:r>
                    <w:rPr>
                      <w:rFonts w:hint="eastAsia" w:ascii="Times New Roman" w:hAnsi="Times New Roman" w:eastAsia="宋体" w:cs="Times New Roman"/>
                      <w:color w:val="auto"/>
                      <w:sz w:val="21"/>
                      <w:szCs w:val="21"/>
                      <w:lang w:val="en-US" w:eastAsia="zh-CN"/>
                    </w:rPr>
                    <w:t>818</w:t>
                  </w:r>
                  <w:r>
                    <w:rPr>
                      <w:rFonts w:hint="eastAsia" w:ascii="Times New Roman" w:hAnsi="Times New Roman" w:eastAsia="宋体" w:cs="Times New Roman"/>
                      <w:color w:val="auto"/>
                      <w:sz w:val="21"/>
                      <w:szCs w:val="21"/>
                      <w:lang w:eastAsia="zh-CN"/>
                    </w:rPr>
                    <w:t>件</w:t>
                  </w:r>
                </w:p>
              </w:tc>
              <w:tc>
                <w:tcPr>
                  <w:tcW w:w="634" w:type="pct"/>
                  <w:vMerge w:val="continue"/>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p>
              </w:tc>
            </w:tr>
          </w:tbl>
          <w:p>
            <w:pPr>
              <w:widowControl/>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验收监测结果：</w:t>
            </w:r>
          </w:p>
          <w:p>
            <w:pPr>
              <w:widowControl/>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废水</w:t>
            </w:r>
          </w:p>
          <w:p>
            <w:pPr>
              <w:widowControl/>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废水监测结果见下表。</w:t>
            </w:r>
          </w:p>
          <w:p>
            <w:pPr>
              <w:pStyle w:val="2"/>
              <w:widowControl w:val="0"/>
              <w:jc w:val="center"/>
              <w:rPr>
                <w:rFonts w:ascii="Times New Roman" w:hAnsi="Times New Roman" w:eastAsia="宋体" w:cs="Times New Roman"/>
                <w:b/>
                <w:bCs/>
                <w:color w:val="auto"/>
                <w:spacing w:val="0"/>
                <w:sz w:val="21"/>
                <w:szCs w:val="21"/>
                <w:lang w:val="en-US" w:eastAsia="zh-CN" w:bidi="ar-SA"/>
              </w:rPr>
            </w:pPr>
            <w:r>
              <w:rPr>
                <w:rFonts w:ascii="Times New Roman" w:hAnsi="Times New Roman" w:eastAsia="宋体" w:cs="Times New Roman"/>
                <w:b/>
                <w:bCs/>
                <w:color w:val="auto"/>
                <w:spacing w:val="0"/>
                <w:sz w:val="21"/>
                <w:szCs w:val="21"/>
                <w:lang w:val="en-US" w:eastAsia="zh-CN" w:bidi="ar-SA"/>
              </w:rPr>
              <w:t>表7-</w:t>
            </w:r>
            <w:r>
              <w:rPr>
                <w:rFonts w:hint="eastAsia" w:ascii="Times New Roman" w:hAnsi="Times New Roman" w:eastAsia="宋体" w:cs="Times New Roman"/>
                <w:b/>
                <w:bCs/>
                <w:color w:val="auto"/>
                <w:spacing w:val="0"/>
                <w:sz w:val="21"/>
                <w:szCs w:val="21"/>
                <w:lang w:val="en-US" w:eastAsia="zh-CN" w:bidi="ar-SA"/>
              </w:rPr>
              <w:t>2</w:t>
            </w:r>
            <w:r>
              <w:rPr>
                <w:rFonts w:ascii="Times New Roman" w:hAnsi="Times New Roman" w:eastAsia="宋体" w:cs="Times New Roman"/>
                <w:b/>
                <w:bCs/>
                <w:color w:val="auto"/>
                <w:spacing w:val="0"/>
                <w:sz w:val="21"/>
                <w:szCs w:val="21"/>
                <w:lang w:val="en-US" w:eastAsia="zh-CN" w:bidi="ar-SA"/>
              </w:rPr>
              <w:t>废</w:t>
            </w:r>
            <w:r>
              <w:rPr>
                <w:rFonts w:hint="eastAsia" w:ascii="Times New Roman" w:hAnsi="Times New Roman" w:eastAsia="宋体" w:cs="Times New Roman"/>
                <w:b/>
                <w:bCs/>
                <w:color w:val="auto"/>
                <w:spacing w:val="0"/>
                <w:sz w:val="21"/>
                <w:szCs w:val="21"/>
                <w:lang w:val="en-US" w:eastAsia="zh-CN" w:bidi="ar-SA"/>
              </w:rPr>
              <w:t>水</w:t>
            </w:r>
            <w:r>
              <w:rPr>
                <w:rFonts w:ascii="Times New Roman" w:hAnsi="Times New Roman" w:eastAsia="宋体" w:cs="Times New Roman"/>
                <w:b/>
                <w:bCs/>
                <w:color w:val="auto"/>
                <w:spacing w:val="0"/>
                <w:sz w:val="21"/>
                <w:szCs w:val="21"/>
                <w:lang w:val="en-US" w:eastAsia="zh-CN" w:bidi="ar-SA"/>
              </w:rPr>
              <w:t>监测结果</w:t>
            </w:r>
          </w:p>
          <w:tbl>
            <w:tblPr>
              <w:tblStyle w:val="26"/>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54"/>
              <w:gridCol w:w="735"/>
              <w:gridCol w:w="975"/>
              <w:gridCol w:w="1248"/>
              <w:gridCol w:w="990"/>
              <w:gridCol w:w="1050"/>
              <w:gridCol w:w="976"/>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restart"/>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采样日期</w:t>
                  </w:r>
                </w:p>
              </w:tc>
              <w:tc>
                <w:tcPr>
                  <w:tcW w:w="754" w:type="dxa"/>
                  <w:vMerge w:val="restart"/>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735" w:type="dxa"/>
                  <w:vMerge w:val="restart"/>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处理设施</w:t>
                  </w:r>
                </w:p>
              </w:tc>
              <w:tc>
                <w:tcPr>
                  <w:tcW w:w="975" w:type="dxa"/>
                  <w:vMerge w:val="restart"/>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1248" w:type="dxa"/>
                  <w:vMerge w:val="restart"/>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标准限值</w:t>
                  </w:r>
                </w:p>
              </w:tc>
              <w:tc>
                <w:tcPr>
                  <w:tcW w:w="3939" w:type="dxa"/>
                  <w:gridSpan w:val="4"/>
                </w:tcPr>
                <w:p>
                  <w:pPr>
                    <w:pStyle w:val="3"/>
                    <w:widowControl w:val="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检测结果</w:t>
                  </w:r>
                  <w:r>
                    <w:rPr>
                      <w:rFonts w:hint="eastAsia" w:ascii="Times New Roman" w:hAnsi="Times New Roman" w:eastAsia="宋体" w:cs="Times New Roman"/>
                      <w:color w:val="auto"/>
                      <w:sz w:val="21"/>
                      <w:szCs w:val="21"/>
                      <w:vertAlign w:val="baseline"/>
                      <w:lang w:val="en-US" w:eastAsia="zh-CN"/>
                    </w:rPr>
                    <w:t>（单位：pH值为无量纲，其他均为mg/L）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655" w:type="dxa"/>
                  <w:vMerge w:val="continue"/>
                </w:tcPr>
                <w:p>
                  <w:pPr>
                    <w:pStyle w:val="3"/>
                    <w:widowControl w:val="0"/>
                    <w:rPr>
                      <w:rFonts w:hint="default" w:ascii="Times New Roman" w:hAnsi="Times New Roman" w:eastAsia="宋体" w:cs="Times New Roman"/>
                      <w:color w:val="auto"/>
                      <w:sz w:val="21"/>
                      <w:szCs w:val="21"/>
                      <w:vertAlign w:val="baseline"/>
                      <w:lang w:val="en-US" w:eastAsia="zh-CN"/>
                    </w:rPr>
                  </w:pPr>
                </w:p>
              </w:tc>
              <w:tc>
                <w:tcPr>
                  <w:tcW w:w="754" w:type="dxa"/>
                  <w:vMerge w:val="continue"/>
                </w:tcPr>
                <w:p>
                  <w:pPr>
                    <w:pStyle w:val="3"/>
                    <w:widowControl w:val="0"/>
                    <w:rPr>
                      <w:rFonts w:hint="default" w:ascii="Times New Roman" w:hAnsi="Times New Roman" w:eastAsia="宋体" w:cs="Times New Roman"/>
                      <w:color w:val="auto"/>
                      <w:sz w:val="21"/>
                      <w:szCs w:val="21"/>
                      <w:vertAlign w:val="baseline"/>
                      <w:lang w:val="en-US" w:eastAsia="zh-CN"/>
                    </w:rPr>
                  </w:pPr>
                </w:p>
              </w:tc>
              <w:tc>
                <w:tcPr>
                  <w:tcW w:w="735" w:type="dxa"/>
                  <w:vMerge w:val="continue"/>
                </w:tcPr>
                <w:p>
                  <w:pPr>
                    <w:pStyle w:val="3"/>
                    <w:widowControl w:val="0"/>
                    <w:rPr>
                      <w:rFonts w:hint="default" w:ascii="Times New Roman" w:hAnsi="Times New Roman" w:eastAsia="宋体" w:cs="Times New Roman"/>
                      <w:color w:val="auto"/>
                      <w:sz w:val="21"/>
                      <w:szCs w:val="21"/>
                      <w:vertAlign w:val="baseline"/>
                      <w:lang w:val="en-US" w:eastAsia="zh-CN"/>
                    </w:rPr>
                  </w:pPr>
                </w:p>
              </w:tc>
              <w:tc>
                <w:tcPr>
                  <w:tcW w:w="975" w:type="dxa"/>
                  <w:vMerge w:val="continue"/>
                </w:tcPr>
                <w:p>
                  <w:pPr>
                    <w:pStyle w:val="3"/>
                    <w:widowControl w:val="0"/>
                    <w:rPr>
                      <w:rFonts w:hint="default" w:ascii="Times New Roman" w:hAnsi="Times New Roman" w:eastAsia="宋体" w:cs="Times New Roman"/>
                      <w:color w:val="auto"/>
                      <w:sz w:val="21"/>
                      <w:szCs w:val="21"/>
                      <w:vertAlign w:val="baseline"/>
                      <w:lang w:val="en-US" w:eastAsia="zh-CN"/>
                    </w:rPr>
                  </w:pPr>
                </w:p>
              </w:tc>
              <w:tc>
                <w:tcPr>
                  <w:tcW w:w="1248" w:type="dxa"/>
                  <w:vMerge w:val="continue"/>
                </w:tcPr>
                <w:p>
                  <w:pPr>
                    <w:pStyle w:val="3"/>
                    <w:widowControl w:val="0"/>
                    <w:rPr>
                      <w:rFonts w:hint="default" w:ascii="Times New Roman" w:hAnsi="Times New Roman" w:eastAsia="宋体" w:cs="Times New Roman"/>
                      <w:color w:val="auto"/>
                      <w:sz w:val="21"/>
                      <w:szCs w:val="21"/>
                      <w:vertAlign w:val="baseline"/>
                      <w:lang w:val="en-US" w:eastAsia="zh-CN"/>
                    </w:rPr>
                  </w:pPr>
                </w:p>
              </w:tc>
              <w:tc>
                <w:tcPr>
                  <w:tcW w:w="990" w:type="dxa"/>
                </w:tcPr>
                <w:p>
                  <w:pPr>
                    <w:pStyle w:val="3"/>
                    <w:widowControl w:val="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第一次</w:t>
                  </w:r>
                </w:p>
              </w:tc>
              <w:tc>
                <w:tcPr>
                  <w:tcW w:w="1050" w:type="dxa"/>
                </w:tcPr>
                <w:p>
                  <w:pPr>
                    <w:pStyle w:val="3"/>
                    <w:widowControl w:val="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第二次</w:t>
                  </w:r>
                </w:p>
              </w:tc>
              <w:tc>
                <w:tcPr>
                  <w:tcW w:w="976" w:type="dxa"/>
                </w:tcPr>
                <w:p>
                  <w:pPr>
                    <w:pStyle w:val="3"/>
                    <w:widowControl w:val="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第三次</w:t>
                  </w:r>
                </w:p>
              </w:tc>
              <w:tc>
                <w:tcPr>
                  <w:tcW w:w="923" w:type="dxa"/>
                </w:tcPr>
                <w:p>
                  <w:pPr>
                    <w:pStyle w:val="3"/>
                    <w:widowControl w:val="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restart"/>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2021.06.07</w:t>
                  </w:r>
                </w:p>
              </w:tc>
              <w:tc>
                <w:tcPr>
                  <w:tcW w:w="754" w:type="dxa"/>
                  <w:vMerge w:val="restart"/>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生活污水处理设施出口</w:t>
                  </w:r>
                </w:p>
              </w:tc>
              <w:tc>
                <w:tcPr>
                  <w:tcW w:w="735" w:type="dxa"/>
                  <w:vMerge w:val="restart"/>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三级化粪池+SBR一体化</w:t>
                  </w:r>
                </w:p>
              </w:tc>
              <w:tc>
                <w:tcPr>
                  <w:tcW w:w="975"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pH</w:t>
                  </w:r>
                </w:p>
              </w:tc>
              <w:tc>
                <w:tcPr>
                  <w:tcW w:w="1248"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6~9</w:t>
                  </w:r>
                </w:p>
              </w:tc>
              <w:tc>
                <w:tcPr>
                  <w:tcW w:w="99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7.46</w:t>
                  </w:r>
                </w:p>
              </w:tc>
              <w:tc>
                <w:tcPr>
                  <w:tcW w:w="105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7.17</w:t>
                  </w:r>
                </w:p>
              </w:tc>
              <w:tc>
                <w:tcPr>
                  <w:tcW w:w="976"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7.35</w:t>
                  </w:r>
                </w:p>
              </w:tc>
              <w:tc>
                <w:tcPr>
                  <w:tcW w:w="923"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54"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3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975"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CODcr</w:t>
                  </w:r>
                </w:p>
              </w:tc>
              <w:tc>
                <w:tcPr>
                  <w:tcW w:w="1248" w:type="dxa"/>
                  <w:vAlign w:val="center"/>
                </w:tcPr>
                <w:p>
                  <w:pPr>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500</w:t>
                  </w:r>
                </w:p>
              </w:tc>
              <w:tc>
                <w:tcPr>
                  <w:tcW w:w="99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82</w:t>
                  </w:r>
                </w:p>
              </w:tc>
              <w:tc>
                <w:tcPr>
                  <w:tcW w:w="105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79</w:t>
                  </w:r>
                </w:p>
              </w:tc>
              <w:tc>
                <w:tcPr>
                  <w:tcW w:w="976"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75</w:t>
                  </w:r>
                </w:p>
              </w:tc>
              <w:tc>
                <w:tcPr>
                  <w:tcW w:w="923"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54"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3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975"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BOD5</w:t>
                  </w:r>
                </w:p>
              </w:tc>
              <w:tc>
                <w:tcPr>
                  <w:tcW w:w="1248" w:type="dxa"/>
                  <w:vAlign w:val="center"/>
                </w:tcPr>
                <w:p>
                  <w:pPr>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300</w:t>
                  </w:r>
                </w:p>
              </w:tc>
              <w:tc>
                <w:tcPr>
                  <w:tcW w:w="99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23.5</w:t>
                  </w:r>
                </w:p>
              </w:tc>
              <w:tc>
                <w:tcPr>
                  <w:tcW w:w="105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20.6</w:t>
                  </w:r>
                </w:p>
              </w:tc>
              <w:tc>
                <w:tcPr>
                  <w:tcW w:w="976"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21.9</w:t>
                  </w:r>
                </w:p>
              </w:tc>
              <w:tc>
                <w:tcPr>
                  <w:tcW w:w="923"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54"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3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975"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SS</w:t>
                  </w:r>
                </w:p>
              </w:tc>
              <w:tc>
                <w:tcPr>
                  <w:tcW w:w="1248" w:type="dxa"/>
                  <w:vAlign w:val="center"/>
                </w:tcPr>
                <w:p>
                  <w:pPr>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400</w:t>
                  </w:r>
                </w:p>
              </w:tc>
              <w:tc>
                <w:tcPr>
                  <w:tcW w:w="99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w:t>
                  </w:r>
                </w:p>
              </w:tc>
              <w:tc>
                <w:tcPr>
                  <w:tcW w:w="105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w:t>
                  </w:r>
                </w:p>
              </w:tc>
              <w:tc>
                <w:tcPr>
                  <w:tcW w:w="976"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923"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54"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3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975"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氨氮</w:t>
                  </w:r>
                </w:p>
              </w:tc>
              <w:tc>
                <w:tcPr>
                  <w:tcW w:w="1248" w:type="dxa"/>
                  <w:vAlign w:val="center"/>
                </w:tcPr>
                <w:p>
                  <w:pPr>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99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2.39</w:t>
                  </w:r>
                </w:p>
              </w:tc>
              <w:tc>
                <w:tcPr>
                  <w:tcW w:w="105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2.22</w:t>
                  </w:r>
                </w:p>
              </w:tc>
              <w:tc>
                <w:tcPr>
                  <w:tcW w:w="976"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2.73</w:t>
                  </w:r>
                </w:p>
              </w:tc>
              <w:tc>
                <w:tcPr>
                  <w:tcW w:w="923"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restart"/>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2021.06.08</w:t>
                  </w:r>
                </w:p>
              </w:tc>
              <w:tc>
                <w:tcPr>
                  <w:tcW w:w="754" w:type="dxa"/>
                  <w:vMerge w:val="restart"/>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生活污水处理设施出口</w:t>
                  </w:r>
                </w:p>
              </w:tc>
              <w:tc>
                <w:tcPr>
                  <w:tcW w:w="73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975"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pH</w:t>
                  </w:r>
                </w:p>
              </w:tc>
              <w:tc>
                <w:tcPr>
                  <w:tcW w:w="1248"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6~9</w:t>
                  </w:r>
                </w:p>
              </w:tc>
              <w:tc>
                <w:tcPr>
                  <w:tcW w:w="99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7.26</w:t>
                  </w:r>
                </w:p>
              </w:tc>
              <w:tc>
                <w:tcPr>
                  <w:tcW w:w="105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7.07</w:t>
                  </w:r>
                </w:p>
              </w:tc>
              <w:tc>
                <w:tcPr>
                  <w:tcW w:w="976"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7.39</w:t>
                  </w:r>
                </w:p>
              </w:tc>
              <w:tc>
                <w:tcPr>
                  <w:tcW w:w="923"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54"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3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975"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CODcr</w:t>
                  </w:r>
                </w:p>
              </w:tc>
              <w:tc>
                <w:tcPr>
                  <w:tcW w:w="1248" w:type="dxa"/>
                  <w:vAlign w:val="center"/>
                </w:tcPr>
                <w:p>
                  <w:pPr>
                    <w:widowControl w:val="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500</w:t>
                  </w:r>
                </w:p>
              </w:tc>
              <w:tc>
                <w:tcPr>
                  <w:tcW w:w="99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85</w:t>
                  </w:r>
                </w:p>
              </w:tc>
              <w:tc>
                <w:tcPr>
                  <w:tcW w:w="105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80</w:t>
                  </w:r>
                </w:p>
              </w:tc>
              <w:tc>
                <w:tcPr>
                  <w:tcW w:w="976"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87</w:t>
                  </w:r>
                </w:p>
              </w:tc>
              <w:tc>
                <w:tcPr>
                  <w:tcW w:w="923"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54"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3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975" w:type="dxa"/>
                  <w:vAlign w:val="center"/>
                </w:tcPr>
                <w:p>
                  <w:pPr>
                    <w:pStyle w:val="3"/>
                    <w:widowControl w:val="0"/>
                    <w:jc w:val="center"/>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BOD5</w:t>
                  </w:r>
                </w:p>
              </w:tc>
              <w:tc>
                <w:tcPr>
                  <w:tcW w:w="1248" w:type="dxa"/>
                  <w:vAlign w:val="center"/>
                </w:tcPr>
                <w:p>
                  <w:pPr>
                    <w:widowControl w:val="0"/>
                    <w:jc w:val="center"/>
                    <w:rPr>
                      <w:rFonts w:hint="eastAsia"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300</w:t>
                  </w:r>
                </w:p>
              </w:tc>
              <w:tc>
                <w:tcPr>
                  <w:tcW w:w="99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24.3</w:t>
                  </w:r>
                </w:p>
              </w:tc>
              <w:tc>
                <w:tcPr>
                  <w:tcW w:w="105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25.5</w:t>
                  </w:r>
                </w:p>
              </w:tc>
              <w:tc>
                <w:tcPr>
                  <w:tcW w:w="976"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22.3</w:t>
                  </w:r>
                </w:p>
              </w:tc>
              <w:tc>
                <w:tcPr>
                  <w:tcW w:w="923"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54"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3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975"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SS</w:t>
                  </w:r>
                </w:p>
              </w:tc>
              <w:tc>
                <w:tcPr>
                  <w:tcW w:w="1248" w:type="dxa"/>
                  <w:vAlign w:val="center"/>
                </w:tcPr>
                <w:p>
                  <w:pPr>
                    <w:widowControl w:val="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400</w:t>
                  </w:r>
                </w:p>
              </w:tc>
              <w:tc>
                <w:tcPr>
                  <w:tcW w:w="99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105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w:t>
                  </w:r>
                </w:p>
              </w:tc>
              <w:tc>
                <w:tcPr>
                  <w:tcW w:w="976"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923"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54"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735" w:type="dxa"/>
                  <w:vMerge w:val="continue"/>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p>
              </w:tc>
              <w:tc>
                <w:tcPr>
                  <w:tcW w:w="975"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氨氮</w:t>
                  </w:r>
                </w:p>
              </w:tc>
              <w:tc>
                <w:tcPr>
                  <w:tcW w:w="1248" w:type="dxa"/>
                  <w:vAlign w:val="center"/>
                </w:tcPr>
                <w:p>
                  <w:pPr>
                    <w:widowControl w:val="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bidi="ar-SA"/>
                    </w:rPr>
                    <w:t>/</w:t>
                  </w:r>
                </w:p>
              </w:tc>
              <w:tc>
                <w:tcPr>
                  <w:tcW w:w="99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2.87</w:t>
                  </w:r>
                </w:p>
              </w:tc>
              <w:tc>
                <w:tcPr>
                  <w:tcW w:w="1050"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2.52</w:t>
                  </w:r>
                </w:p>
              </w:tc>
              <w:tc>
                <w:tcPr>
                  <w:tcW w:w="976"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2.62</w:t>
                  </w:r>
                </w:p>
              </w:tc>
              <w:tc>
                <w:tcPr>
                  <w:tcW w:w="923" w:type="dxa"/>
                  <w:vAlign w:val="center"/>
                </w:tcPr>
                <w:p>
                  <w:pPr>
                    <w:pStyle w:val="3"/>
                    <w:widowControl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2.67</w:t>
                  </w:r>
                </w:p>
              </w:tc>
            </w:tr>
          </w:tbl>
          <w:p>
            <w:pPr>
              <w:widowControl/>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b w:val="0"/>
                <w:bCs w:val="0"/>
                <w:color w:val="auto"/>
                <w:sz w:val="24"/>
                <w:szCs w:val="24"/>
                <w:lang w:val="en-US" w:eastAsia="zh-CN"/>
              </w:rPr>
              <w:t>由上表7-</w:t>
            </w: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监测结果可知</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eastAsia="zh-CN"/>
              </w:rPr>
              <w:t>项目</w:t>
            </w:r>
            <w:r>
              <w:rPr>
                <w:rFonts w:hint="eastAsia" w:ascii="Times New Roman" w:hAnsi="Times New Roman" w:eastAsia="宋体" w:cs="Times New Roman"/>
                <w:b w:val="0"/>
                <w:bCs w:val="0"/>
                <w:color w:val="auto"/>
                <w:sz w:val="24"/>
                <w:szCs w:val="24"/>
                <w:lang w:val="en-US" w:eastAsia="zh-CN"/>
              </w:rPr>
              <w:t>生活废水排放满足</w:t>
            </w:r>
            <w:r>
              <w:rPr>
                <w:rFonts w:hint="eastAsia" w:ascii="Times New Roman" w:hAnsi="Times New Roman" w:eastAsia="宋体" w:cs="Times New Roman"/>
                <w:color w:val="auto"/>
                <w:sz w:val="24"/>
                <w:szCs w:val="24"/>
                <w:lang w:val="en-US" w:eastAsia="zh-CN" w:bidi="ar-SA"/>
              </w:rPr>
              <w:t>《污水综合排放标准》（GB8978-96）表4三级标准。</w:t>
            </w:r>
          </w:p>
          <w:p>
            <w:pPr>
              <w:widowControl/>
              <w:numPr>
                <w:ilvl w:val="0"/>
                <w:numId w:val="0"/>
              </w:numPr>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废气</w:t>
            </w:r>
          </w:p>
          <w:p>
            <w:pPr>
              <w:pStyle w:val="36"/>
              <w:spacing w:line="240" w:lineRule="auto"/>
              <w:ind w:firstLine="480" w:firstLineChars="200"/>
              <w:jc w:val="both"/>
              <w:rPr>
                <w:rFonts w:ascii="Times New Roman" w:hAnsi="Times New Roman" w:cs="Times New Roman"/>
                <w:color w:val="auto"/>
              </w:rPr>
            </w:pPr>
            <w:r>
              <w:rPr>
                <w:rFonts w:ascii="Times New Roman" w:hAnsi="Times New Roman" w:cs="Times New Roman"/>
                <w:color w:val="auto"/>
              </w:rPr>
              <w:t>废气监测结果见下表。</w:t>
            </w:r>
            <w:bookmarkStart w:id="9" w:name="_GoBack"/>
            <w:bookmarkEnd w:id="9"/>
          </w:p>
          <w:p>
            <w:pPr>
              <w:pStyle w:val="36"/>
              <w:spacing w:line="360" w:lineRule="auto"/>
              <w:jc w:val="center"/>
              <w:rPr>
                <w:rFonts w:ascii="Times New Roman" w:hAnsi="Times New Roman" w:cs="Times New Roman"/>
                <w:b/>
                <w:bCs/>
                <w:color w:val="auto"/>
                <w:sz w:val="21"/>
                <w:szCs w:val="21"/>
              </w:rPr>
            </w:pPr>
          </w:p>
          <w:p>
            <w:pPr>
              <w:pStyle w:val="36"/>
              <w:spacing w:line="360" w:lineRule="auto"/>
              <w:jc w:val="center"/>
              <w:rPr>
                <w:rFonts w:ascii="Times New Roman" w:hAnsi="Times New Roman" w:cs="Times New Roman"/>
                <w:b/>
                <w:bCs/>
                <w:color w:val="auto"/>
                <w:sz w:val="21"/>
                <w:szCs w:val="21"/>
              </w:rPr>
            </w:pPr>
          </w:p>
          <w:p>
            <w:pPr>
              <w:pStyle w:val="36"/>
              <w:spacing w:line="360" w:lineRule="auto"/>
              <w:jc w:val="center"/>
              <w:rPr>
                <w:rFonts w:ascii="Times New Roman" w:hAnsi="Times New Roman" w:cs="Times New Roman"/>
                <w:b/>
                <w:bCs/>
                <w:color w:val="auto"/>
                <w:sz w:val="21"/>
                <w:szCs w:val="21"/>
              </w:rPr>
            </w:pPr>
          </w:p>
          <w:p>
            <w:pPr>
              <w:pStyle w:val="36"/>
              <w:spacing w:line="360" w:lineRule="auto"/>
              <w:jc w:val="center"/>
              <w:rPr>
                <w:rFonts w:ascii="Times New Roman" w:hAnsi="Times New Roman" w:cs="Times New Roman"/>
                <w:b/>
                <w:bCs/>
                <w:color w:val="auto"/>
                <w:sz w:val="21"/>
                <w:szCs w:val="21"/>
              </w:rPr>
            </w:pPr>
          </w:p>
          <w:p>
            <w:pPr>
              <w:pStyle w:val="36"/>
              <w:spacing w:line="240" w:lineRule="auto"/>
              <w:jc w:val="center"/>
              <w:rPr>
                <w:rFonts w:ascii="Times New Roman" w:hAnsi="Times New Roman" w:cs="Times New Roman"/>
                <w:b/>
                <w:bCs/>
                <w:color w:val="auto"/>
                <w:sz w:val="21"/>
                <w:szCs w:val="21"/>
              </w:rPr>
            </w:pPr>
          </w:p>
          <w:p>
            <w:pPr>
              <w:pStyle w:val="36"/>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-3</w:t>
            </w:r>
            <w:r>
              <w:rPr>
                <w:rFonts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lang w:val="en-US" w:eastAsia="zh-CN"/>
              </w:rPr>
              <w:t>无组织</w:t>
            </w:r>
            <w:r>
              <w:rPr>
                <w:rFonts w:ascii="Times New Roman" w:hAnsi="Times New Roman" w:cs="Times New Roman"/>
                <w:b/>
                <w:bCs/>
                <w:color w:val="auto"/>
                <w:sz w:val="21"/>
                <w:szCs w:val="21"/>
              </w:rPr>
              <w:t>废气监测结果</w:t>
            </w:r>
          </w:p>
          <w:tbl>
            <w:tblPr>
              <w:tblStyle w:val="26"/>
              <w:tblW w:w="8078"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900"/>
              <w:gridCol w:w="1365"/>
              <w:gridCol w:w="690"/>
              <w:gridCol w:w="825"/>
              <w:gridCol w:w="1185"/>
              <w:gridCol w:w="1215"/>
              <w:gridCol w:w="77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96" w:type="pct"/>
                  <w:vMerge w:val="restar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监测</w:t>
                  </w:r>
                </w:p>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时间</w:t>
                  </w:r>
                </w:p>
              </w:tc>
              <w:tc>
                <w:tcPr>
                  <w:tcW w:w="557" w:type="pct"/>
                  <w:vMerge w:val="restar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监测点位</w:t>
                  </w:r>
                </w:p>
              </w:tc>
              <w:tc>
                <w:tcPr>
                  <w:tcW w:w="844" w:type="pct"/>
                  <w:vMerge w:val="restar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分析</w:t>
                  </w:r>
                </w:p>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项目</w:t>
                  </w:r>
                </w:p>
              </w:tc>
              <w:tc>
                <w:tcPr>
                  <w:tcW w:w="2423" w:type="pct"/>
                  <w:gridSpan w:val="4"/>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监测结果</w:t>
                  </w:r>
                </w:p>
              </w:tc>
              <w:tc>
                <w:tcPr>
                  <w:tcW w:w="478" w:type="pct"/>
                  <w:vMerge w:val="restart"/>
                  <w:tcBorders>
                    <w:tl2br w:val="nil"/>
                    <w:tr2bl w:val="nil"/>
                  </w:tcBorders>
                  <w:vAlign w:val="center"/>
                </w:tcPr>
                <w:p>
                  <w:pPr>
                    <w:pStyle w:val="36"/>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排放限值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4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427" w:type="pc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10" w:type="pc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733" w:type="pc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752" w:type="pc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b/>
                      <w:bCs/>
                      <w:color w:val="auto"/>
                      <w:sz w:val="21"/>
                      <w:szCs w:val="21"/>
                    </w:rPr>
                    <w:t>最大值</w:t>
                  </w:r>
                </w:p>
              </w:tc>
              <w:tc>
                <w:tcPr>
                  <w:tcW w:w="478" w:type="pct"/>
                  <w:vMerge w:val="continue"/>
                  <w:tcBorders>
                    <w:tl2br w:val="nil"/>
                    <w:tr2bl w:val="nil"/>
                  </w:tcBorders>
                  <w:vAlign w:val="center"/>
                </w:tcPr>
                <w:p>
                  <w:pPr>
                    <w:pStyle w:val="36"/>
                    <w:jc w:val="center"/>
                    <w:rPr>
                      <w:rFonts w:ascii="Times New Roman" w:hAnsi="Times New Roman" w:cs="Times New Roman"/>
                      <w:b/>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96" w:type="pct"/>
                  <w:vMerge w:val="restart"/>
                  <w:tcBorders>
                    <w:tl2br w:val="nil"/>
                    <w:tr2bl w:val="nil"/>
                  </w:tcBorders>
                  <w:vAlign w:val="center"/>
                </w:tcPr>
                <w:p>
                  <w:pPr>
                    <w:pStyle w:val="3"/>
                    <w:widowControl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2021.06.07</w:t>
                  </w:r>
                </w:p>
              </w:tc>
              <w:tc>
                <w:tcPr>
                  <w:tcW w:w="557" w:type="pct"/>
                  <w:vMerge w:val="restart"/>
                  <w:tcBorders>
                    <w:tl2br w:val="nil"/>
                    <w:tr2bl w:val="nil"/>
                  </w:tcBorders>
                  <w:vAlign w:val="center"/>
                </w:tcPr>
                <w:p>
                  <w:pPr>
                    <w:pStyle w:val="36"/>
                    <w:jc w:val="center"/>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A</w:t>
                  </w: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42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0.29</w:t>
                  </w:r>
                </w:p>
              </w:tc>
              <w:tc>
                <w:tcPr>
                  <w:tcW w:w="51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0.33</w:t>
                  </w:r>
                </w:p>
              </w:tc>
              <w:tc>
                <w:tcPr>
                  <w:tcW w:w="73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0.13</w:t>
                  </w:r>
                </w:p>
              </w:tc>
              <w:tc>
                <w:tcPr>
                  <w:tcW w:w="75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0.33</w:t>
                  </w:r>
                </w:p>
              </w:tc>
              <w:tc>
                <w:tcPr>
                  <w:tcW w:w="478" w:type="pct"/>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非甲烷总烃≤2.0mg/m</w:t>
                  </w:r>
                  <w:r>
                    <w:rPr>
                      <w:rFonts w:hint="eastAsia" w:ascii="Times New Roman" w:hAnsi="Times New Roman" w:eastAsia="宋体" w:cs="Times New Roman"/>
                      <w:color w:val="auto"/>
                      <w:sz w:val="21"/>
                      <w:szCs w:val="21"/>
                      <w:vertAlign w:val="superscript"/>
                      <w:lang w:val="en-US" w:eastAsia="zh-CN" w:bidi="ar-SA"/>
                    </w:rPr>
                    <w:t>3</w:t>
                  </w:r>
                  <w:r>
                    <w:rPr>
                      <w:rFonts w:hint="eastAsia" w:ascii="Times New Roman" w:hAnsi="Times New Roman" w:eastAsia="宋体" w:cs="Times New Roman"/>
                      <w:color w:val="auto"/>
                      <w:sz w:val="21"/>
                      <w:szCs w:val="21"/>
                      <w:lang w:val="en-US" w:eastAsia="zh-CN" w:bidi="ar-SA"/>
                    </w:rPr>
                    <w:t>；颗粒物≤1.0mg/m</w:t>
                  </w:r>
                  <w:r>
                    <w:rPr>
                      <w:rFonts w:hint="eastAsia" w:ascii="Times New Roman" w:hAnsi="Times New Roman" w:eastAsia="宋体" w:cs="Times New Roman"/>
                      <w:color w:val="auto"/>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continue"/>
                  <w:tcBorders>
                    <w:tl2br w:val="nil"/>
                    <w:tr2bl w:val="nil"/>
                  </w:tcBorders>
                  <w:vAlign w:val="center"/>
                </w:tcPr>
                <w:p>
                  <w:pPr>
                    <w:pStyle w:val="36"/>
                    <w:jc w:val="center"/>
                    <w:rPr>
                      <w:rFonts w:hint="eastAsia" w:ascii="Times New Roman" w:hAnsi="Times New Roman" w:eastAsia="宋体" w:cs="Times New Roman"/>
                      <w:color w:val="auto"/>
                      <w:sz w:val="21"/>
                      <w:szCs w:val="21"/>
                      <w:lang w:eastAsia="zh-CN"/>
                    </w:rPr>
                  </w:pP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42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0.117</w:t>
                  </w:r>
                </w:p>
              </w:tc>
              <w:tc>
                <w:tcPr>
                  <w:tcW w:w="51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0.134</w:t>
                  </w:r>
                </w:p>
              </w:tc>
              <w:tc>
                <w:tcPr>
                  <w:tcW w:w="73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0.151</w:t>
                  </w:r>
                </w:p>
              </w:tc>
              <w:tc>
                <w:tcPr>
                  <w:tcW w:w="75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0.151</w:t>
                  </w:r>
                </w:p>
              </w:tc>
              <w:tc>
                <w:tcPr>
                  <w:tcW w:w="478" w:type="pct"/>
                  <w:vMerge w:val="continue"/>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restart"/>
                  <w:tcBorders>
                    <w:tl2br w:val="nil"/>
                    <w:tr2bl w:val="nil"/>
                  </w:tcBorders>
                  <w:vAlign w:val="center"/>
                </w:tcPr>
                <w:p>
                  <w:pPr>
                    <w:pStyle w:val="36"/>
                    <w:jc w:val="center"/>
                    <w:rPr>
                      <w:rFonts w:hint="eastAsia"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B</w:t>
                  </w: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42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0.92</w:t>
                  </w:r>
                </w:p>
              </w:tc>
              <w:tc>
                <w:tcPr>
                  <w:tcW w:w="51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1.00</w:t>
                  </w:r>
                </w:p>
              </w:tc>
              <w:tc>
                <w:tcPr>
                  <w:tcW w:w="73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0.94</w:t>
                  </w:r>
                </w:p>
              </w:tc>
              <w:tc>
                <w:tcPr>
                  <w:tcW w:w="75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1.00</w:t>
                  </w:r>
                </w:p>
              </w:tc>
              <w:tc>
                <w:tcPr>
                  <w:tcW w:w="478" w:type="pct"/>
                  <w:vMerge w:val="continue"/>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continue"/>
                  <w:tcBorders>
                    <w:tl2br w:val="nil"/>
                    <w:tr2bl w:val="nil"/>
                  </w:tcBorders>
                  <w:vAlign w:val="center"/>
                </w:tcPr>
                <w:p>
                  <w:pPr>
                    <w:pStyle w:val="36"/>
                    <w:jc w:val="center"/>
                    <w:rPr>
                      <w:rFonts w:hint="eastAsia" w:ascii="Times New Roman" w:hAnsi="Times New Roman" w:eastAsia="宋体" w:cs="Times New Roman"/>
                      <w:color w:val="auto"/>
                      <w:sz w:val="21"/>
                      <w:szCs w:val="21"/>
                      <w:lang w:val="en-US" w:eastAsia="zh-CN" w:bidi="ar-SA"/>
                    </w:rPr>
                  </w:pP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42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0.184</w:t>
                  </w:r>
                </w:p>
              </w:tc>
              <w:tc>
                <w:tcPr>
                  <w:tcW w:w="51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0.201</w:t>
                  </w:r>
                </w:p>
              </w:tc>
              <w:tc>
                <w:tcPr>
                  <w:tcW w:w="73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0.218</w:t>
                  </w:r>
                </w:p>
              </w:tc>
              <w:tc>
                <w:tcPr>
                  <w:tcW w:w="75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0.218</w:t>
                  </w:r>
                </w:p>
              </w:tc>
              <w:tc>
                <w:tcPr>
                  <w:tcW w:w="478" w:type="pct"/>
                  <w:vMerge w:val="continue"/>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restart"/>
                  <w:tcBorders>
                    <w:tl2br w:val="nil"/>
                    <w:tr2bl w:val="nil"/>
                  </w:tcBorders>
                  <w:vAlign w:val="center"/>
                </w:tcPr>
                <w:p>
                  <w:pPr>
                    <w:pStyle w:val="36"/>
                    <w:jc w:val="center"/>
                    <w:rPr>
                      <w:rFonts w:hint="eastAsia"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C</w:t>
                  </w: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42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0.44</w:t>
                  </w:r>
                </w:p>
              </w:tc>
              <w:tc>
                <w:tcPr>
                  <w:tcW w:w="51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0.50</w:t>
                  </w:r>
                </w:p>
              </w:tc>
              <w:tc>
                <w:tcPr>
                  <w:tcW w:w="73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0.71</w:t>
                  </w:r>
                </w:p>
              </w:tc>
              <w:tc>
                <w:tcPr>
                  <w:tcW w:w="75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0.71</w:t>
                  </w:r>
                </w:p>
              </w:tc>
              <w:tc>
                <w:tcPr>
                  <w:tcW w:w="478" w:type="pct"/>
                  <w:vMerge w:val="continue"/>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continue"/>
                  <w:tcBorders>
                    <w:tl2br w:val="nil"/>
                    <w:tr2bl w:val="nil"/>
                  </w:tcBorders>
                  <w:vAlign w:val="center"/>
                </w:tcPr>
                <w:p>
                  <w:pPr>
                    <w:pStyle w:val="36"/>
                    <w:jc w:val="center"/>
                    <w:rPr>
                      <w:rFonts w:ascii="Times New Roman" w:hAnsi="Times New Roman" w:eastAsia="宋体" w:cs="Times New Roman"/>
                      <w:color w:val="auto"/>
                      <w:sz w:val="21"/>
                      <w:szCs w:val="21"/>
                      <w:lang w:val="en-US" w:eastAsia="zh-CN" w:bidi="ar-SA"/>
                    </w:rPr>
                  </w:pP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42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0.235</w:t>
                  </w:r>
                </w:p>
              </w:tc>
              <w:tc>
                <w:tcPr>
                  <w:tcW w:w="51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0.235</w:t>
                  </w:r>
                </w:p>
              </w:tc>
              <w:tc>
                <w:tcPr>
                  <w:tcW w:w="73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0.201</w:t>
                  </w:r>
                </w:p>
              </w:tc>
              <w:tc>
                <w:tcPr>
                  <w:tcW w:w="75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0.235</w:t>
                  </w:r>
                </w:p>
              </w:tc>
              <w:tc>
                <w:tcPr>
                  <w:tcW w:w="478" w:type="pct"/>
                  <w:vMerge w:val="continue"/>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restart"/>
                  <w:tcBorders>
                    <w:tl2br w:val="nil"/>
                    <w:tr2bl w:val="nil"/>
                  </w:tcBorders>
                  <w:vAlign w:val="center"/>
                </w:tcPr>
                <w:p>
                  <w:pPr>
                    <w:pStyle w:val="36"/>
                    <w:jc w:val="center"/>
                    <w:rPr>
                      <w:rFonts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D</w:t>
                  </w: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42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0.39</w:t>
                  </w:r>
                </w:p>
              </w:tc>
              <w:tc>
                <w:tcPr>
                  <w:tcW w:w="51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1.10</w:t>
                  </w:r>
                </w:p>
              </w:tc>
              <w:tc>
                <w:tcPr>
                  <w:tcW w:w="73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0.67</w:t>
                  </w:r>
                </w:p>
              </w:tc>
              <w:tc>
                <w:tcPr>
                  <w:tcW w:w="75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1.10</w:t>
                  </w:r>
                </w:p>
              </w:tc>
              <w:tc>
                <w:tcPr>
                  <w:tcW w:w="478" w:type="pct"/>
                  <w:vMerge w:val="continue"/>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42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0.268</w:t>
                  </w:r>
                </w:p>
              </w:tc>
              <w:tc>
                <w:tcPr>
                  <w:tcW w:w="51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0.301</w:t>
                  </w:r>
                </w:p>
              </w:tc>
              <w:tc>
                <w:tcPr>
                  <w:tcW w:w="73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0.285</w:t>
                  </w:r>
                </w:p>
              </w:tc>
              <w:tc>
                <w:tcPr>
                  <w:tcW w:w="75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0.301</w:t>
                  </w:r>
                </w:p>
              </w:tc>
              <w:tc>
                <w:tcPr>
                  <w:tcW w:w="478" w:type="pct"/>
                  <w:vMerge w:val="continue"/>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96" w:type="pct"/>
                  <w:vMerge w:val="restart"/>
                  <w:tcBorders>
                    <w:tl2br w:val="nil"/>
                    <w:tr2bl w:val="nil"/>
                  </w:tcBorders>
                  <w:vAlign w:val="center"/>
                </w:tcPr>
                <w:p>
                  <w:pPr>
                    <w:pStyle w:val="3"/>
                    <w:widowControl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2021.06.08</w:t>
                  </w:r>
                </w:p>
              </w:tc>
              <w:tc>
                <w:tcPr>
                  <w:tcW w:w="557" w:type="pct"/>
                  <w:vMerge w:val="restart"/>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A</w:t>
                  </w: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4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0.30</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0.28</w:t>
                  </w:r>
                </w:p>
              </w:tc>
              <w:tc>
                <w:tcPr>
                  <w:tcW w:w="73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0.18</w:t>
                  </w:r>
                </w:p>
              </w:tc>
              <w:tc>
                <w:tcPr>
                  <w:tcW w:w="75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0.30</w:t>
                  </w:r>
                </w:p>
              </w:tc>
              <w:tc>
                <w:tcPr>
                  <w:tcW w:w="47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4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0.134</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0.134</w:t>
                  </w:r>
                </w:p>
              </w:tc>
              <w:tc>
                <w:tcPr>
                  <w:tcW w:w="73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0.117</w:t>
                  </w:r>
                </w:p>
              </w:tc>
              <w:tc>
                <w:tcPr>
                  <w:tcW w:w="75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0.134</w:t>
                  </w:r>
                </w:p>
              </w:tc>
              <w:tc>
                <w:tcPr>
                  <w:tcW w:w="47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restart"/>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B</w:t>
                  </w: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4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0.77</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0.64</w:t>
                  </w:r>
                </w:p>
              </w:tc>
              <w:tc>
                <w:tcPr>
                  <w:tcW w:w="73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0.65</w:t>
                  </w:r>
                </w:p>
              </w:tc>
              <w:tc>
                <w:tcPr>
                  <w:tcW w:w="75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0.77</w:t>
                  </w:r>
                </w:p>
              </w:tc>
              <w:tc>
                <w:tcPr>
                  <w:tcW w:w="47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4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0.201</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0.217</w:t>
                  </w:r>
                </w:p>
              </w:tc>
              <w:tc>
                <w:tcPr>
                  <w:tcW w:w="73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0.234</w:t>
                  </w:r>
                </w:p>
              </w:tc>
              <w:tc>
                <w:tcPr>
                  <w:tcW w:w="75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0.234</w:t>
                  </w:r>
                </w:p>
              </w:tc>
              <w:tc>
                <w:tcPr>
                  <w:tcW w:w="47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restart"/>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C</w:t>
                  </w: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4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0.62</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0.45</w:t>
                  </w:r>
                </w:p>
              </w:tc>
              <w:tc>
                <w:tcPr>
                  <w:tcW w:w="73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0.56</w:t>
                  </w:r>
                </w:p>
              </w:tc>
              <w:tc>
                <w:tcPr>
                  <w:tcW w:w="75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w:t>
                  </w:r>
                </w:p>
              </w:tc>
              <w:tc>
                <w:tcPr>
                  <w:tcW w:w="47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4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0.268</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0.235</w:t>
                  </w:r>
                </w:p>
              </w:tc>
              <w:tc>
                <w:tcPr>
                  <w:tcW w:w="73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0.252</w:t>
                  </w:r>
                </w:p>
              </w:tc>
              <w:tc>
                <w:tcPr>
                  <w:tcW w:w="75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0.268</w:t>
                  </w:r>
                </w:p>
              </w:tc>
              <w:tc>
                <w:tcPr>
                  <w:tcW w:w="47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restart"/>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D</w:t>
                  </w: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4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0.57</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0.38</w:t>
                  </w:r>
                </w:p>
              </w:tc>
              <w:tc>
                <w:tcPr>
                  <w:tcW w:w="73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0.81</w:t>
                  </w:r>
                </w:p>
              </w:tc>
              <w:tc>
                <w:tcPr>
                  <w:tcW w:w="75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0.81</w:t>
                  </w:r>
                </w:p>
              </w:tc>
              <w:tc>
                <w:tcPr>
                  <w:tcW w:w="47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96"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557"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844"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4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0.285</w:t>
                  </w:r>
                </w:p>
              </w:tc>
              <w:tc>
                <w:tcPr>
                  <w:tcW w:w="51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0.318</w:t>
                  </w:r>
                </w:p>
              </w:tc>
              <w:tc>
                <w:tcPr>
                  <w:tcW w:w="73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0.268</w:t>
                  </w:r>
                </w:p>
              </w:tc>
              <w:tc>
                <w:tcPr>
                  <w:tcW w:w="75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0.318</w:t>
                  </w:r>
                </w:p>
              </w:tc>
              <w:tc>
                <w:tcPr>
                  <w:tcW w:w="47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r>
          </w:tbl>
          <w:p>
            <w:pPr>
              <w:pStyle w:val="24"/>
              <w:widowControl w:val="0"/>
              <w:numPr>
                <w:ilvl w:val="0"/>
                <w:numId w:val="0"/>
              </w:numPr>
              <w:shd w:val="clear"/>
              <w:spacing w:after="60" w:line="360" w:lineRule="auto"/>
              <w:ind w:firstLine="480" w:firstLineChars="200"/>
              <w:jc w:val="both"/>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由上表7-</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监测结果可知</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无组织废气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排放满足</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工业企业挥发性有机物排放标准</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DB35_1782-2008</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表3标准，即：无组织非甲烷总烃：2.0mg/m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无组织废气颗粒物排放满足</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GB16297-1996）表2标准；即：无组织颗粒物</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.0mg/m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pStyle w:val="36"/>
              <w:numPr>
                <w:ilvl w:val="0"/>
                <w:numId w:val="0"/>
              </w:numPr>
              <w:ind w:left="440" w:leftChars="0"/>
              <w:jc w:val="both"/>
              <w:rPr>
                <w:rFonts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3</w:t>
            </w:r>
            <w:r>
              <w:rPr>
                <w:rFonts w:hint="eastAsia" w:ascii="Times New Roman" w:hAnsi="Times New Roman" w:cs="Times New Roman"/>
                <w:color w:val="auto"/>
                <w:lang w:eastAsia="zh-CN"/>
              </w:rPr>
              <w:t>）</w:t>
            </w:r>
            <w:r>
              <w:rPr>
                <w:rFonts w:ascii="Times New Roman" w:hAnsi="Times New Roman" w:cs="Times New Roman"/>
                <w:color w:val="auto"/>
              </w:rPr>
              <w:t>噪声</w:t>
            </w:r>
          </w:p>
          <w:p>
            <w:pPr>
              <w:pStyle w:val="36"/>
              <w:ind w:firstLine="480" w:firstLineChars="200"/>
              <w:jc w:val="both"/>
              <w:rPr>
                <w:rFonts w:ascii="Times New Roman" w:hAnsi="Times New Roman" w:cs="Times New Roman"/>
                <w:color w:val="auto"/>
              </w:rPr>
            </w:pPr>
            <w:r>
              <w:rPr>
                <w:rFonts w:ascii="Times New Roman" w:hAnsi="Times New Roman" w:cs="Times New Roman"/>
                <w:color w:val="auto"/>
              </w:rPr>
              <w:t>厂界噪声监测结果见下表。</w:t>
            </w:r>
          </w:p>
          <w:p>
            <w:pPr>
              <w:pStyle w:val="36"/>
              <w:ind w:firstLine="422" w:firstLineChars="20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4</w:t>
            </w:r>
            <w:r>
              <w:rPr>
                <w:rFonts w:ascii="Times New Roman" w:hAnsi="Times New Roman" w:cs="Times New Roman"/>
                <w:b/>
                <w:bCs/>
                <w:color w:val="auto"/>
                <w:sz w:val="21"/>
                <w:szCs w:val="21"/>
              </w:rPr>
              <w:t>噪声监测结果</w:t>
            </w:r>
          </w:p>
          <w:tbl>
            <w:tblPr>
              <w:tblStyle w:val="26"/>
              <w:tblW w:w="817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035"/>
              <w:gridCol w:w="930"/>
              <w:gridCol w:w="930"/>
              <w:gridCol w:w="900"/>
              <w:gridCol w:w="1125"/>
              <w:gridCol w:w="250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tl2br w:val="nil"/>
                    <w:tr2bl w:val="nil"/>
                  </w:tcBorders>
                  <w:vAlign w:val="center"/>
                </w:tcPr>
                <w:p>
                  <w:pPr>
                    <w:pStyle w:val="40"/>
                    <w:widowControl/>
                    <w:jc w:val="center"/>
                    <w:rPr>
                      <w:rFonts w:ascii="Times New Roman" w:hAnsi="Times New Roman" w:eastAsia="宋体" w:cs="Times New Roman"/>
                      <w:color w:val="auto"/>
                      <w:sz w:val="21"/>
                    </w:rPr>
                  </w:pPr>
                  <w:r>
                    <w:rPr>
                      <w:rFonts w:ascii="Times New Roman" w:hAnsi="Times New Roman" w:eastAsia="宋体" w:cs="Times New Roman"/>
                      <w:color w:val="auto"/>
                      <w:sz w:val="21"/>
                    </w:rPr>
                    <w:t>监测日期</w:t>
                  </w:r>
                </w:p>
              </w:tc>
              <w:tc>
                <w:tcPr>
                  <w:tcW w:w="1035"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监测点位</w:t>
                  </w:r>
                </w:p>
              </w:tc>
              <w:tc>
                <w:tcPr>
                  <w:tcW w:w="2760" w:type="dxa"/>
                  <w:gridSpan w:val="3"/>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昼间</w:t>
                  </w:r>
                  <w:r>
                    <w:rPr>
                      <w:rFonts w:ascii="Times New Roman" w:hAnsi="Times New Roman" w:eastAsia="宋体" w:cs="Times New Roman"/>
                      <w:color w:val="auto"/>
                      <w:sz w:val="21"/>
                      <w:szCs w:val="21"/>
                    </w:rPr>
                    <w:t>检测结果dB(A)</w:t>
                  </w:r>
                </w:p>
              </w:tc>
              <w:tc>
                <w:tcPr>
                  <w:tcW w:w="1125"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主要</w:t>
                  </w:r>
                </w:p>
                <w:p>
                  <w:pPr>
                    <w:widowControl/>
                    <w:tabs>
                      <w:tab w:val="left" w:pos="0"/>
                    </w:tabs>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声源</w:t>
                  </w:r>
                </w:p>
              </w:tc>
              <w:tc>
                <w:tcPr>
                  <w:tcW w:w="2500" w:type="dxa"/>
                  <w:vMerge w:val="restart"/>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气象</w:t>
                  </w:r>
                </w:p>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条件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pStyle w:val="40"/>
                    <w:widowControl/>
                    <w:jc w:val="center"/>
                    <w:rPr>
                      <w:rFonts w:ascii="Times New Roman" w:hAnsi="Times New Roman" w:eastAsia="宋体" w:cs="Times New Roman"/>
                      <w:color w:val="auto"/>
                      <w:sz w:val="21"/>
                    </w:rPr>
                  </w:pPr>
                </w:p>
              </w:tc>
              <w:tc>
                <w:tcPr>
                  <w:tcW w:w="1035"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测量值</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背景值</w:t>
                  </w:r>
                </w:p>
              </w:tc>
              <w:tc>
                <w:tcPr>
                  <w:tcW w:w="90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实际值</w:t>
                  </w:r>
                </w:p>
              </w:tc>
              <w:tc>
                <w:tcPr>
                  <w:tcW w:w="1125" w:type="dxa"/>
                  <w:vMerge w:val="continue"/>
                  <w:tcBorders>
                    <w:tl2br w:val="nil"/>
                    <w:tr2bl w:val="nil"/>
                  </w:tcBorders>
                  <w:vAlign w:val="center"/>
                </w:tcPr>
                <w:p>
                  <w:pPr>
                    <w:widowControl/>
                    <w:tabs>
                      <w:tab w:val="left" w:pos="0"/>
                    </w:tabs>
                    <w:jc w:val="center"/>
                    <w:rPr>
                      <w:rFonts w:ascii="Times New Roman" w:hAnsi="Times New Roman" w:eastAsia="宋体" w:cs="Times New Roman"/>
                      <w:color w:val="auto"/>
                      <w:sz w:val="21"/>
                      <w:szCs w:val="21"/>
                    </w:rPr>
                  </w:pPr>
                </w:p>
              </w:tc>
              <w:tc>
                <w:tcPr>
                  <w:tcW w:w="2500" w:type="dxa"/>
                  <w:vMerge w:val="continue"/>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vertAlign w:val="baseline"/>
                      <w:lang w:val="en-US" w:eastAsia="zh-CN"/>
                    </w:rPr>
                    <w:t>2021.06.07</w:t>
                  </w: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62.3</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56.0</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w:t>
                  </w:r>
                </w:p>
              </w:tc>
              <w:tc>
                <w:tcPr>
                  <w:tcW w:w="1125"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w:t>
                  </w:r>
                </w:p>
              </w:tc>
              <w:tc>
                <w:tcPr>
                  <w:tcW w:w="2500" w:type="dxa"/>
                  <w:vMerge w:val="restart"/>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天气：晴；风速：1.5m/s；大气压：100.8KPa。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62.9</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56.1</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w:t>
                  </w:r>
                </w:p>
              </w:tc>
              <w:tc>
                <w:tcPr>
                  <w:tcW w:w="1125"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62.0</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55.8</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w:t>
                  </w:r>
                </w:p>
              </w:tc>
              <w:tc>
                <w:tcPr>
                  <w:tcW w:w="112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64.1</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56.8</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w:t>
                  </w:r>
                </w:p>
              </w:tc>
              <w:tc>
                <w:tcPr>
                  <w:tcW w:w="1125"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rPr>
                    <w:t>监测日期</w:t>
                  </w:r>
                </w:p>
              </w:tc>
              <w:tc>
                <w:tcPr>
                  <w:tcW w:w="1035" w:type="dxa"/>
                  <w:vMerge w:val="restart"/>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监测点位</w:t>
                  </w:r>
                </w:p>
              </w:tc>
              <w:tc>
                <w:tcPr>
                  <w:tcW w:w="2760" w:type="dxa"/>
                  <w:gridSpan w:val="3"/>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昼间</w:t>
                  </w:r>
                  <w:r>
                    <w:rPr>
                      <w:rFonts w:ascii="Times New Roman" w:hAnsi="Times New Roman" w:eastAsia="宋体" w:cs="Times New Roman"/>
                      <w:color w:val="auto"/>
                      <w:sz w:val="21"/>
                      <w:szCs w:val="21"/>
                    </w:rPr>
                    <w:t>检测结果dB(A)</w:t>
                  </w:r>
                </w:p>
              </w:tc>
              <w:tc>
                <w:tcPr>
                  <w:tcW w:w="1125"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主要</w:t>
                  </w:r>
                </w:p>
                <w:p>
                  <w:pPr>
                    <w:widowControl/>
                    <w:jc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声源</w:t>
                  </w:r>
                </w:p>
              </w:tc>
              <w:tc>
                <w:tcPr>
                  <w:tcW w:w="2500" w:type="dxa"/>
                  <w:vMerge w:val="restar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气象</w:t>
                  </w:r>
                </w:p>
                <w:p>
                  <w:pPr>
                    <w:pStyle w:val="36"/>
                    <w:jc w:val="center"/>
                    <w:rPr>
                      <w:rFonts w:ascii="Times New Roman" w:hAnsi="Times New Roman" w:eastAsia="宋体" w:cs="Times New Roman"/>
                      <w:color w:val="auto"/>
                      <w:sz w:val="21"/>
                      <w:szCs w:val="21"/>
                    </w:rPr>
                  </w:pPr>
                  <w:r>
                    <w:rPr>
                      <w:rFonts w:ascii="Times New Roman" w:hAnsi="Times New Roman" w:cs="Times New Roman"/>
                      <w:color w:val="auto"/>
                      <w:sz w:val="21"/>
                      <w:szCs w:val="21"/>
                    </w:rPr>
                    <w:t>条件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vMerge w:val="continue"/>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p>
              </w:tc>
              <w:tc>
                <w:tcPr>
                  <w:tcW w:w="930"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测量值</w:t>
                  </w:r>
                </w:p>
              </w:tc>
              <w:tc>
                <w:tcPr>
                  <w:tcW w:w="930"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背景值</w:t>
                  </w:r>
                </w:p>
              </w:tc>
              <w:tc>
                <w:tcPr>
                  <w:tcW w:w="900"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实际值</w:t>
                  </w:r>
                </w:p>
              </w:tc>
              <w:tc>
                <w:tcPr>
                  <w:tcW w:w="1125" w:type="dxa"/>
                  <w:vMerge w:val="continue"/>
                  <w:tcBorders>
                    <w:tl2br w:val="nil"/>
                    <w:tr2bl w:val="nil"/>
                  </w:tcBorders>
                  <w:vAlign w:val="center"/>
                </w:tcPr>
                <w:p>
                  <w:pPr>
                    <w:widowControl/>
                    <w:jc w:val="center"/>
                    <w:rPr>
                      <w:rFonts w:hint="eastAsia" w:ascii="Times New Roman" w:hAnsi="Times New Roman" w:eastAsia="宋体" w:cs="Times New Roman"/>
                      <w:color w:val="auto"/>
                      <w:sz w:val="21"/>
                      <w:szCs w:val="21"/>
                    </w:rPr>
                  </w:pP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vertAlign w:val="baseline"/>
                      <w:lang w:val="en-US" w:eastAsia="zh-CN"/>
                    </w:rPr>
                    <w:t>2021.06.08</w:t>
                  </w: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61.2</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55.2</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12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天气：晴；风速：1.4m/s；大气压：100.1KPa。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63.6</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56.7</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w:t>
                  </w:r>
                </w:p>
              </w:tc>
              <w:tc>
                <w:tcPr>
                  <w:tcW w:w="112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60.8</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54.3</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12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63.7</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56.7</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w:t>
                  </w:r>
                </w:p>
              </w:tc>
              <w:tc>
                <w:tcPr>
                  <w:tcW w:w="112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bl>
          <w:p>
            <w:pPr>
              <w:pStyle w:val="36"/>
              <w:spacing w:line="360" w:lineRule="auto"/>
              <w:ind w:firstLine="480" w:firstLineChars="200"/>
              <w:jc w:val="both"/>
              <w:rPr>
                <w:rFonts w:hint="default"/>
                <w:color w:val="0000FF"/>
                <w:lang w:val="en-US" w:eastAsia="zh-CN"/>
              </w:rPr>
            </w:pPr>
            <w:r>
              <w:rPr>
                <w:rFonts w:ascii="Times New Roman" w:hAnsi="Times New Roman" w:cs="Times New Roman"/>
                <w:color w:val="auto"/>
              </w:rPr>
              <w:t>由7-</w:t>
            </w:r>
            <w:r>
              <w:rPr>
                <w:rFonts w:hint="eastAsia" w:ascii="Times New Roman" w:hAnsi="Times New Roman" w:cs="Times New Roman"/>
                <w:color w:val="auto"/>
                <w:lang w:val="en-US" w:eastAsia="zh-CN"/>
              </w:rPr>
              <w:t>4</w:t>
            </w:r>
            <w:r>
              <w:rPr>
                <w:rFonts w:ascii="Times New Roman" w:hAnsi="Times New Roman" w:cs="Times New Roman"/>
                <w:color w:val="auto"/>
              </w:rPr>
              <w:t>噪声监测结果可知，本项目噪声排放符合</w:t>
            </w:r>
            <w:r>
              <w:rPr>
                <w:rFonts w:hint="eastAsia" w:ascii="Times New Roman" w:hAnsi="Times New Roman" w:cs="Times New Roman"/>
                <w:color w:val="auto"/>
              </w:rPr>
              <w:t>《工业企业厂界环境噪声排放标准》（GB12348-2008</w:t>
            </w:r>
            <w:r>
              <w:rPr>
                <w:rFonts w:hint="eastAsia" w:ascii="Times New Roman" w:hAnsi="Times New Roman" w:cs="Times New Roman"/>
                <w:color w:val="auto"/>
                <w:lang w:eastAsia="zh-CN"/>
              </w:rPr>
              <w:t>）</w:t>
            </w:r>
            <w:r>
              <w:rPr>
                <w:rFonts w:hint="eastAsia" w:ascii="Times New Roman" w:hAnsi="Times New Roman" w:cs="Times New Roman"/>
                <w:color w:val="auto"/>
              </w:rPr>
              <w:t>中的</w:t>
            </w:r>
            <w:r>
              <w:rPr>
                <w:rFonts w:hint="eastAsia" w:ascii="Times New Roman" w:hAnsi="Times New Roman" w:cs="Times New Roman"/>
                <w:color w:val="auto"/>
                <w:lang w:val="en-US" w:eastAsia="zh-CN"/>
              </w:rPr>
              <w:t>3</w:t>
            </w:r>
            <w:r>
              <w:rPr>
                <w:rFonts w:hint="eastAsia" w:ascii="Times New Roman" w:hAnsi="Times New Roman" w:cs="Times New Roman"/>
                <w:color w:val="auto"/>
              </w:rPr>
              <w:t>类标准，即：昼间噪声</w:t>
            </w:r>
            <w:r>
              <w:rPr>
                <w:rFonts w:ascii="Times New Roman" w:hAnsi="Times New Roman" w:cs="Times New Roman"/>
                <w:color w:val="auto"/>
              </w:rPr>
              <w:t>≤</w:t>
            </w:r>
            <w:r>
              <w:rPr>
                <w:rFonts w:hint="eastAsia" w:ascii="Times New Roman" w:hAnsi="Times New Roman" w:cs="Times New Roman"/>
                <w:color w:val="auto"/>
              </w:rPr>
              <w:t>6</w:t>
            </w:r>
            <w:r>
              <w:rPr>
                <w:rFonts w:hint="eastAsia" w:ascii="Times New Roman" w:hAnsi="Times New Roman" w:cs="Times New Roman"/>
                <w:color w:val="auto"/>
                <w:lang w:val="en-US" w:eastAsia="zh-CN"/>
              </w:rPr>
              <w:t>5</w:t>
            </w:r>
            <w:r>
              <w:rPr>
                <w:rFonts w:hint="eastAsia" w:ascii="Times New Roman" w:hAnsi="Times New Roman" w:cs="Times New Roman"/>
                <w:color w:val="auto"/>
              </w:rPr>
              <w:t>，夜间噪声</w:t>
            </w:r>
            <w:r>
              <w:rPr>
                <w:rFonts w:ascii="Times New Roman" w:hAnsi="Times New Roman" w:cs="Times New Roman"/>
                <w:color w:val="auto"/>
              </w:rPr>
              <w:t>≤</w:t>
            </w:r>
            <w:r>
              <w:rPr>
                <w:rFonts w:hint="eastAsia" w:ascii="Times New Roman" w:hAnsi="Times New Roman" w:cs="Times New Roman"/>
                <w:color w:val="auto"/>
              </w:rPr>
              <w:t>5</w:t>
            </w:r>
            <w:r>
              <w:rPr>
                <w:rFonts w:hint="eastAsia" w:ascii="Times New Roman" w:hAnsi="Times New Roman" w:cs="Times New Roman"/>
                <w:color w:val="auto"/>
                <w:lang w:val="en-US" w:eastAsia="zh-CN"/>
              </w:rPr>
              <w:t>5</w:t>
            </w:r>
            <w:r>
              <w:rPr>
                <w:rFonts w:ascii="Times New Roman" w:hAnsi="Times New Roman" w:cs="Times New Roman"/>
                <w:color w:val="auto"/>
              </w:rPr>
              <w:t>。</w:t>
            </w:r>
          </w:p>
        </w:tc>
      </w:tr>
    </w:tbl>
    <w:p>
      <w:pPr>
        <w:pStyle w:val="4"/>
        <w:rPr>
          <w:rFonts w:ascii="Times New Roman" w:hAnsi="Times New Roman" w:eastAsia="宋体"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表八</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6" w:hRule="atLeast"/>
        </w:trPr>
        <w:tc>
          <w:tcPr>
            <w:tcW w:w="8522" w:type="dxa"/>
          </w:tcPr>
          <w:p>
            <w:pPr>
              <w:widowControl w:val="0"/>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验收监测结论：</w:t>
            </w:r>
          </w:p>
          <w:p>
            <w:pPr>
              <w:pStyle w:val="36"/>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本次验收针</w:t>
            </w:r>
            <w:r>
              <w:rPr>
                <w:rFonts w:hint="eastAsia" w:ascii="Times New Roman" w:hAnsi="Times New Roman" w:cs="Times New Roman"/>
                <w:b/>
                <w:bCs/>
                <w:color w:val="000000" w:themeColor="text1"/>
                <w:lang w:val="en-US" w:eastAsia="zh-CN"/>
                <w14:textFill>
                  <w14:solidFill>
                    <w14:schemeClr w14:val="tx1"/>
                  </w14:solidFill>
                </w14:textFill>
              </w:rPr>
              <w:t>对长泰友联机械厂（普通合伙）年加工30万件轴承配件进行验收。验收期间本项目的性质、规模、地点、生产工艺等均未发生重大改变。故本次验收结论如下：</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8" w:name="_Toc9522"/>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 废水</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0" w:firstLineChars="200"/>
              <w:jc w:val="both"/>
              <w:textAlignment w:val="auto"/>
              <w:outlineLvl w:val="9"/>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监测期间，</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生活废水经过“三级化粪池+SBR一体化”处理后，排放满足</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污水综合排放标准》（GB8978-96）表4三级标准</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（2）废气</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监测期间，</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无组织废气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排放满足</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工业企业挥发性有机物排放标准</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DB35_1782-2008</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表3标准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无组织废气颗粒物排放满足</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GB16297-1996）表2标准</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（3） 噪声</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环保竣工验收监测期间，</w:t>
            </w:r>
            <w:r>
              <w:rPr>
                <w:rFonts w:hint="eastAsia" w:ascii="Times New Roman" w:hAnsi="Times New Roman" w:eastAsia="宋体" w:cs="Times New Roman"/>
                <w:bCs/>
                <w:color w:val="auto"/>
                <w:sz w:val="24"/>
                <w:szCs w:val="24"/>
                <w:lang w:val="en-US" w:eastAsia="zh-CN"/>
              </w:rPr>
              <w:t>本</w:t>
            </w:r>
            <w:r>
              <w:rPr>
                <w:rFonts w:hint="default" w:ascii="Times New Roman" w:hAnsi="Times New Roman" w:eastAsia="宋体" w:cs="Times New Roman"/>
                <w:bCs/>
                <w:color w:val="auto"/>
                <w:sz w:val="24"/>
                <w:szCs w:val="24"/>
              </w:rPr>
              <w:t>项目噪声符合</w:t>
            </w:r>
            <w:r>
              <w:rPr>
                <w:rFonts w:hint="default" w:ascii="Times New Roman" w:hAnsi="Times New Roman" w:eastAsia="宋体" w:cs="Times New Roman"/>
                <w:bCs/>
                <w:color w:val="auto"/>
                <w:sz w:val="24"/>
                <w:szCs w:val="24"/>
                <w:lang w:val="en-US" w:eastAsia="zh-CN"/>
              </w:rPr>
              <w:t>《工业企业厂界环境噪声排放标准》（GB12348-2008）的</w:t>
            </w:r>
            <w:r>
              <w:rPr>
                <w:rFonts w:hint="eastAsia"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lang w:val="en-US" w:eastAsia="zh-CN"/>
              </w:rPr>
              <w:t>类标准</w:t>
            </w:r>
            <w:r>
              <w:rPr>
                <w:rFonts w:hint="eastAsia" w:ascii="Times New Roman" w:hAnsi="Times New Roman" w:eastAsia="宋体" w:cs="Times New Roman"/>
                <w:bCs/>
                <w:color w:val="auto"/>
                <w:sz w:val="24"/>
                <w:szCs w:val="24"/>
                <w:lang w:val="en-US" w:eastAsia="zh-CN"/>
              </w:rPr>
              <w:t>，即昼间≤65</w:t>
            </w:r>
            <w:r>
              <w:rPr>
                <w:rFonts w:hint="eastAsia" w:ascii="Times New Roman" w:hAnsi="Times New Roman" w:eastAsia="宋体" w:cs="Times New Roman"/>
                <w:bCs/>
                <w:color w:val="auto"/>
                <w:sz w:val="24"/>
                <w:szCs w:val="24"/>
              </w:rPr>
              <w:t>dB(A)</w:t>
            </w:r>
            <w:r>
              <w:rPr>
                <w:rFonts w:hint="eastAsia" w:ascii="Times New Roman" w:hAnsi="Times New Roman" w:eastAsia="宋体" w:cs="Times New Roman"/>
                <w:bCs/>
                <w:color w:val="auto"/>
                <w:sz w:val="24"/>
                <w:szCs w:val="24"/>
                <w:lang w:val="en-US" w:eastAsia="zh-CN"/>
              </w:rPr>
              <w:t>，夜间≤55</w:t>
            </w:r>
            <w:r>
              <w:rPr>
                <w:rFonts w:hint="eastAsia" w:ascii="Times New Roman" w:hAnsi="Times New Roman" w:eastAsia="宋体" w:cs="Times New Roman"/>
                <w:bCs/>
                <w:color w:val="auto"/>
                <w:sz w:val="24"/>
                <w:szCs w:val="24"/>
              </w:rPr>
              <w:t>dB(A)</w:t>
            </w:r>
            <w:r>
              <w:rPr>
                <w:rFonts w:hint="default" w:ascii="Times New Roman" w:hAnsi="Times New Roman" w:eastAsia="宋体" w:cs="Times New Roman"/>
                <w:bCs/>
                <w:color w:val="auto"/>
                <w:sz w:val="24"/>
                <w:szCs w:val="24"/>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（4）固废</w:t>
            </w:r>
          </w:p>
          <w:p>
            <w:pPr>
              <w:pStyle w:val="45"/>
              <w:pageBreakBefore w:val="0"/>
              <w:kinsoku/>
              <w:wordWrap/>
              <w:overflowPunct/>
              <w:topLinePunct w:val="0"/>
              <w:bidi w:val="0"/>
              <w:ind w:firstLine="480"/>
              <w:jc w:val="both"/>
              <w:rPr>
                <w:rFonts w:hint="default" w:ascii="Times New Roman" w:hAnsi="Times New Roman" w:eastAsia="宋体" w:cs="Times New Roman"/>
                <w:bCs/>
                <w:color w:val="0000FF"/>
                <w:sz w:val="24"/>
                <w:szCs w:val="24"/>
              </w:rPr>
            </w:pPr>
            <w:r>
              <w:rPr>
                <w:rFonts w:hint="default" w:ascii="Times New Roman" w:hAnsi="Times New Roman" w:eastAsia="宋体" w:cs="Times New Roman"/>
                <w:bCs/>
                <w:color w:val="auto"/>
                <w:sz w:val="24"/>
                <w:szCs w:val="24"/>
              </w:rPr>
              <w:t>环保竣工验收监测期间，</w:t>
            </w:r>
            <w:r>
              <w:rPr>
                <w:rFonts w:hint="eastAsia" w:ascii="Times New Roman" w:hAnsi="Times New Roman" w:eastAsia="宋体" w:cs="Times New Roman"/>
                <w:color w:val="auto"/>
                <w:kern w:val="0"/>
                <w:sz w:val="24"/>
                <w:szCs w:val="22"/>
                <w:lang w:val="en-US" w:eastAsia="zh-CN" w:bidi="ar-SA"/>
              </w:rPr>
              <w:t>本项目主要固体废物分为两类，一部分为一般固废，主要为职工日常生活垃圾；不合</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格产品；边角料；含油废抹布、废手套；废包装材料。另一部分为危险固废，主要为废皂化油、废液压油、废柴油、液压油以及皂化油的包装物。</w:t>
            </w:r>
          </w:p>
          <w:p>
            <w:pPr>
              <w:pStyle w:val="45"/>
              <w:pageBreakBefore w:val="0"/>
              <w:kinsoku/>
              <w:wordWrap/>
              <w:overflowPunct/>
              <w:topLinePunct w:val="0"/>
              <w:bidi w:val="0"/>
              <w:ind w:firstLine="480"/>
              <w:jc w:val="both"/>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边脚料、不合格产品、废包装材料外售给相关单位；废皂化油、废液压油、废柴油目前暂存于危废暂存区，待一定量后委托有资质单位处理；液压油以及皂化油的包装物集中收集后交由供应厂家回收利用。</w:t>
            </w:r>
          </w:p>
          <w:bookmarkEnd w:id="8"/>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后续要求：</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（1）严格执行环保“三同时”政策，建立健全环保工作责任制度；</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（2）对高噪设备的降噪措施及厂区布局进行优化。</w:t>
            </w:r>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color w:val="auto"/>
                <w:sz w:val="24"/>
                <w:szCs w:val="24"/>
              </w:rPr>
              <w:t>（3）定期维护各项环保设施，确保设施均能够正常运行，使处理效率达到最大化。</w:t>
            </w:r>
          </w:p>
          <w:p>
            <w:pPr>
              <w:widowControl w:val="0"/>
              <w:adjustRightInd/>
              <w:snapToGrid/>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auto"/>
                <w:sz w:val="24"/>
                <w:szCs w:val="24"/>
              </w:rPr>
              <w:t>验收结</w:t>
            </w:r>
            <w:r>
              <w:rPr>
                <w:rFonts w:hint="eastAsia" w:ascii="Times New Roman" w:hAnsi="Times New Roman" w:eastAsia="宋体" w:cs="Times New Roman"/>
                <w:b/>
                <w:bCs/>
                <w:color w:val="000000" w:themeColor="text1"/>
                <w:sz w:val="24"/>
                <w:szCs w:val="24"/>
                <w14:textFill>
                  <w14:solidFill>
                    <w14:schemeClr w14:val="tx1"/>
                  </w14:solidFill>
                </w14:textFill>
              </w:rPr>
              <w:t>论：</w:t>
            </w:r>
          </w:p>
          <w:p>
            <w:pPr>
              <w:pStyle w:val="36"/>
              <w:spacing w:line="360" w:lineRule="auto"/>
              <w:ind w:firstLine="482" w:firstLineChars="20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根据验收监测报告及现场</w:t>
            </w:r>
            <w:r>
              <w:rPr>
                <w:rFonts w:hint="eastAsia" w:ascii="Times New Roman" w:hAnsi="Times New Roman" w:cs="Times New Roman"/>
                <w:b/>
                <w:bCs/>
                <w:color w:val="000000" w:themeColor="text1"/>
                <w:lang w:val="en-US" w:eastAsia="zh-CN"/>
                <w14:textFill>
                  <w14:solidFill>
                    <w14:schemeClr w14:val="tx1"/>
                  </w14:solidFill>
                </w14:textFill>
              </w:rPr>
              <w:t>踏勘</w:t>
            </w:r>
            <w:r>
              <w:rPr>
                <w:rFonts w:ascii="Times New Roman" w:hAnsi="Times New Roman" w:cs="Times New Roman"/>
                <w:b/>
                <w:bCs/>
                <w:color w:val="000000" w:themeColor="text1"/>
                <w14:textFill>
                  <w14:solidFill>
                    <w14:schemeClr w14:val="tx1"/>
                  </w14:solidFill>
                </w14:textFill>
              </w:rPr>
              <w:t>结果，</w:t>
            </w:r>
            <w:r>
              <w:rPr>
                <w:rFonts w:hint="eastAsia" w:ascii="Times New Roman" w:hAnsi="Times New Roman" w:cs="Times New Roman"/>
                <w:b/>
                <w:bCs/>
                <w:color w:val="000000" w:themeColor="text1"/>
                <w:lang w:val="en-US" w:eastAsia="zh-CN"/>
                <w14:textFill>
                  <w14:solidFill>
                    <w14:schemeClr w14:val="tx1"/>
                  </w14:solidFill>
                </w14:textFill>
              </w:rPr>
              <w:t>长泰友联机械厂（普通合伙）年加工30万件轴承配件</w:t>
            </w:r>
            <w:r>
              <w:rPr>
                <w:rFonts w:ascii="Times New Roman" w:hAnsi="Times New Roman" w:cs="Times New Roman"/>
                <w:b/>
                <w:bCs/>
                <w:color w:val="000000" w:themeColor="text1"/>
                <w14:textFill>
                  <w14:solidFill>
                    <w14:schemeClr w14:val="tx1"/>
                  </w14:solidFill>
                </w14:textFill>
              </w:rPr>
              <w:t>基本落实环保“三同时”制度以及环评批复中提出的各项污染防治措施，各类污染物达标排放，符合环评批复要求。项目不涉及《污染影响类建设项目重大变动清单（试行）》</w:t>
            </w:r>
            <w:r>
              <w:rPr>
                <w:rFonts w:hint="eastAsia" w:ascii="Times New Roman" w:hAnsi="Times New Roman" w:cs="Times New Roman"/>
                <w:b/>
                <w:bCs/>
                <w:color w:val="000000" w:themeColor="text1"/>
                <w14:textFill>
                  <w14:solidFill>
                    <w14:schemeClr w14:val="tx1"/>
                  </w14:solidFill>
                </w14:textFill>
              </w:rPr>
              <w:t>（环办环评函[2020]688号）</w:t>
            </w:r>
            <w:r>
              <w:rPr>
                <w:rFonts w:ascii="Times New Roman" w:hAnsi="Times New Roman" w:cs="Times New Roman"/>
                <w:b/>
                <w:bCs/>
                <w:color w:val="000000" w:themeColor="text1"/>
                <w14:textFill>
                  <w14:solidFill>
                    <w14:schemeClr w14:val="tx1"/>
                  </w14:solidFill>
                </w14:textFill>
              </w:rPr>
              <w:t>的</w:t>
            </w:r>
            <w:r>
              <w:rPr>
                <w:rFonts w:hint="eastAsia" w:ascii="Times New Roman" w:hAnsi="Times New Roman" w:cs="Times New Roman"/>
                <w:b/>
                <w:bCs/>
                <w:color w:val="000000" w:themeColor="text1"/>
                <w:lang w:val="en-US" w:eastAsia="zh-CN"/>
                <w14:textFill>
                  <w14:solidFill>
                    <w14:schemeClr w14:val="tx1"/>
                  </w14:solidFill>
                </w14:textFill>
              </w:rPr>
              <w:t>十三条内容的</w:t>
            </w:r>
            <w:r>
              <w:rPr>
                <w:rFonts w:ascii="Times New Roman" w:hAnsi="Times New Roman" w:cs="Times New Roman"/>
                <w:b/>
                <w:bCs/>
                <w:color w:val="000000" w:themeColor="text1"/>
                <w14:textFill>
                  <w14:solidFill>
                    <w14:schemeClr w14:val="tx1"/>
                  </w14:solidFill>
                </w14:textFill>
              </w:rPr>
              <w:t>验收不合格情形，符合竣工环保验收条件</w:t>
            </w:r>
            <w:r>
              <w:rPr>
                <w:rFonts w:hint="eastAsia" w:ascii="Times New Roman" w:hAnsi="Times New Roman" w:cs="Times New Roman"/>
                <w:b/>
                <w:bCs/>
                <w:color w:val="000000" w:themeColor="text1"/>
                <w14:textFill>
                  <w14:solidFill>
                    <w14:schemeClr w14:val="tx1"/>
                  </w14:solidFill>
                </w14:textFill>
              </w:rPr>
              <w:t>。</w:t>
            </w:r>
          </w:p>
          <w:p>
            <w:pPr>
              <w:pStyle w:val="36"/>
              <w:spacing w:line="360" w:lineRule="auto"/>
              <w:jc w:val="right"/>
              <w:rPr>
                <w:rFonts w:ascii="Times New Roman" w:hAnsi="Times New Roman" w:cs="Times New Roman"/>
                <w:color w:val="0000FF"/>
                <w:sz w:val="21"/>
                <w:szCs w:val="21"/>
              </w:rPr>
            </w:pPr>
          </w:p>
        </w:tc>
      </w:tr>
    </w:tbl>
    <w:p>
      <w:pPr>
        <w:pStyle w:val="36"/>
        <w:rPr>
          <w:rFonts w:ascii="Times New Roman" w:hAnsi="Times New Roman"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p>
    <w:tbl>
      <w:tblPr>
        <w:tblStyle w:val="25"/>
        <w:tblpPr w:leftFromText="180" w:rightFromText="180" w:vertAnchor="page" w:horzAnchor="page" w:tblpX="616" w:tblpY="1710"/>
        <w:tblW w:w="16019" w:type="dxa"/>
        <w:jc w:val="center"/>
        <w:shd w:val="solid" w:color="FFFFFF" w:themeColor="background1" w:fill="FFFFFF" w:themeFill="background1"/>
        <w:tblLayout w:type="fixed"/>
        <w:tblCellMar>
          <w:top w:w="0" w:type="dxa"/>
          <w:left w:w="108" w:type="dxa"/>
          <w:bottom w:w="0" w:type="dxa"/>
          <w:right w:w="108" w:type="dxa"/>
        </w:tblCellMar>
      </w:tblPr>
      <w:tblGrid>
        <w:gridCol w:w="392"/>
        <w:gridCol w:w="453"/>
        <w:gridCol w:w="1544"/>
        <w:gridCol w:w="327"/>
        <w:gridCol w:w="467"/>
        <w:gridCol w:w="608"/>
        <w:gridCol w:w="424"/>
        <w:gridCol w:w="653"/>
        <w:gridCol w:w="285"/>
        <w:gridCol w:w="401"/>
        <w:gridCol w:w="181"/>
        <w:gridCol w:w="430"/>
        <w:gridCol w:w="665"/>
        <w:gridCol w:w="525"/>
        <w:gridCol w:w="1087"/>
        <w:gridCol w:w="968"/>
        <w:gridCol w:w="2569"/>
        <w:gridCol w:w="828"/>
        <w:gridCol w:w="758"/>
        <w:gridCol w:w="567"/>
        <w:gridCol w:w="653"/>
        <w:gridCol w:w="307"/>
        <w:gridCol w:w="927"/>
      </w:tblGrid>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16019" w:type="dxa"/>
            <w:gridSpan w:val="23"/>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建设项目工程竣工环境保护“三同时”验收登记表</w:t>
            </w:r>
          </w:p>
          <w:p>
            <w:pPr>
              <w:autoSpaceDN w:val="0"/>
              <w:spacing w:line="260" w:lineRule="exact"/>
              <w:jc w:val="left"/>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填表单位（盖章）：</w:t>
            </w:r>
            <w:r>
              <w:rPr>
                <w:rFonts w:hint="eastAsia" w:ascii="Times New Roman" w:hAnsi="Times New Roman" w:eastAsia="宋体" w:cs="Times New Roman"/>
                <w:color w:val="auto"/>
                <w:sz w:val="18"/>
                <w:szCs w:val="18"/>
                <w:lang w:val="en-US" w:eastAsia="zh-CN"/>
              </w:rPr>
              <w:t>长泰友联机械厂（普通合伙）</w:t>
            </w:r>
            <w:r>
              <w:rPr>
                <w:rFonts w:ascii="Times New Roman" w:hAnsi="Times New Roman" w:eastAsia="宋体" w:cs="Times New Roman"/>
                <w:color w:val="auto"/>
                <w:sz w:val="18"/>
                <w:szCs w:val="18"/>
              </w:rPr>
              <w:t xml:space="preserve">           填表人（签字）：                               项目经办人（签字）：</w:t>
            </w:r>
          </w:p>
        </w:tc>
      </w:tr>
      <w:tr>
        <w:tblPrEx>
          <w:tblCellMar>
            <w:top w:w="0" w:type="dxa"/>
            <w:left w:w="108" w:type="dxa"/>
            <w:bottom w:w="0" w:type="dxa"/>
            <w:right w:w="108" w:type="dxa"/>
          </w:tblCellMar>
        </w:tblPrEx>
        <w:trPr>
          <w:trHeight w:val="239" w:hRule="atLeast"/>
          <w:jc w:val="center"/>
        </w:trPr>
        <w:tc>
          <w:tcPr>
            <w:tcW w:w="392"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 设 项 目</w:t>
            </w: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项目名称</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长泰友联机械厂（普通合伙）年加工30万件轴承配件</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项目代码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建设地点</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长泰县古农农场银塘街</w:t>
            </w:r>
          </w:p>
        </w:tc>
      </w:tr>
      <w:tr>
        <w:tblPrEx>
          <w:tblCellMar>
            <w:top w:w="0" w:type="dxa"/>
            <w:left w:w="108" w:type="dxa"/>
            <w:bottom w:w="0" w:type="dxa"/>
            <w:right w:w="108" w:type="dxa"/>
          </w:tblCellMar>
        </w:tblPrEx>
        <w:trPr>
          <w:trHeight w:val="249"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行业类别（分类管理名录）</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C3451轴承制造</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建设性质</w:t>
            </w:r>
          </w:p>
        </w:tc>
        <w:tc>
          <w:tcPr>
            <w:tcW w:w="6609"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 xml:space="preserve">  新建√   改扩建    技术改造    </w:t>
            </w:r>
          </w:p>
        </w:tc>
      </w:tr>
      <w:tr>
        <w:tblPrEx>
          <w:tblCellMar>
            <w:top w:w="0" w:type="dxa"/>
            <w:left w:w="108" w:type="dxa"/>
            <w:bottom w:w="0" w:type="dxa"/>
            <w:right w:w="108" w:type="dxa"/>
          </w:tblCellMar>
        </w:tblPrEx>
        <w:trPr>
          <w:trHeight w:val="40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建设规模</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年加工30万件轴承配件</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实际产能</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年加工30万件轴承配件</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环评单位</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深圳市宗兴环保科技有限公司</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环评文件审批机关</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漳州市长泰生态环境局</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审批文号</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泰环审【2015】20号</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环评文件类型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报告表</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开工日期</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2015年3月</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竣工日期</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2016年6月</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排污许可证申领时间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环保设施设计单位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长泰友联机械厂（普通合伙）</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环保设施施工单位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长泰友联机械厂（普通合伙）</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本工程排污许可证编号</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验收单位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长泰友联机械厂（普通合伙）</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环保设施监测单位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厦门威正检测技术有限公司</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验收监测时工况</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≥75%</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投资总概算（万元）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环保投资总概算（万元）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0.05</w:t>
            </w:r>
            <w:r>
              <w:rPr>
                <w:rFonts w:ascii="Times New Roman" w:hAnsi="Times New Roman" w:eastAsia="宋体" w:cs="Times New Roman"/>
                <w:color w:val="auto"/>
                <w:sz w:val="18"/>
                <w:szCs w:val="18"/>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实际总投资（万元）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实际环保投资（万元）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0.05</w:t>
            </w:r>
            <w:r>
              <w:rPr>
                <w:rFonts w:ascii="Times New Roman" w:hAnsi="Times New Roman" w:eastAsia="宋体" w:cs="Times New Roman"/>
                <w:color w:val="auto"/>
                <w:sz w:val="18"/>
                <w:szCs w:val="18"/>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废水治理（万元）</w:t>
            </w:r>
          </w:p>
        </w:tc>
        <w:tc>
          <w:tcPr>
            <w:tcW w:w="107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tabs>
                <w:tab w:val="left" w:pos="270"/>
                <w:tab w:val="center" w:pos="489"/>
              </w:tabs>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p>
        </w:tc>
        <w:tc>
          <w:tcPr>
            <w:tcW w:w="1077"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废气治理（万元）</w:t>
            </w:r>
          </w:p>
        </w:tc>
        <w:tc>
          <w:tcPr>
            <w:tcW w:w="867"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w:t>
            </w:r>
          </w:p>
        </w:tc>
        <w:tc>
          <w:tcPr>
            <w:tcW w:w="109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噪声治理（万元）</w:t>
            </w:r>
          </w:p>
        </w:tc>
        <w:tc>
          <w:tcPr>
            <w:tcW w:w="52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1</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固体废物治理（万元）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绿化及生态（万元）</w:t>
            </w:r>
          </w:p>
        </w:tc>
        <w:tc>
          <w:tcPr>
            <w:tcW w:w="56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1</w:t>
            </w:r>
          </w:p>
        </w:tc>
        <w:tc>
          <w:tcPr>
            <w:tcW w:w="96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其它（万元）</w:t>
            </w:r>
          </w:p>
        </w:tc>
        <w:tc>
          <w:tcPr>
            <w:tcW w:w="92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新增废水处理设施能力</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新增废气处理设施能力</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年平均工作时</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2640</w:t>
            </w:r>
          </w:p>
        </w:tc>
      </w:tr>
      <w:tr>
        <w:tblPrEx>
          <w:tblCellMar>
            <w:top w:w="0" w:type="dxa"/>
            <w:left w:w="108" w:type="dxa"/>
            <w:bottom w:w="0" w:type="dxa"/>
            <w:right w:w="108" w:type="dxa"/>
          </w:tblCellMar>
        </w:tblPrEx>
        <w:trPr>
          <w:trHeight w:val="249" w:hRule="atLeast"/>
          <w:jc w:val="center"/>
        </w:trPr>
        <w:tc>
          <w:tcPr>
            <w:tcW w:w="271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运营单位</w:t>
            </w:r>
          </w:p>
        </w:tc>
        <w:tc>
          <w:tcPr>
            <w:tcW w:w="2838"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eastAsia="zh-CN"/>
              </w:rPr>
            </w:pPr>
            <w:r>
              <w:rPr>
                <w:rFonts w:hint="eastAsia" w:ascii="Times New Roman" w:hAnsi="Times New Roman" w:eastAsia="宋体" w:cs="Times New Roman"/>
                <w:color w:val="auto"/>
                <w:sz w:val="18"/>
                <w:szCs w:val="18"/>
                <w:lang w:val="en-US" w:eastAsia="zh-CN"/>
              </w:rPr>
              <w:t>长泰友联机械厂（普通合伙）</w:t>
            </w:r>
          </w:p>
        </w:tc>
        <w:tc>
          <w:tcPr>
            <w:tcW w:w="3856"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运营单位社会统一信用代码（或组织机构代码）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rPr>
              <w:t xml:space="preserve">91350625768592242N </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验收时间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spacing w:line="280" w:lineRule="exact"/>
              <w:jc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p>
        </w:tc>
      </w:tr>
      <w:tr>
        <w:tblPrEx>
          <w:tblCellMar>
            <w:top w:w="0" w:type="dxa"/>
            <w:left w:w="108" w:type="dxa"/>
            <w:bottom w:w="0" w:type="dxa"/>
            <w:right w:w="108" w:type="dxa"/>
          </w:tblCellMar>
        </w:tblPrEx>
        <w:trPr>
          <w:trHeight w:val="992" w:hRule="atLeast"/>
          <w:jc w:val="center"/>
        </w:trPr>
        <w:tc>
          <w:tcPr>
            <w:tcW w:w="845" w:type="dxa"/>
            <w:gridSpan w:val="2"/>
            <w:vMerge w:val="restart"/>
            <w:tcBorders>
              <w:top w:val="single" w:color="000000" w:sz="4" w:space="0"/>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adjustRightInd/>
              <w:snapToGrid/>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污染</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物排</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放达</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标与</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控制</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（工</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业建</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设项</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目详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填）</w:t>
            </w: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污染物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原有排放量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本期工程实际排放浓度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（2）</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本期工程允许排放浓度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（3）</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本期工程产生量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（4）</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本期工程自身削减量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（5）</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本期工程实际排放量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（6）</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本期工程核定排放总量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（7）</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本期工程“以新带老”削减量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（8）</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全厂实际排放总量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（9）</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全厂核定排放总量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（10）</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区域平衡替代削减量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（11）</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排放增</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（12）</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废水</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 xml:space="preserve">化学需氧量 </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氨氮</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废气</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颗粒物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245"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二氧化硫</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氮氧化物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非甲烷总烃</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default"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bl>
    <w:p>
      <w:pPr>
        <w:pStyle w:val="36"/>
        <w:rPr>
          <w:rFonts w:ascii="Times New Roman" w:hAnsi="Times New Roman" w:cs="Times New Roman"/>
          <w:color w:val="0000FF"/>
        </w:rPr>
        <w:sectPr>
          <w:pgSz w:w="16838" w:h="11906" w:orient="landscape"/>
          <w:pgMar w:top="1701" w:right="1440" w:bottom="1440" w:left="1440" w:header="709" w:footer="709" w:gutter="0"/>
          <w:pgBorders>
            <w:top w:val="none" w:sz="0" w:space="0"/>
            <w:left w:val="none" w:sz="0" w:space="0"/>
            <w:bottom w:val="none" w:sz="0" w:space="0"/>
            <w:right w:val="none" w:sz="0" w:space="0"/>
          </w:pgBorders>
          <w:cols w:space="0" w:num="1"/>
          <w:docGrid w:linePitch="312" w:charSpace="0"/>
        </w:sectPr>
      </w:pPr>
      <w:r>
        <w:rPr>
          <w:rFonts w:ascii="Times New Roman" w:hAnsi="Times New Roman" w:cs="Times New Roman"/>
          <w:color w:val="auto"/>
          <w:sz w:val="18"/>
        </w:rPr>
        <w:t>注：1、排放增减量：（+）表示增加，（-）表示减少。2、(12)=(6)-(8)-(11)，（9）= (4)-(5)-(8)-(11)+（1）。3、计量单位：废水排放量——万吨/年；废气排放量——万标立方米/年；工业固体废物排放量——万吨/年； 水污染物排放浓度——毫克/升；大气污染物排放浓度——毫克/立方米；水污染排放量——吨/年；大气污染物排放量——吨/年附图</w:t>
      </w:r>
    </w:p>
    <w:p>
      <w:pPr>
        <w:pStyle w:val="24"/>
        <w:ind w:firstLine="0"/>
        <w:jc w:val="left"/>
        <w:outlineLvl w:val="1"/>
        <w:rPr>
          <w:rFonts w:ascii="Times New Roman" w:hAnsi="Times New Roman" w:eastAsia="宋体" w:cs="Times New Roman"/>
          <w:color w:val="0000FF"/>
          <w:sz w:val="28"/>
          <w:szCs w:val="24"/>
        </w:rPr>
      </w:pPr>
      <w:r>
        <w:rPr>
          <w:rFonts w:ascii="Times New Roman" w:hAnsi="Times New Roman" w:eastAsia="宋体" w:cs="Times New Roman"/>
          <w:color w:val="000000" w:themeColor="text1"/>
          <w:sz w:val="28"/>
          <w:szCs w:val="24"/>
          <w14:textFill>
            <w14:solidFill>
              <w14:schemeClr w14:val="tx1"/>
            </w14:solidFill>
          </w14:textFill>
        </w:rPr>
        <w:t>附图1：项目地理位置图</w:t>
      </w:r>
      <w:r>
        <w:drawing>
          <wp:inline distT="0" distB="0" distL="114300" distR="114300">
            <wp:extent cx="5779770" cy="8543925"/>
            <wp:effectExtent l="0" t="0" r="1143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5779770" cy="8543925"/>
                    </a:xfrm>
                    <a:prstGeom prst="rect">
                      <a:avLst/>
                    </a:prstGeom>
                    <a:noFill/>
                    <a:ln>
                      <a:noFill/>
                    </a:ln>
                  </pic:spPr>
                </pic:pic>
              </a:graphicData>
            </a:graphic>
          </wp:inline>
        </w:drawing>
      </w:r>
    </w:p>
    <w:p>
      <w:pPr>
        <w:pStyle w:val="24"/>
        <w:ind w:firstLine="0"/>
        <w:jc w:val="both"/>
        <w:outlineLvl w:val="1"/>
        <w:rPr>
          <w:rFonts w:hint="eastAsia" w:ascii="Times New Roman" w:hAnsi="Times New Roman" w:eastAsia="宋体" w:cs="Times New Roman"/>
          <w:color w:val="000000" w:themeColor="text1"/>
          <w:sz w:val="28"/>
          <w:szCs w:val="24"/>
          <w14:textFill>
            <w14:solidFill>
              <w14:schemeClr w14:val="tx1"/>
            </w14:solidFill>
          </w14:textFill>
        </w:rPr>
      </w:pPr>
      <w:r>
        <w:rPr>
          <w:rFonts w:hint="eastAsia" w:ascii="Times New Roman" w:hAnsi="Times New Roman" w:eastAsia="宋体" w:cs="Times New Roman"/>
          <w:color w:val="000000" w:themeColor="text1"/>
          <w:sz w:val="28"/>
          <w:szCs w:val="24"/>
          <w14:textFill>
            <w14:solidFill>
              <w14:schemeClr w14:val="tx1"/>
            </w14:solidFill>
          </w14:textFill>
        </w:rPr>
        <w:t>附图2 项目周边环境示意图</w:t>
      </w:r>
    </w:p>
    <w:p>
      <w:pPr>
        <w:pStyle w:val="24"/>
        <w:ind w:firstLine="0"/>
        <w:jc w:val="both"/>
        <w:outlineLvl w:val="1"/>
        <w:rPr>
          <w:color w:val="0000FF"/>
        </w:rPr>
      </w:pPr>
      <w:r>
        <w:drawing>
          <wp:inline distT="0" distB="0" distL="114300" distR="114300">
            <wp:extent cx="8486775" cy="5395595"/>
            <wp:effectExtent l="0" t="0" r="14605" b="952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rot="16200000">
                      <a:off x="0" y="0"/>
                      <a:ext cx="8486775" cy="5395595"/>
                    </a:xfrm>
                    <a:prstGeom prst="rect">
                      <a:avLst/>
                    </a:prstGeom>
                    <a:noFill/>
                    <a:ln>
                      <a:noFill/>
                    </a:ln>
                  </pic:spPr>
                </pic:pic>
              </a:graphicData>
            </a:graphic>
          </wp:inline>
        </w:drawing>
      </w:r>
    </w:p>
    <w:p>
      <w:pPr>
        <w:pStyle w:val="24"/>
        <w:ind w:firstLine="0"/>
        <w:jc w:val="both"/>
        <w:outlineLvl w:val="1"/>
        <w:rPr>
          <w:rFonts w:hint="eastAsia" w:ascii="Times New Roman" w:hAnsi="Times New Roman" w:eastAsia="宋体" w:cs="Times New Roman"/>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color w:val="000000" w:themeColor="text1"/>
          <w:sz w:val="28"/>
          <w:szCs w:val="24"/>
          <w14:textFill>
            <w14:solidFill>
              <w14:schemeClr w14:val="tx1"/>
            </w14:solidFill>
          </w14:textFill>
        </w:rPr>
        <w:t>附图</w:t>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8"/>
          <w:szCs w:val="24"/>
          <w14:textFill>
            <w14:solidFill>
              <w14:schemeClr w14:val="tx1"/>
            </w14:solidFill>
          </w14:textFill>
        </w:rPr>
        <w:t>：</w:t>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t>现场检测照片</w:t>
      </w:r>
    </w:p>
    <w:p>
      <w:pPr>
        <w:pStyle w:val="24"/>
        <w:ind w:firstLine="0"/>
        <w:jc w:val="both"/>
        <w:rPr>
          <w:rFonts w:ascii="Times New Roman" w:hAnsi="Times New Roman" w:eastAsia="宋体" w:cs="Times New Roman"/>
          <w:b/>
          <w:bCs/>
          <w:color w:val="0000FF"/>
          <w:sz w:val="28"/>
          <w:szCs w:val="24"/>
        </w:rPr>
        <w:sectPr>
          <w:headerReference r:id="rId7" w:type="default"/>
          <w:footerReference r:id="rId8" w:type="default"/>
          <w:pgSz w:w="11906" w:h="16838"/>
          <w:pgMar w:top="1440" w:right="1440" w:bottom="1440" w:left="1417" w:header="709" w:footer="709" w:gutter="0"/>
          <w:pgBorders>
            <w:top w:val="none" w:sz="0" w:space="0"/>
            <w:left w:val="none" w:sz="0" w:space="0"/>
            <w:bottom w:val="none" w:sz="0" w:space="0"/>
            <w:right w:val="none" w:sz="0" w:space="0"/>
          </w:pgBorders>
          <w:cols w:space="0" w:num="1"/>
          <w:docGrid w:linePitch="312" w:charSpace="0"/>
        </w:sectPr>
      </w:pPr>
      <w:r>
        <w:drawing>
          <wp:inline distT="0" distB="0" distL="114300" distR="114300">
            <wp:extent cx="5648325" cy="5467350"/>
            <wp:effectExtent l="0" t="0" r="952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648325" cy="5467350"/>
                    </a:xfrm>
                    <a:prstGeom prst="rect">
                      <a:avLst/>
                    </a:prstGeom>
                    <a:noFill/>
                    <a:ln>
                      <a:noFill/>
                    </a:ln>
                  </pic:spPr>
                </pic:pic>
              </a:graphicData>
            </a:graphic>
          </wp:inline>
        </w:drawing>
      </w:r>
    </w:p>
    <w:p>
      <w:pPr>
        <w:pStyle w:val="24"/>
        <w:ind w:firstLine="0"/>
        <w:jc w:val="both"/>
        <w:outlineLvl w:val="1"/>
        <w:rPr>
          <w:rFonts w:hint="eastAsia" w:ascii="Times New Roman" w:hAnsi="Times New Roman" w:eastAsia="宋体" w:cs="Times New Roman"/>
          <w:color w:val="auto"/>
          <w:sz w:val="28"/>
          <w:szCs w:val="24"/>
          <w:lang w:val="en-US" w:eastAsia="zh-CN"/>
        </w:rPr>
      </w:pPr>
      <w:r>
        <w:rPr>
          <w:rFonts w:ascii="Times New Roman" w:hAnsi="Times New Roman" w:eastAsia="宋体" w:cs="Times New Roman"/>
          <w:color w:val="auto"/>
          <w:sz w:val="28"/>
          <w:szCs w:val="24"/>
        </w:rPr>
        <w:t>附件</w:t>
      </w:r>
      <w:r>
        <w:rPr>
          <w:rFonts w:hint="eastAsia" w:ascii="Times New Roman" w:hAnsi="Times New Roman" w:eastAsia="宋体" w:cs="Times New Roman"/>
          <w:color w:val="auto"/>
          <w:sz w:val="28"/>
          <w:szCs w:val="24"/>
          <w:lang w:val="en-US" w:eastAsia="zh-CN"/>
        </w:rPr>
        <w:t>1</w:t>
      </w:r>
      <w:r>
        <w:rPr>
          <w:rFonts w:ascii="Times New Roman" w:hAnsi="Times New Roman" w:eastAsia="宋体" w:cs="Times New Roman"/>
          <w:color w:val="auto"/>
          <w:sz w:val="28"/>
          <w:szCs w:val="24"/>
        </w:rPr>
        <w:t>：</w:t>
      </w:r>
      <w:r>
        <w:rPr>
          <w:rFonts w:hint="eastAsia" w:ascii="Times New Roman" w:hAnsi="Times New Roman" w:eastAsia="宋体" w:cs="Times New Roman"/>
          <w:color w:val="auto"/>
          <w:sz w:val="28"/>
          <w:szCs w:val="24"/>
          <w:lang w:val="en-US" w:eastAsia="zh-CN"/>
        </w:rPr>
        <w:t>环评批复</w:t>
      </w:r>
    </w:p>
    <w:p>
      <w:pPr>
        <w:pStyle w:val="24"/>
        <w:ind w:firstLine="0"/>
        <w:jc w:val="both"/>
        <w:outlineLvl w:val="1"/>
        <w:rPr>
          <w:rFonts w:hint="eastAsia" w:ascii="Times New Roman" w:hAnsi="Times New Roman" w:eastAsia="宋体" w:cs="Times New Roman"/>
          <w:color w:val="0000FF"/>
          <w:sz w:val="28"/>
          <w:szCs w:val="24"/>
          <w:lang w:val="en-US" w:eastAsia="zh-CN"/>
        </w:rPr>
      </w:pPr>
      <w:r>
        <w:rPr>
          <w:rFonts w:hint="eastAsia" w:ascii="Times New Roman" w:hAnsi="Times New Roman" w:eastAsia="宋体" w:cs="Times New Roman"/>
          <w:color w:val="0000FF"/>
          <w:sz w:val="28"/>
          <w:szCs w:val="24"/>
          <w:lang w:val="en-US" w:eastAsia="zh-CN"/>
        </w:rPr>
        <w:drawing>
          <wp:inline distT="0" distB="0" distL="114300" distR="114300">
            <wp:extent cx="5935345" cy="7914005"/>
            <wp:effectExtent l="0" t="0" r="8255" b="10795"/>
            <wp:docPr id="12" name="图片 12" descr="92bf7e441584d734a589bc45d8d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2bf7e441584d734a589bc45d8d6619"/>
                    <pic:cNvPicPr>
                      <a:picLocks noChangeAspect="1"/>
                    </pic:cNvPicPr>
                  </pic:nvPicPr>
                  <pic:blipFill>
                    <a:blip r:embed="rId17"/>
                    <a:stretch>
                      <a:fillRect/>
                    </a:stretch>
                  </pic:blipFill>
                  <pic:spPr>
                    <a:xfrm>
                      <a:off x="0" y="0"/>
                      <a:ext cx="5935345" cy="7914005"/>
                    </a:xfrm>
                    <a:prstGeom prst="rect">
                      <a:avLst/>
                    </a:prstGeom>
                  </pic:spPr>
                </pic:pic>
              </a:graphicData>
            </a:graphic>
          </wp:inline>
        </w:drawing>
      </w:r>
    </w:p>
    <w:p>
      <w:pPr>
        <w:pStyle w:val="24"/>
        <w:ind w:firstLine="0"/>
        <w:jc w:val="both"/>
        <w:outlineLvl w:val="1"/>
        <w:rPr>
          <w:rFonts w:hint="eastAsia" w:ascii="Times New Roman" w:hAnsi="Times New Roman" w:eastAsia="宋体" w:cs="Times New Roman"/>
          <w:color w:val="0000FF"/>
          <w:sz w:val="28"/>
          <w:szCs w:val="24"/>
          <w:lang w:val="en-US" w:eastAsia="zh-CN"/>
        </w:rPr>
      </w:pPr>
      <w:r>
        <w:rPr>
          <w:rFonts w:hint="eastAsia" w:ascii="Times New Roman" w:hAnsi="Times New Roman" w:eastAsia="宋体" w:cs="Times New Roman"/>
          <w:color w:val="0000FF"/>
          <w:sz w:val="28"/>
          <w:szCs w:val="24"/>
          <w:lang w:val="en-US" w:eastAsia="zh-CN"/>
        </w:rPr>
        <w:drawing>
          <wp:inline distT="0" distB="0" distL="114300" distR="114300">
            <wp:extent cx="5935345" cy="7914005"/>
            <wp:effectExtent l="0" t="0" r="8255" b="10795"/>
            <wp:docPr id="13" name="图片 13" descr="a4e86a029f27c1aaaab5ad5f9f5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e86a029f27c1aaaab5ad5f9f5de12"/>
                    <pic:cNvPicPr>
                      <a:picLocks noChangeAspect="1"/>
                    </pic:cNvPicPr>
                  </pic:nvPicPr>
                  <pic:blipFill>
                    <a:blip r:embed="rId18"/>
                    <a:stretch>
                      <a:fillRect/>
                    </a:stretch>
                  </pic:blipFill>
                  <pic:spPr>
                    <a:xfrm>
                      <a:off x="0" y="0"/>
                      <a:ext cx="5935345" cy="7914005"/>
                    </a:xfrm>
                    <a:prstGeom prst="rect">
                      <a:avLst/>
                    </a:prstGeom>
                  </pic:spPr>
                </pic:pic>
              </a:graphicData>
            </a:graphic>
          </wp:inline>
        </w:drawing>
      </w:r>
    </w:p>
    <w:p>
      <w:pPr>
        <w:pStyle w:val="24"/>
        <w:ind w:firstLine="0"/>
        <w:jc w:val="both"/>
        <w:outlineLvl w:val="1"/>
        <w:rPr>
          <w:rFonts w:hint="eastAsia" w:ascii="Times New Roman" w:hAnsi="Times New Roman" w:eastAsia="宋体" w:cs="Times New Roman"/>
          <w:color w:val="0000FF"/>
          <w:sz w:val="28"/>
          <w:szCs w:val="24"/>
          <w:lang w:val="en-US" w:eastAsia="zh-CN"/>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hint="eastAsia" w:ascii="Times New Roman" w:hAnsi="Times New Roman" w:eastAsia="宋体" w:cs="Times New Roman"/>
          <w:color w:val="000000" w:themeColor="text1"/>
          <w:sz w:val="28"/>
          <w:szCs w:val="24"/>
          <w:lang w:val="en-US" w:eastAsia="zh-CN"/>
          <w14:textFill>
            <w14:solidFill>
              <w14:schemeClr w14:val="tx1"/>
            </w14:solidFill>
          </w14:textFill>
        </w:rPr>
      </w:pPr>
      <w:r>
        <w:rPr>
          <w:rFonts w:ascii="Times New Roman" w:hAnsi="Times New Roman" w:eastAsia="宋体" w:cs="Times New Roman"/>
          <w:color w:val="000000" w:themeColor="text1"/>
          <w:sz w:val="28"/>
          <w:szCs w:val="24"/>
          <w14:textFill>
            <w14:solidFill>
              <w14:schemeClr w14:val="tx1"/>
            </w14:solidFill>
          </w14:textFill>
        </w:rPr>
        <w:t>附件</w:t>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t>2</w:t>
      </w:r>
      <w:r>
        <w:rPr>
          <w:rFonts w:ascii="Times New Roman" w:hAnsi="Times New Roman" w:eastAsia="宋体" w:cs="Times New Roman"/>
          <w:color w:val="000000" w:themeColor="text1"/>
          <w:sz w:val="28"/>
          <w:szCs w:val="24"/>
          <w14:textFill>
            <w14:solidFill>
              <w14:schemeClr w14:val="tx1"/>
            </w14:solidFill>
          </w14:textFill>
        </w:rPr>
        <w:t>：</w:t>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t>选址意见函</w:t>
      </w:r>
    </w:p>
    <w:p>
      <w:pPr>
        <w:pStyle w:val="24"/>
        <w:ind w:firstLine="0"/>
        <w:jc w:val="both"/>
        <w:outlineLvl w:val="1"/>
        <w:rPr>
          <w:rFonts w:hint="default" w:ascii="Times New Roman" w:hAnsi="Times New Roman" w:eastAsia="宋体" w:cs="Times New Roman"/>
          <w:color w:val="0000FF"/>
          <w:sz w:val="28"/>
          <w:szCs w:val="24"/>
          <w:lang w:val="en-US" w:eastAsia="zh-CN"/>
        </w:rPr>
      </w:pPr>
      <w:r>
        <w:drawing>
          <wp:inline distT="0" distB="0" distL="114300" distR="114300">
            <wp:extent cx="6054725" cy="8658225"/>
            <wp:effectExtent l="0" t="0" r="31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6054725" cy="8658225"/>
                    </a:xfrm>
                    <a:prstGeom prst="rect">
                      <a:avLst/>
                    </a:prstGeom>
                    <a:noFill/>
                    <a:ln>
                      <a:noFill/>
                    </a:ln>
                  </pic:spPr>
                </pic:pic>
              </a:graphicData>
            </a:graphic>
          </wp:inline>
        </w:drawing>
      </w:r>
    </w:p>
    <w:p>
      <w:pPr>
        <w:pStyle w:val="24"/>
        <w:ind w:firstLine="0"/>
        <w:jc w:val="both"/>
        <w:outlineLvl w:val="1"/>
        <w:rPr>
          <w:rFonts w:hint="default" w:ascii="Times New Roman" w:hAnsi="Times New Roman" w:eastAsia="宋体" w:cs="Times New Roman"/>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color w:val="000000" w:themeColor="text1"/>
          <w:sz w:val="28"/>
          <w:szCs w:val="24"/>
          <w:lang w:val="en-US" w:eastAsia="zh-CN"/>
          <w14:textFill>
            <w14:solidFill>
              <w14:schemeClr w14:val="tx1"/>
            </w14:solidFill>
          </w14:textFill>
        </w:rPr>
        <w:t>附件3：租赁合同</w:t>
      </w:r>
    </w:p>
    <w:p>
      <w:pPr>
        <w:pStyle w:val="24"/>
        <w:ind w:firstLine="0"/>
        <w:jc w:val="both"/>
        <w:outlineLvl w:val="1"/>
        <w:rPr>
          <w:rFonts w:hint="eastAsia" w:ascii="Times New Roman" w:hAnsi="Times New Roman" w:eastAsia="宋体" w:cs="Times New Roman"/>
          <w:color w:val="0000FF"/>
          <w:sz w:val="28"/>
          <w:szCs w:val="24"/>
          <w:lang w:val="en-US" w:eastAsia="zh-CN"/>
        </w:rPr>
      </w:pPr>
      <w:r>
        <w:drawing>
          <wp:inline distT="0" distB="0" distL="114300" distR="114300">
            <wp:extent cx="6148070" cy="832485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6148070" cy="8324850"/>
                    </a:xfrm>
                    <a:prstGeom prst="rect">
                      <a:avLst/>
                    </a:prstGeom>
                    <a:noFill/>
                    <a:ln>
                      <a:noFill/>
                    </a:ln>
                  </pic:spPr>
                </pic:pic>
              </a:graphicData>
            </a:graphic>
          </wp:inline>
        </w:drawing>
      </w:r>
    </w:p>
    <w:p>
      <w:pPr>
        <w:pStyle w:val="24"/>
        <w:ind w:firstLine="0"/>
        <w:jc w:val="both"/>
        <w:outlineLvl w:val="1"/>
        <w:rPr>
          <w:rFonts w:hint="eastAsia" w:ascii="Times New Roman" w:hAnsi="Times New Roman" w:eastAsia="宋体" w:cs="Times New Roman"/>
          <w:color w:val="0000FF"/>
          <w:sz w:val="28"/>
          <w:szCs w:val="24"/>
          <w:lang w:val="en-US" w:eastAsia="zh-CN"/>
        </w:rPr>
        <w:sectPr>
          <w:pgSz w:w="11907" w:h="16840"/>
          <w:pgMar w:top="1276" w:right="1134" w:bottom="1361" w:left="1417" w:header="992" w:footer="850" w:gutter="0"/>
          <w:pgBorders>
            <w:top w:val="none" w:sz="0" w:space="0"/>
            <w:left w:val="none" w:sz="0" w:space="0"/>
            <w:bottom w:val="none" w:sz="0" w:space="0"/>
            <w:right w:val="none" w:sz="0" w:space="0"/>
          </w:pgBorders>
          <w:cols w:space="720" w:num="1"/>
          <w:rtlGutter w:val="0"/>
          <w:docGrid w:linePitch="494" w:charSpace="0"/>
        </w:sectPr>
      </w:pPr>
    </w:p>
    <w:p>
      <w:pPr>
        <w:pStyle w:val="24"/>
        <w:ind w:firstLine="0"/>
        <w:jc w:val="both"/>
        <w:outlineLvl w:val="1"/>
        <w:rPr>
          <w:rFonts w:hint="eastAsia" w:ascii="Times New Roman" w:hAnsi="Times New Roman" w:eastAsia="宋体" w:cs="Times New Roman"/>
          <w:color w:val="0000FF"/>
          <w:sz w:val="28"/>
          <w:szCs w:val="24"/>
          <w:lang w:val="en-US" w:eastAsia="zh-CN"/>
        </w:rPr>
      </w:pPr>
    </w:p>
    <w:sectPr>
      <w:footerReference r:id="rId9" w:type="default"/>
      <w:pgSz w:w="16838" w:h="11906" w:orient="landscape"/>
      <w:pgMar w:top="1474" w:right="1588" w:bottom="1474" w:left="1713"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3i9w5AgAAcAQAAA4AAABkcnMvZTJvRG9jLnhtbK1UzY7TMBC+I/EO&#10;lu80bReq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mLnL6eUKKZQsfP37+d&#10;f/w6//xKbqI+jfUzhG0tAkP71rSYmv7e4zLSbkun4i8IEfih7umqrmgD4fHRdDydDuHi8PUH4GeP&#10;z63z4Z0wikQjpw7tS6qy48aHLrQPidm0WddSphZKTZqcTm7eDNODqwfgUsdYkYbhAhMpdaVHK7S7&#10;9sJzZ4oTaDrTDYq3fF2jlA3z4YE5TAbKx+6Ee3xKaZDSXCxKKuO+/Os+xqNh8FLSYNJyqrFYlMj3&#10;Go0EYOgN1xu73tAHdWcwuiPspOXJxAMXZG+WzqjPWKhlzAEX0xyZchp68y50046F5GK5TEEH6+p9&#10;1T3AGFoWNnpreUwTpfJ2eQiQNikeBepUQafiAYOYenZZmjjpf55T1OMfx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e3i9w5AgAAcAQAAA4AAAAAAAAAAQAgAAAAHwEAAGRycy9lMm9Eb2Mu&#10;eG1sUEsFBgAAAAAGAAYAWQEAAMo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ElI6AgAAcQ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JuMoUGv9DHEPFpGhe2s6jM1w73EZeXeVU/EXjAj8kPd4kVd0gfD4aDqZTnO4OHzDAfjZ&#10;43PrfHgnjCLRKKhD/5Ks7LDxoQ8dQmI2bdaNlKmHUpO2oNev3+TpwcUDcKljrEjTcIaJlPrSoxW6&#10;bXfmuTXlETSd6SfFW75uUMqG+XDPHEYD5WN5wh0+lTRIac4WJbVxX/51H+PRMXgpaTFqBdXYLErk&#10;e41OAjAMhhuM7WDovbo1mN0xltLyZOKBC3IwK2fUZ2zUMuaAi2mOTAUNg3kb+nHHRnKxXKagvXXN&#10;ru4fYA4tCxv9YHlME6XydrkPkDYpHgXqVUGn4gGTmHp23po46n+eU9TjP8X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HohJSOgIAAHEEAAAOAAAAAAAAAAEAIAAAAB8BAABkcnMvZTJvRG9j&#10;LnhtbFBLBQYAAAAABgAGAFkBAADL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42837"/>
      <w:docPartObj>
        <w:docPartGallery w:val="autotext"/>
      </w:docPartObj>
    </w:sdtPr>
    <w:sdtContent>
      <w:p>
        <w:pPr>
          <w:pStyle w:val="18"/>
          <w:jc w:val="center"/>
        </w:pPr>
        <w:r>
          <w:fldChar w:fldCharType="begin"/>
        </w:r>
        <w:r>
          <w:instrText xml:space="preserve"> PAGE   \* MERGEFORMAT </w:instrText>
        </w:r>
        <w:r>
          <w:fldChar w:fldCharType="separate"/>
        </w:r>
        <w:r>
          <w:rPr>
            <w:lang w:val="zh-CN"/>
          </w:rPr>
          <w:t>33</w:t>
        </w:r>
        <w:r>
          <w:rPr>
            <w:lang w:val="zh-CN"/>
          </w:rPr>
          <w:fldChar w:fldCharType="end"/>
        </w:r>
      </w:p>
    </w:sdtContent>
  </w:sdt>
  <w:p>
    <w:pPr>
      <w:pStyle w:val="18"/>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after="0" w:afterLines="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845EA4"/>
    <w:multiLevelType w:val="singleLevel"/>
    <w:tmpl w:val="A2845EA4"/>
    <w:lvl w:ilvl="0" w:tentative="0">
      <w:start w:val="1"/>
      <w:numFmt w:val="decimal"/>
      <w:suff w:val="nothing"/>
      <w:lvlText w:val="%1、"/>
      <w:lvlJc w:val="left"/>
    </w:lvl>
  </w:abstractNum>
  <w:abstractNum w:abstractNumId="1">
    <w:nsid w:val="B9669A6D"/>
    <w:multiLevelType w:val="singleLevel"/>
    <w:tmpl w:val="B9669A6D"/>
    <w:lvl w:ilvl="0" w:tentative="0">
      <w:start w:val="1"/>
      <w:numFmt w:val="decimal"/>
      <w:suff w:val="nothing"/>
      <w:lvlText w:val="（%1）"/>
      <w:lvlJc w:val="left"/>
    </w:lvl>
  </w:abstractNum>
  <w:abstractNum w:abstractNumId="2">
    <w:nsid w:val="EA50557B"/>
    <w:multiLevelType w:val="singleLevel"/>
    <w:tmpl w:val="EA50557B"/>
    <w:lvl w:ilvl="0" w:tentative="0">
      <w:start w:val="1"/>
      <w:numFmt w:val="decimal"/>
      <w:suff w:val="nothing"/>
      <w:lvlText w:val="%1、"/>
      <w:lvlJc w:val="left"/>
      <w:pPr>
        <w:ind w:left="20"/>
      </w:pPr>
    </w:lvl>
  </w:abstractNum>
  <w:abstractNum w:abstractNumId="3">
    <w:nsid w:val="3AFA98C7"/>
    <w:multiLevelType w:val="singleLevel"/>
    <w:tmpl w:val="3AFA98C7"/>
    <w:lvl w:ilvl="0" w:tentative="0">
      <w:start w:val="7"/>
      <w:numFmt w:val="decimal"/>
      <w:suff w:val="nothing"/>
      <w:lvlText w:val="%1、"/>
      <w:lvlJc w:val="left"/>
    </w:lvl>
  </w:abstractNum>
  <w:abstractNum w:abstractNumId="4">
    <w:nsid w:val="68804528"/>
    <w:multiLevelType w:val="singleLevel"/>
    <w:tmpl w:val="68804528"/>
    <w:lvl w:ilvl="0" w:tentative="0">
      <w:start w:val="1"/>
      <w:numFmt w:val="decimal"/>
      <w:suff w:val="nothing"/>
      <w:lvlText w:val="%1、"/>
      <w:lvlJc w:val="left"/>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11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50C29"/>
    <w:rsid w:val="0000664E"/>
    <w:rsid w:val="00007B6D"/>
    <w:rsid w:val="000170F7"/>
    <w:rsid w:val="0002074F"/>
    <w:rsid w:val="00073298"/>
    <w:rsid w:val="000772E1"/>
    <w:rsid w:val="00084AF3"/>
    <w:rsid w:val="00122075"/>
    <w:rsid w:val="00122D18"/>
    <w:rsid w:val="001255F1"/>
    <w:rsid w:val="0013602C"/>
    <w:rsid w:val="00137A69"/>
    <w:rsid w:val="00143F5B"/>
    <w:rsid w:val="00182248"/>
    <w:rsid w:val="001846F3"/>
    <w:rsid w:val="001A39E2"/>
    <w:rsid w:val="001A4108"/>
    <w:rsid w:val="0021183F"/>
    <w:rsid w:val="002405CE"/>
    <w:rsid w:val="0024323C"/>
    <w:rsid w:val="00244857"/>
    <w:rsid w:val="00275400"/>
    <w:rsid w:val="002B46EF"/>
    <w:rsid w:val="002C1CB2"/>
    <w:rsid w:val="002E6A92"/>
    <w:rsid w:val="002F72ED"/>
    <w:rsid w:val="003046FF"/>
    <w:rsid w:val="003330D4"/>
    <w:rsid w:val="00333893"/>
    <w:rsid w:val="00335560"/>
    <w:rsid w:val="00365893"/>
    <w:rsid w:val="003A6233"/>
    <w:rsid w:val="003C05F8"/>
    <w:rsid w:val="003C0E58"/>
    <w:rsid w:val="003C27A7"/>
    <w:rsid w:val="003C613D"/>
    <w:rsid w:val="003D63F6"/>
    <w:rsid w:val="00400ED9"/>
    <w:rsid w:val="004056D1"/>
    <w:rsid w:val="004120DE"/>
    <w:rsid w:val="00414DD7"/>
    <w:rsid w:val="00423B34"/>
    <w:rsid w:val="00456AD7"/>
    <w:rsid w:val="004B7A4E"/>
    <w:rsid w:val="004C40EC"/>
    <w:rsid w:val="004D6F31"/>
    <w:rsid w:val="004F76C0"/>
    <w:rsid w:val="00502735"/>
    <w:rsid w:val="00507E2D"/>
    <w:rsid w:val="00511197"/>
    <w:rsid w:val="0052103A"/>
    <w:rsid w:val="00533FDA"/>
    <w:rsid w:val="005839D7"/>
    <w:rsid w:val="0059023A"/>
    <w:rsid w:val="00596B9E"/>
    <w:rsid w:val="005C734B"/>
    <w:rsid w:val="005D120E"/>
    <w:rsid w:val="005F53BF"/>
    <w:rsid w:val="00606883"/>
    <w:rsid w:val="006176E5"/>
    <w:rsid w:val="006230C1"/>
    <w:rsid w:val="006247C8"/>
    <w:rsid w:val="00625732"/>
    <w:rsid w:val="00634D69"/>
    <w:rsid w:val="00655A0D"/>
    <w:rsid w:val="0068079D"/>
    <w:rsid w:val="00693390"/>
    <w:rsid w:val="006A6EFD"/>
    <w:rsid w:val="006B0CFE"/>
    <w:rsid w:val="00703BD4"/>
    <w:rsid w:val="00705AFD"/>
    <w:rsid w:val="00726981"/>
    <w:rsid w:val="007276CA"/>
    <w:rsid w:val="00731732"/>
    <w:rsid w:val="00776D02"/>
    <w:rsid w:val="00795431"/>
    <w:rsid w:val="007B4F1B"/>
    <w:rsid w:val="007B4FE2"/>
    <w:rsid w:val="007F1D7D"/>
    <w:rsid w:val="007F742E"/>
    <w:rsid w:val="0080473F"/>
    <w:rsid w:val="008103A3"/>
    <w:rsid w:val="00812235"/>
    <w:rsid w:val="00820918"/>
    <w:rsid w:val="00822E69"/>
    <w:rsid w:val="008271EE"/>
    <w:rsid w:val="00827AEA"/>
    <w:rsid w:val="0084371B"/>
    <w:rsid w:val="00867BDE"/>
    <w:rsid w:val="00870741"/>
    <w:rsid w:val="008717A8"/>
    <w:rsid w:val="00880CB8"/>
    <w:rsid w:val="008A04D2"/>
    <w:rsid w:val="008D27CB"/>
    <w:rsid w:val="008D3252"/>
    <w:rsid w:val="008E0FFA"/>
    <w:rsid w:val="008E3AD1"/>
    <w:rsid w:val="008F7495"/>
    <w:rsid w:val="00902C93"/>
    <w:rsid w:val="00913646"/>
    <w:rsid w:val="009317D1"/>
    <w:rsid w:val="00946E55"/>
    <w:rsid w:val="0096714E"/>
    <w:rsid w:val="0097365A"/>
    <w:rsid w:val="00981994"/>
    <w:rsid w:val="009B732C"/>
    <w:rsid w:val="009D19F6"/>
    <w:rsid w:val="009D2A8B"/>
    <w:rsid w:val="009F0F48"/>
    <w:rsid w:val="00A04D14"/>
    <w:rsid w:val="00A20350"/>
    <w:rsid w:val="00A21CB6"/>
    <w:rsid w:val="00A43A32"/>
    <w:rsid w:val="00A47D75"/>
    <w:rsid w:val="00A64FB7"/>
    <w:rsid w:val="00A6593F"/>
    <w:rsid w:val="00A7219D"/>
    <w:rsid w:val="00A815CC"/>
    <w:rsid w:val="00AA1F43"/>
    <w:rsid w:val="00AA7A19"/>
    <w:rsid w:val="00AE3743"/>
    <w:rsid w:val="00AF589D"/>
    <w:rsid w:val="00B02CF4"/>
    <w:rsid w:val="00B50557"/>
    <w:rsid w:val="00B569AE"/>
    <w:rsid w:val="00B6043D"/>
    <w:rsid w:val="00B81143"/>
    <w:rsid w:val="00B87950"/>
    <w:rsid w:val="00BA29EA"/>
    <w:rsid w:val="00BD4CCB"/>
    <w:rsid w:val="00BD50A9"/>
    <w:rsid w:val="00BE3AC6"/>
    <w:rsid w:val="00C313C9"/>
    <w:rsid w:val="00C72774"/>
    <w:rsid w:val="00CA778C"/>
    <w:rsid w:val="00CB0D76"/>
    <w:rsid w:val="00CB431F"/>
    <w:rsid w:val="00CF240E"/>
    <w:rsid w:val="00D25CA4"/>
    <w:rsid w:val="00D3491B"/>
    <w:rsid w:val="00D60A9D"/>
    <w:rsid w:val="00DB4C43"/>
    <w:rsid w:val="00DB4EE0"/>
    <w:rsid w:val="00DC74A7"/>
    <w:rsid w:val="00DD5DB0"/>
    <w:rsid w:val="00DF2BCA"/>
    <w:rsid w:val="00DF7BCA"/>
    <w:rsid w:val="00E31175"/>
    <w:rsid w:val="00E34923"/>
    <w:rsid w:val="00E53EB7"/>
    <w:rsid w:val="00E7715D"/>
    <w:rsid w:val="00E82F34"/>
    <w:rsid w:val="00E86B61"/>
    <w:rsid w:val="00E91068"/>
    <w:rsid w:val="00EA122A"/>
    <w:rsid w:val="00EB1CB6"/>
    <w:rsid w:val="00EB33D5"/>
    <w:rsid w:val="00EC10CB"/>
    <w:rsid w:val="00EC22D1"/>
    <w:rsid w:val="00ED6A64"/>
    <w:rsid w:val="00F4033E"/>
    <w:rsid w:val="00F41B56"/>
    <w:rsid w:val="00F46D54"/>
    <w:rsid w:val="00FB4461"/>
    <w:rsid w:val="00FD4162"/>
    <w:rsid w:val="00FD44A1"/>
    <w:rsid w:val="00FF73D9"/>
    <w:rsid w:val="01074046"/>
    <w:rsid w:val="01087146"/>
    <w:rsid w:val="012D2AD9"/>
    <w:rsid w:val="01320A89"/>
    <w:rsid w:val="013F4762"/>
    <w:rsid w:val="014F62A2"/>
    <w:rsid w:val="01555D36"/>
    <w:rsid w:val="01564A0B"/>
    <w:rsid w:val="01571B3E"/>
    <w:rsid w:val="015B57CD"/>
    <w:rsid w:val="015C039B"/>
    <w:rsid w:val="015D0B69"/>
    <w:rsid w:val="0161232D"/>
    <w:rsid w:val="0162669E"/>
    <w:rsid w:val="01731009"/>
    <w:rsid w:val="01785925"/>
    <w:rsid w:val="017C1861"/>
    <w:rsid w:val="01814DD7"/>
    <w:rsid w:val="01855D40"/>
    <w:rsid w:val="01874589"/>
    <w:rsid w:val="018F15B1"/>
    <w:rsid w:val="019330E1"/>
    <w:rsid w:val="019A26F4"/>
    <w:rsid w:val="01A76B9F"/>
    <w:rsid w:val="01AA6E84"/>
    <w:rsid w:val="01B3283C"/>
    <w:rsid w:val="01B55669"/>
    <w:rsid w:val="01BB651F"/>
    <w:rsid w:val="01C77ACE"/>
    <w:rsid w:val="01CB14EB"/>
    <w:rsid w:val="01CE06EA"/>
    <w:rsid w:val="01D504F3"/>
    <w:rsid w:val="01E02CC3"/>
    <w:rsid w:val="01EE2233"/>
    <w:rsid w:val="020A6725"/>
    <w:rsid w:val="020B5247"/>
    <w:rsid w:val="02117A13"/>
    <w:rsid w:val="02175600"/>
    <w:rsid w:val="02201996"/>
    <w:rsid w:val="02215178"/>
    <w:rsid w:val="022B1076"/>
    <w:rsid w:val="02336432"/>
    <w:rsid w:val="023A0ACB"/>
    <w:rsid w:val="023F7854"/>
    <w:rsid w:val="02444CD5"/>
    <w:rsid w:val="024D3B57"/>
    <w:rsid w:val="02543B8E"/>
    <w:rsid w:val="02571FB0"/>
    <w:rsid w:val="0276779B"/>
    <w:rsid w:val="02774426"/>
    <w:rsid w:val="027D39E1"/>
    <w:rsid w:val="02847DB9"/>
    <w:rsid w:val="029C681D"/>
    <w:rsid w:val="02B36B56"/>
    <w:rsid w:val="02BB49CE"/>
    <w:rsid w:val="02C9587A"/>
    <w:rsid w:val="02DB343C"/>
    <w:rsid w:val="02DD20FE"/>
    <w:rsid w:val="02E318C8"/>
    <w:rsid w:val="02E75AF7"/>
    <w:rsid w:val="02E9438C"/>
    <w:rsid w:val="02E94D2D"/>
    <w:rsid w:val="02F726C6"/>
    <w:rsid w:val="030339CF"/>
    <w:rsid w:val="03063938"/>
    <w:rsid w:val="030D661A"/>
    <w:rsid w:val="03107520"/>
    <w:rsid w:val="031D6D1E"/>
    <w:rsid w:val="031E29D7"/>
    <w:rsid w:val="032343D2"/>
    <w:rsid w:val="03236089"/>
    <w:rsid w:val="032D73EC"/>
    <w:rsid w:val="033D1FC5"/>
    <w:rsid w:val="03441AEB"/>
    <w:rsid w:val="03483054"/>
    <w:rsid w:val="03531B2E"/>
    <w:rsid w:val="03665FE4"/>
    <w:rsid w:val="036D76E4"/>
    <w:rsid w:val="037263D9"/>
    <w:rsid w:val="03742523"/>
    <w:rsid w:val="0376595C"/>
    <w:rsid w:val="03815C3A"/>
    <w:rsid w:val="038559E0"/>
    <w:rsid w:val="03A21089"/>
    <w:rsid w:val="03AD6952"/>
    <w:rsid w:val="03AE7610"/>
    <w:rsid w:val="03B10EB7"/>
    <w:rsid w:val="03B22722"/>
    <w:rsid w:val="03CF5C14"/>
    <w:rsid w:val="03D07326"/>
    <w:rsid w:val="03DC235A"/>
    <w:rsid w:val="03DF073B"/>
    <w:rsid w:val="03E0331E"/>
    <w:rsid w:val="03E26B34"/>
    <w:rsid w:val="03E463D3"/>
    <w:rsid w:val="03EA4A92"/>
    <w:rsid w:val="03EF1C97"/>
    <w:rsid w:val="0409154E"/>
    <w:rsid w:val="041202D3"/>
    <w:rsid w:val="041B7AA1"/>
    <w:rsid w:val="042C6938"/>
    <w:rsid w:val="04313574"/>
    <w:rsid w:val="043F724A"/>
    <w:rsid w:val="04434073"/>
    <w:rsid w:val="045607B5"/>
    <w:rsid w:val="045D5E10"/>
    <w:rsid w:val="04747836"/>
    <w:rsid w:val="0478104E"/>
    <w:rsid w:val="04883E48"/>
    <w:rsid w:val="04884804"/>
    <w:rsid w:val="0491352B"/>
    <w:rsid w:val="0496529C"/>
    <w:rsid w:val="049C7734"/>
    <w:rsid w:val="049F249A"/>
    <w:rsid w:val="04A86BEE"/>
    <w:rsid w:val="04B35BE8"/>
    <w:rsid w:val="04BE0FEF"/>
    <w:rsid w:val="04C84A7D"/>
    <w:rsid w:val="04CE76E4"/>
    <w:rsid w:val="04D3141D"/>
    <w:rsid w:val="04E9332F"/>
    <w:rsid w:val="04F26F4E"/>
    <w:rsid w:val="05002400"/>
    <w:rsid w:val="05091489"/>
    <w:rsid w:val="050A32C4"/>
    <w:rsid w:val="052147EF"/>
    <w:rsid w:val="05362AF7"/>
    <w:rsid w:val="05432981"/>
    <w:rsid w:val="05513968"/>
    <w:rsid w:val="0560382E"/>
    <w:rsid w:val="056636DB"/>
    <w:rsid w:val="05681A75"/>
    <w:rsid w:val="056D0811"/>
    <w:rsid w:val="05752390"/>
    <w:rsid w:val="05871DC9"/>
    <w:rsid w:val="058C6389"/>
    <w:rsid w:val="05925DF6"/>
    <w:rsid w:val="05960A6A"/>
    <w:rsid w:val="05A35D37"/>
    <w:rsid w:val="05A40B04"/>
    <w:rsid w:val="05AB6CBE"/>
    <w:rsid w:val="05B35541"/>
    <w:rsid w:val="05B97FF5"/>
    <w:rsid w:val="05BD097D"/>
    <w:rsid w:val="05C10E79"/>
    <w:rsid w:val="05C33333"/>
    <w:rsid w:val="05CB7C34"/>
    <w:rsid w:val="05D05B48"/>
    <w:rsid w:val="05D07F44"/>
    <w:rsid w:val="05D45FEB"/>
    <w:rsid w:val="05DD7822"/>
    <w:rsid w:val="05E5128D"/>
    <w:rsid w:val="05F05F3C"/>
    <w:rsid w:val="05F33DE3"/>
    <w:rsid w:val="05F5438C"/>
    <w:rsid w:val="05FD2716"/>
    <w:rsid w:val="06023097"/>
    <w:rsid w:val="0604537E"/>
    <w:rsid w:val="06101C8C"/>
    <w:rsid w:val="062B60C2"/>
    <w:rsid w:val="06326A2D"/>
    <w:rsid w:val="063C0B9C"/>
    <w:rsid w:val="06413FA8"/>
    <w:rsid w:val="064B7704"/>
    <w:rsid w:val="06507805"/>
    <w:rsid w:val="06575936"/>
    <w:rsid w:val="06602BB4"/>
    <w:rsid w:val="06637207"/>
    <w:rsid w:val="066C1959"/>
    <w:rsid w:val="067B719C"/>
    <w:rsid w:val="06807BE4"/>
    <w:rsid w:val="06820453"/>
    <w:rsid w:val="068948CD"/>
    <w:rsid w:val="06932FF7"/>
    <w:rsid w:val="06A341A7"/>
    <w:rsid w:val="06A82F5B"/>
    <w:rsid w:val="06B75333"/>
    <w:rsid w:val="06C34A90"/>
    <w:rsid w:val="06D44F60"/>
    <w:rsid w:val="06E86867"/>
    <w:rsid w:val="06EF4912"/>
    <w:rsid w:val="06F92C5D"/>
    <w:rsid w:val="06FD211F"/>
    <w:rsid w:val="070047B4"/>
    <w:rsid w:val="070159FE"/>
    <w:rsid w:val="07052346"/>
    <w:rsid w:val="070839E5"/>
    <w:rsid w:val="070D4194"/>
    <w:rsid w:val="07106B48"/>
    <w:rsid w:val="071A4A25"/>
    <w:rsid w:val="071F425E"/>
    <w:rsid w:val="07335F45"/>
    <w:rsid w:val="07386A5E"/>
    <w:rsid w:val="073B41FD"/>
    <w:rsid w:val="074D22D5"/>
    <w:rsid w:val="07545637"/>
    <w:rsid w:val="075D175E"/>
    <w:rsid w:val="0760459B"/>
    <w:rsid w:val="07650044"/>
    <w:rsid w:val="07787161"/>
    <w:rsid w:val="077A7B8A"/>
    <w:rsid w:val="079324F0"/>
    <w:rsid w:val="07A028AF"/>
    <w:rsid w:val="07A40B28"/>
    <w:rsid w:val="07A502F4"/>
    <w:rsid w:val="07AA4CD9"/>
    <w:rsid w:val="07BC43A4"/>
    <w:rsid w:val="07BC729D"/>
    <w:rsid w:val="07C90E80"/>
    <w:rsid w:val="07D22F1A"/>
    <w:rsid w:val="07D608D5"/>
    <w:rsid w:val="07D87287"/>
    <w:rsid w:val="07DC5FAA"/>
    <w:rsid w:val="07E37B1C"/>
    <w:rsid w:val="07E509E1"/>
    <w:rsid w:val="07EE390E"/>
    <w:rsid w:val="07F0031C"/>
    <w:rsid w:val="082D6213"/>
    <w:rsid w:val="082E414A"/>
    <w:rsid w:val="08342D07"/>
    <w:rsid w:val="0834513C"/>
    <w:rsid w:val="08483D46"/>
    <w:rsid w:val="08596130"/>
    <w:rsid w:val="086134C4"/>
    <w:rsid w:val="08686183"/>
    <w:rsid w:val="086C4F68"/>
    <w:rsid w:val="08831B75"/>
    <w:rsid w:val="088D0831"/>
    <w:rsid w:val="08A211FF"/>
    <w:rsid w:val="08A510FD"/>
    <w:rsid w:val="08A623AF"/>
    <w:rsid w:val="08AC7940"/>
    <w:rsid w:val="08AD335A"/>
    <w:rsid w:val="08B52271"/>
    <w:rsid w:val="08B6623B"/>
    <w:rsid w:val="08B662E7"/>
    <w:rsid w:val="08C30554"/>
    <w:rsid w:val="08D36930"/>
    <w:rsid w:val="08DF0BCE"/>
    <w:rsid w:val="08E33990"/>
    <w:rsid w:val="08E94ECE"/>
    <w:rsid w:val="08EA1524"/>
    <w:rsid w:val="08FB3880"/>
    <w:rsid w:val="0901439C"/>
    <w:rsid w:val="09065566"/>
    <w:rsid w:val="09083CCF"/>
    <w:rsid w:val="090B2DF9"/>
    <w:rsid w:val="090C053C"/>
    <w:rsid w:val="090E7C9B"/>
    <w:rsid w:val="091468DD"/>
    <w:rsid w:val="093375BB"/>
    <w:rsid w:val="09385D4D"/>
    <w:rsid w:val="094F58AB"/>
    <w:rsid w:val="094F5C49"/>
    <w:rsid w:val="095A0746"/>
    <w:rsid w:val="096E2CA3"/>
    <w:rsid w:val="098477C5"/>
    <w:rsid w:val="09882276"/>
    <w:rsid w:val="09886F8A"/>
    <w:rsid w:val="098B7D00"/>
    <w:rsid w:val="09927ABB"/>
    <w:rsid w:val="09962F02"/>
    <w:rsid w:val="09987EDA"/>
    <w:rsid w:val="09B25955"/>
    <w:rsid w:val="09B62172"/>
    <w:rsid w:val="09B66121"/>
    <w:rsid w:val="09BF31F9"/>
    <w:rsid w:val="09C7288A"/>
    <w:rsid w:val="09CC00F6"/>
    <w:rsid w:val="09D32AA4"/>
    <w:rsid w:val="09D427C0"/>
    <w:rsid w:val="09DC4DF0"/>
    <w:rsid w:val="09E22E5A"/>
    <w:rsid w:val="09EA3420"/>
    <w:rsid w:val="09EA7403"/>
    <w:rsid w:val="09F01221"/>
    <w:rsid w:val="09F64B8F"/>
    <w:rsid w:val="0A183BDE"/>
    <w:rsid w:val="0A207B1F"/>
    <w:rsid w:val="0A2723E4"/>
    <w:rsid w:val="0A2A36C4"/>
    <w:rsid w:val="0A2E5D2E"/>
    <w:rsid w:val="0A5C6E0F"/>
    <w:rsid w:val="0A796CC5"/>
    <w:rsid w:val="0A7D181C"/>
    <w:rsid w:val="0A827AF5"/>
    <w:rsid w:val="0A841A62"/>
    <w:rsid w:val="0A844B06"/>
    <w:rsid w:val="0A857D39"/>
    <w:rsid w:val="0A885898"/>
    <w:rsid w:val="0A8D64ED"/>
    <w:rsid w:val="0A8D7DFD"/>
    <w:rsid w:val="0A903042"/>
    <w:rsid w:val="0A917864"/>
    <w:rsid w:val="0AA01447"/>
    <w:rsid w:val="0AA71C88"/>
    <w:rsid w:val="0AA95240"/>
    <w:rsid w:val="0AAE031A"/>
    <w:rsid w:val="0ABA440B"/>
    <w:rsid w:val="0ABF7418"/>
    <w:rsid w:val="0AD140C6"/>
    <w:rsid w:val="0AD36DC9"/>
    <w:rsid w:val="0AE1709D"/>
    <w:rsid w:val="0AEF1CA4"/>
    <w:rsid w:val="0AF62D76"/>
    <w:rsid w:val="0AFC4F93"/>
    <w:rsid w:val="0AFC7A29"/>
    <w:rsid w:val="0B000355"/>
    <w:rsid w:val="0B032D8A"/>
    <w:rsid w:val="0B0A635E"/>
    <w:rsid w:val="0B103B47"/>
    <w:rsid w:val="0B2064B2"/>
    <w:rsid w:val="0B2D4768"/>
    <w:rsid w:val="0B3558A5"/>
    <w:rsid w:val="0B385C98"/>
    <w:rsid w:val="0B3B3643"/>
    <w:rsid w:val="0B426D02"/>
    <w:rsid w:val="0B483DAF"/>
    <w:rsid w:val="0B4A77EA"/>
    <w:rsid w:val="0B4B547D"/>
    <w:rsid w:val="0B4F1AAF"/>
    <w:rsid w:val="0B505CD8"/>
    <w:rsid w:val="0B5B7DD1"/>
    <w:rsid w:val="0B5D4EE0"/>
    <w:rsid w:val="0B63435B"/>
    <w:rsid w:val="0B8A7168"/>
    <w:rsid w:val="0B8B10C0"/>
    <w:rsid w:val="0B98237D"/>
    <w:rsid w:val="0B99666A"/>
    <w:rsid w:val="0B997CAF"/>
    <w:rsid w:val="0B9E62C4"/>
    <w:rsid w:val="0BA13491"/>
    <w:rsid w:val="0BA51239"/>
    <w:rsid w:val="0BA645D0"/>
    <w:rsid w:val="0BB80509"/>
    <w:rsid w:val="0BBD1B43"/>
    <w:rsid w:val="0BC466F4"/>
    <w:rsid w:val="0BC631B1"/>
    <w:rsid w:val="0BCC24DE"/>
    <w:rsid w:val="0BD27054"/>
    <w:rsid w:val="0BD45DB0"/>
    <w:rsid w:val="0BE175FA"/>
    <w:rsid w:val="0C2B34D5"/>
    <w:rsid w:val="0C346CC5"/>
    <w:rsid w:val="0C3D07BF"/>
    <w:rsid w:val="0C4613F7"/>
    <w:rsid w:val="0C5251EE"/>
    <w:rsid w:val="0C5974B7"/>
    <w:rsid w:val="0C5E192C"/>
    <w:rsid w:val="0C7505D5"/>
    <w:rsid w:val="0C7722F9"/>
    <w:rsid w:val="0C810D74"/>
    <w:rsid w:val="0C8223AA"/>
    <w:rsid w:val="0C825A90"/>
    <w:rsid w:val="0C87620F"/>
    <w:rsid w:val="0C8B1CB3"/>
    <w:rsid w:val="0C8C7FCB"/>
    <w:rsid w:val="0C8F7B18"/>
    <w:rsid w:val="0C9F555A"/>
    <w:rsid w:val="0CA347A7"/>
    <w:rsid w:val="0CB030D0"/>
    <w:rsid w:val="0CBD2E10"/>
    <w:rsid w:val="0CBD7D37"/>
    <w:rsid w:val="0CCA4B07"/>
    <w:rsid w:val="0CCF5AA7"/>
    <w:rsid w:val="0CD20F22"/>
    <w:rsid w:val="0CD42BF0"/>
    <w:rsid w:val="0CD574E2"/>
    <w:rsid w:val="0CD635DC"/>
    <w:rsid w:val="0CE1113C"/>
    <w:rsid w:val="0CE15C1C"/>
    <w:rsid w:val="0D042796"/>
    <w:rsid w:val="0D1666C2"/>
    <w:rsid w:val="0D2F145E"/>
    <w:rsid w:val="0D3201BB"/>
    <w:rsid w:val="0D446F88"/>
    <w:rsid w:val="0D6C0F92"/>
    <w:rsid w:val="0D862E26"/>
    <w:rsid w:val="0D871BC2"/>
    <w:rsid w:val="0D8F2357"/>
    <w:rsid w:val="0D9A621B"/>
    <w:rsid w:val="0DA16BA8"/>
    <w:rsid w:val="0DA65670"/>
    <w:rsid w:val="0DA77083"/>
    <w:rsid w:val="0DB11C19"/>
    <w:rsid w:val="0DC652DC"/>
    <w:rsid w:val="0DC75447"/>
    <w:rsid w:val="0DCA2163"/>
    <w:rsid w:val="0DCC33D9"/>
    <w:rsid w:val="0DD07926"/>
    <w:rsid w:val="0DDB0847"/>
    <w:rsid w:val="0DDC7116"/>
    <w:rsid w:val="0DF3401C"/>
    <w:rsid w:val="0DF5249E"/>
    <w:rsid w:val="0E0603C5"/>
    <w:rsid w:val="0E1A6B31"/>
    <w:rsid w:val="0E2461F6"/>
    <w:rsid w:val="0E2A3D70"/>
    <w:rsid w:val="0E3A01FA"/>
    <w:rsid w:val="0E3C19C8"/>
    <w:rsid w:val="0E4404B2"/>
    <w:rsid w:val="0E4410A5"/>
    <w:rsid w:val="0E4970D4"/>
    <w:rsid w:val="0E4B613E"/>
    <w:rsid w:val="0E4C3E08"/>
    <w:rsid w:val="0E543543"/>
    <w:rsid w:val="0E553BAF"/>
    <w:rsid w:val="0E761B6C"/>
    <w:rsid w:val="0E773ABB"/>
    <w:rsid w:val="0E7F3F63"/>
    <w:rsid w:val="0E8807BD"/>
    <w:rsid w:val="0E9B4995"/>
    <w:rsid w:val="0E9D4EFB"/>
    <w:rsid w:val="0EAD5805"/>
    <w:rsid w:val="0EBF4221"/>
    <w:rsid w:val="0EC1568B"/>
    <w:rsid w:val="0EC20938"/>
    <w:rsid w:val="0EE11F36"/>
    <w:rsid w:val="0EE42959"/>
    <w:rsid w:val="0EFD2849"/>
    <w:rsid w:val="0F0668CA"/>
    <w:rsid w:val="0F0D7B3F"/>
    <w:rsid w:val="0F2E7F18"/>
    <w:rsid w:val="0F31112A"/>
    <w:rsid w:val="0F4126ED"/>
    <w:rsid w:val="0F4328C8"/>
    <w:rsid w:val="0F490484"/>
    <w:rsid w:val="0F500AB0"/>
    <w:rsid w:val="0F524416"/>
    <w:rsid w:val="0F5C78A9"/>
    <w:rsid w:val="0F5D3222"/>
    <w:rsid w:val="0F5D59BD"/>
    <w:rsid w:val="0F6147A0"/>
    <w:rsid w:val="0F6436AB"/>
    <w:rsid w:val="0F76004A"/>
    <w:rsid w:val="0F761DF7"/>
    <w:rsid w:val="0F7F46C4"/>
    <w:rsid w:val="0F815185"/>
    <w:rsid w:val="0F8D109F"/>
    <w:rsid w:val="0F8F2578"/>
    <w:rsid w:val="0F945149"/>
    <w:rsid w:val="0FA56FC7"/>
    <w:rsid w:val="0FA96E6B"/>
    <w:rsid w:val="0FAD3053"/>
    <w:rsid w:val="0FAF00BC"/>
    <w:rsid w:val="0FB6376E"/>
    <w:rsid w:val="0FBA4E83"/>
    <w:rsid w:val="0FBC73ED"/>
    <w:rsid w:val="0FBF07D3"/>
    <w:rsid w:val="0FC54EE6"/>
    <w:rsid w:val="0FD609C1"/>
    <w:rsid w:val="0FE2665E"/>
    <w:rsid w:val="0FF6328B"/>
    <w:rsid w:val="10052627"/>
    <w:rsid w:val="100C3E07"/>
    <w:rsid w:val="1017171F"/>
    <w:rsid w:val="101B4FC5"/>
    <w:rsid w:val="10206FB0"/>
    <w:rsid w:val="10230B93"/>
    <w:rsid w:val="10333EDE"/>
    <w:rsid w:val="103831C6"/>
    <w:rsid w:val="103E4562"/>
    <w:rsid w:val="10404158"/>
    <w:rsid w:val="10524AF7"/>
    <w:rsid w:val="10667BFA"/>
    <w:rsid w:val="106E363B"/>
    <w:rsid w:val="106F19C5"/>
    <w:rsid w:val="10820F19"/>
    <w:rsid w:val="108A4404"/>
    <w:rsid w:val="108A7C66"/>
    <w:rsid w:val="109A0CC1"/>
    <w:rsid w:val="10A136B9"/>
    <w:rsid w:val="10A42E2D"/>
    <w:rsid w:val="10A44B24"/>
    <w:rsid w:val="10A565D2"/>
    <w:rsid w:val="10AF51E5"/>
    <w:rsid w:val="10BA6E1A"/>
    <w:rsid w:val="10C2430D"/>
    <w:rsid w:val="10C6414F"/>
    <w:rsid w:val="10C90ACF"/>
    <w:rsid w:val="10CA3BDC"/>
    <w:rsid w:val="10CC3260"/>
    <w:rsid w:val="10CF3E89"/>
    <w:rsid w:val="10D51C8E"/>
    <w:rsid w:val="10D805D5"/>
    <w:rsid w:val="10E84C83"/>
    <w:rsid w:val="10F918EB"/>
    <w:rsid w:val="111B28C2"/>
    <w:rsid w:val="112003A1"/>
    <w:rsid w:val="11293937"/>
    <w:rsid w:val="113822C9"/>
    <w:rsid w:val="11413EB7"/>
    <w:rsid w:val="1146686D"/>
    <w:rsid w:val="114F1313"/>
    <w:rsid w:val="11565CBD"/>
    <w:rsid w:val="11637FF6"/>
    <w:rsid w:val="11706D7A"/>
    <w:rsid w:val="11706ED2"/>
    <w:rsid w:val="117307F9"/>
    <w:rsid w:val="11796DD7"/>
    <w:rsid w:val="117B2EF3"/>
    <w:rsid w:val="118A79F7"/>
    <w:rsid w:val="1192561D"/>
    <w:rsid w:val="11941056"/>
    <w:rsid w:val="119909C8"/>
    <w:rsid w:val="119B2E2E"/>
    <w:rsid w:val="119D4013"/>
    <w:rsid w:val="11A23BF6"/>
    <w:rsid w:val="11A6066D"/>
    <w:rsid w:val="11A87179"/>
    <w:rsid w:val="11AB4549"/>
    <w:rsid w:val="11AE7D52"/>
    <w:rsid w:val="11B52839"/>
    <w:rsid w:val="11CA4CC1"/>
    <w:rsid w:val="11D67F5D"/>
    <w:rsid w:val="11D75F2A"/>
    <w:rsid w:val="11DD0499"/>
    <w:rsid w:val="11DD31D1"/>
    <w:rsid w:val="11E1659F"/>
    <w:rsid w:val="11E42EA6"/>
    <w:rsid w:val="11F41772"/>
    <w:rsid w:val="12046B3C"/>
    <w:rsid w:val="1208336E"/>
    <w:rsid w:val="1220793A"/>
    <w:rsid w:val="12211262"/>
    <w:rsid w:val="122C3702"/>
    <w:rsid w:val="122E55DD"/>
    <w:rsid w:val="12334A21"/>
    <w:rsid w:val="123D3805"/>
    <w:rsid w:val="12412EA7"/>
    <w:rsid w:val="126D039E"/>
    <w:rsid w:val="127508B0"/>
    <w:rsid w:val="1285444F"/>
    <w:rsid w:val="12AF2AF5"/>
    <w:rsid w:val="12C32643"/>
    <w:rsid w:val="12C60065"/>
    <w:rsid w:val="12C752F2"/>
    <w:rsid w:val="12DA0E63"/>
    <w:rsid w:val="12DD0117"/>
    <w:rsid w:val="12DD4D68"/>
    <w:rsid w:val="12DE4FDF"/>
    <w:rsid w:val="12F04D11"/>
    <w:rsid w:val="12F176F2"/>
    <w:rsid w:val="12F56A98"/>
    <w:rsid w:val="12F862BA"/>
    <w:rsid w:val="130200A8"/>
    <w:rsid w:val="130F4894"/>
    <w:rsid w:val="13141E2E"/>
    <w:rsid w:val="13171052"/>
    <w:rsid w:val="131B17A3"/>
    <w:rsid w:val="13220DA4"/>
    <w:rsid w:val="132E25B7"/>
    <w:rsid w:val="133875FC"/>
    <w:rsid w:val="133935F6"/>
    <w:rsid w:val="13394607"/>
    <w:rsid w:val="134A6FA1"/>
    <w:rsid w:val="135855BA"/>
    <w:rsid w:val="13636863"/>
    <w:rsid w:val="137148E6"/>
    <w:rsid w:val="13926C8F"/>
    <w:rsid w:val="139460E2"/>
    <w:rsid w:val="139C0911"/>
    <w:rsid w:val="13A34909"/>
    <w:rsid w:val="13B26B58"/>
    <w:rsid w:val="13BF68B0"/>
    <w:rsid w:val="13C11B1D"/>
    <w:rsid w:val="13C2059E"/>
    <w:rsid w:val="13CB2A15"/>
    <w:rsid w:val="13D171C9"/>
    <w:rsid w:val="13D34164"/>
    <w:rsid w:val="13E928B9"/>
    <w:rsid w:val="13EA53CB"/>
    <w:rsid w:val="13F8578D"/>
    <w:rsid w:val="14023E93"/>
    <w:rsid w:val="140305DD"/>
    <w:rsid w:val="140D4CC3"/>
    <w:rsid w:val="141603FF"/>
    <w:rsid w:val="141A1890"/>
    <w:rsid w:val="1428784E"/>
    <w:rsid w:val="142F4A58"/>
    <w:rsid w:val="14311C32"/>
    <w:rsid w:val="143343BC"/>
    <w:rsid w:val="143B3F94"/>
    <w:rsid w:val="143E155D"/>
    <w:rsid w:val="14434081"/>
    <w:rsid w:val="14524FEA"/>
    <w:rsid w:val="14537D60"/>
    <w:rsid w:val="145F55A0"/>
    <w:rsid w:val="146A2630"/>
    <w:rsid w:val="146D09C8"/>
    <w:rsid w:val="14753CCA"/>
    <w:rsid w:val="14785993"/>
    <w:rsid w:val="147E7D46"/>
    <w:rsid w:val="1485728F"/>
    <w:rsid w:val="14874CB2"/>
    <w:rsid w:val="14B27947"/>
    <w:rsid w:val="14B4396A"/>
    <w:rsid w:val="14BE4E9D"/>
    <w:rsid w:val="14C11702"/>
    <w:rsid w:val="14C967EE"/>
    <w:rsid w:val="14DD0CB2"/>
    <w:rsid w:val="14E32182"/>
    <w:rsid w:val="14E5108F"/>
    <w:rsid w:val="14E56D7F"/>
    <w:rsid w:val="14FC6299"/>
    <w:rsid w:val="14FE1F3F"/>
    <w:rsid w:val="15092CE2"/>
    <w:rsid w:val="15146B8D"/>
    <w:rsid w:val="151E3928"/>
    <w:rsid w:val="15270A82"/>
    <w:rsid w:val="153348AC"/>
    <w:rsid w:val="153649F6"/>
    <w:rsid w:val="154926B6"/>
    <w:rsid w:val="155D7538"/>
    <w:rsid w:val="15602622"/>
    <w:rsid w:val="15723DBB"/>
    <w:rsid w:val="15882251"/>
    <w:rsid w:val="158A07DA"/>
    <w:rsid w:val="158C79C7"/>
    <w:rsid w:val="159E4ED0"/>
    <w:rsid w:val="159F0ADB"/>
    <w:rsid w:val="15A27F8D"/>
    <w:rsid w:val="15A7329A"/>
    <w:rsid w:val="15B02087"/>
    <w:rsid w:val="15BC1A66"/>
    <w:rsid w:val="15C20B7F"/>
    <w:rsid w:val="15C63674"/>
    <w:rsid w:val="15C7162A"/>
    <w:rsid w:val="15C71BAE"/>
    <w:rsid w:val="15D55B8D"/>
    <w:rsid w:val="15D62F35"/>
    <w:rsid w:val="15E31513"/>
    <w:rsid w:val="15E33711"/>
    <w:rsid w:val="15E74810"/>
    <w:rsid w:val="16026D80"/>
    <w:rsid w:val="16094054"/>
    <w:rsid w:val="160B72AB"/>
    <w:rsid w:val="160E038C"/>
    <w:rsid w:val="160F4D63"/>
    <w:rsid w:val="16214B8C"/>
    <w:rsid w:val="16237694"/>
    <w:rsid w:val="162504D3"/>
    <w:rsid w:val="163A210E"/>
    <w:rsid w:val="163A71FB"/>
    <w:rsid w:val="163F3A39"/>
    <w:rsid w:val="164C3FF0"/>
    <w:rsid w:val="165E3EAB"/>
    <w:rsid w:val="165E551D"/>
    <w:rsid w:val="16720795"/>
    <w:rsid w:val="16757DC4"/>
    <w:rsid w:val="167B13A6"/>
    <w:rsid w:val="167F56C3"/>
    <w:rsid w:val="16A72652"/>
    <w:rsid w:val="16A77DCA"/>
    <w:rsid w:val="16AF43BD"/>
    <w:rsid w:val="16B24BC7"/>
    <w:rsid w:val="16B34234"/>
    <w:rsid w:val="16D34240"/>
    <w:rsid w:val="16E91EEF"/>
    <w:rsid w:val="16F76675"/>
    <w:rsid w:val="1702673E"/>
    <w:rsid w:val="170764AD"/>
    <w:rsid w:val="1712743B"/>
    <w:rsid w:val="17146B43"/>
    <w:rsid w:val="17317359"/>
    <w:rsid w:val="17334AF3"/>
    <w:rsid w:val="1734260A"/>
    <w:rsid w:val="17373E74"/>
    <w:rsid w:val="17407BE4"/>
    <w:rsid w:val="1749489B"/>
    <w:rsid w:val="17566A11"/>
    <w:rsid w:val="17671511"/>
    <w:rsid w:val="176A1936"/>
    <w:rsid w:val="176D08D2"/>
    <w:rsid w:val="176D1612"/>
    <w:rsid w:val="176E29FA"/>
    <w:rsid w:val="177D7B9E"/>
    <w:rsid w:val="178A3401"/>
    <w:rsid w:val="17914411"/>
    <w:rsid w:val="17A35554"/>
    <w:rsid w:val="17A4371E"/>
    <w:rsid w:val="17A804B8"/>
    <w:rsid w:val="17B71F43"/>
    <w:rsid w:val="17BB244C"/>
    <w:rsid w:val="17C95459"/>
    <w:rsid w:val="17DA0856"/>
    <w:rsid w:val="17E7529B"/>
    <w:rsid w:val="17F21008"/>
    <w:rsid w:val="17F70B81"/>
    <w:rsid w:val="17F75769"/>
    <w:rsid w:val="17F91DD3"/>
    <w:rsid w:val="17FD081A"/>
    <w:rsid w:val="17FE294B"/>
    <w:rsid w:val="17FF78E9"/>
    <w:rsid w:val="18082A99"/>
    <w:rsid w:val="180947FD"/>
    <w:rsid w:val="18115A0E"/>
    <w:rsid w:val="181236E7"/>
    <w:rsid w:val="182A52E3"/>
    <w:rsid w:val="182A6AA0"/>
    <w:rsid w:val="182C22CC"/>
    <w:rsid w:val="182E1F2D"/>
    <w:rsid w:val="182F2F78"/>
    <w:rsid w:val="183C3E93"/>
    <w:rsid w:val="183C63FF"/>
    <w:rsid w:val="183E1116"/>
    <w:rsid w:val="18413D8A"/>
    <w:rsid w:val="186E6F89"/>
    <w:rsid w:val="187A0FAC"/>
    <w:rsid w:val="18923E81"/>
    <w:rsid w:val="189268DB"/>
    <w:rsid w:val="189370B5"/>
    <w:rsid w:val="18965EA0"/>
    <w:rsid w:val="189E21A5"/>
    <w:rsid w:val="18A075EC"/>
    <w:rsid w:val="18A36151"/>
    <w:rsid w:val="18A62EED"/>
    <w:rsid w:val="18AE01CB"/>
    <w:rsid w:val="18C21A9E"/>
    <w:rsid w:val="18CC3E05"/>
    <w:rsid w:val="18CE0FAF"/>
    <w:rsid w:val="18ED2160"/>
    <w:rsid w:val="18EE3749"/>
    <w:rsid w:val="18F676BF"/>
    <w:rsid w:val="19150E17"/>
    <w:rsid w:val="19161247"/>
    <w:rsid w:val="19185425"/>
    <w:rsid w:val="192134A2"/>
    <w:rsid w:val="19241126"/>
    <w:rsid w:val="19267E02"/>
    <w:rsid w:val="19332501"/>
    <w:rsid w:val="19444F26"/>
    <w:rsid w:val="19514EAD"/>
    <w:rsid w:val="19584FD4"/>
    <w:rsid w:val="195B1ABE"/>
    <w:rsid w:val="195C1080"/>
    <w:rsid w:val="195D28C8"/>
    <w:rsid w:val="19664670"/>
    <w:rsid w:val="19716B5F"/>
    <w:rsid w:val="19747000"/>
    <w:rsid w:val="19761130"/>
    <w:rsid w:val="197B5AA5"/>
    <w:rsid w:val="198C6BA3"/>
    <w:rsid w:val="19904CDA"/>
    <w:rsid w:val="19944212"/>
    <w:rsid w:val="19A848CE"/>
    <w:rsid w:val="19AA00F1"/>
    <w:rsid w:val="19B625BD"/>
    <w:rsid w:val="19BF38D3"/>
    <w:rsid w:val="19C84559"/>
    <w:rsid w:val="19DA3D6E"/>
    <w:rsid w:val="19DE543D"/>
    <w:rsid w:val="19E26A19"/>
    <w:rsid w:val="19ED508F"/>
    <w:rsid w:val="19F51DAE"/>
    <w:rsid w:val="19F809AC"/>
    <w:rsid w:val="1A05381A"/>
    <w:rsid w:val="1A061BAE"/>
    <w:rsid w:val="1A1A1755"/>
    <w:rsid w:val="1A2A485B"/>
    <w:rsid w:val="1A3B7251"/>
    <w:rsid w:val="1A3D459F"/>
    <w:rsid w:val="1A481648"/>
    <w:rsid w:val="1A493DA2"/>
    <w:rsid w:val="1A566B3C"/>
    <w:rsid w:val="1A691311"/>
    <w:rsid w:val="1A7515F6"/>
    <w:rsid w:val="1A7E6681"/>
    <w:rsid w:val="1A934F6D"/>
    <w:rsid w:val="1A9A2DD4"/>
    <w:rsid w:val="1AA5105E"/>
    <w:rsid w:val="1AB43B0E"/>
    <w:rsid w:val="1ABC52F8"/>
    <w:rsid w:val="1AD450BF"/>
    <w:rsid w:val="1AD67472"/>
    <w:rsid w:val="1AEE2B1B"/>
    <w:rsid w:val="1AEE3DBC"/>
    <w:rsid w:val="1AF77E4C"/>
    <w:rsid w:val="1AFA5DD3"/>
    <w:rsid w:val="1B31066B"/>
    <w:rsid w:val="1B35192F"/>
    <w:rsid w:val="1B425636"/>
    <w:rsid w:val="1B4A0D0F"/>
    <w:rsid w:val="1B516820"/>
    <w:rsid w:val="1B5C685A"/>
    <w:rsid w:val="1B5F55F8"/>
    <w:rsid w:val="1B6400DD"/>
    <w:rsid w:val="1B6C3AA8"/>
    <w:rsid w:val="1B6C451D"/>
    <w:rsid w:val="1B6C67DE"/>
    <w:rsid w:val="1B8026BE"/>
    <w:rsid w:val="1B812BD5"/>
    <w:rsid w:val="1B8A2655"/>
    <w:rsid w:val="1B8C246C"/>
    <w:rsid w:val="1B957A34"/>
    <w:rsid w:val="1BA416A0"/>
    <w:rsid w:val="1BA94243"/>
    <w:rsid w:val="1BAA7B74"/>
    <w:rsid w:val="1BB22F8B"/>
    <w:rsid w:val="1BB40836"/>
    <w:rsid w:val="1BCA3F84"/>
    <w:rsid w:val="1BCB7A49"/>
    <w:rsid w:val="1BD86F30"/>
    <w:rsid w:val="1BDE5AB5"/>
    <w:rsid w:val="1BE423FA"/>
    <w:rsid w:val="1BE524A7"/>
    <w:rsid w:val="1BE6349F"/>
    <w:rsid w:val="1BEF5590"/>
    <w:rsid w:val="1BF04858"/>
    <w:rsid w:val="1BF751E6"/>
    <w:rsid w:val="1BF91DDE"/>
    <w:rsid w:val="1BFC07A9"/>
    <w:rsid w:val="1BFF2A40"/>
    <w:rsid w:val="1C072B57"/>
    <w:rsid w:val="1C0C4E7B"/>
    <w:rsid w:val="1C0E6A48"/>
    <w:rsid w:val="1C131BC5"/>
    <w:rsid w:val="1C170433"/>
    <w:rsid w:val="1C2B6512"/>
    <w:rsid w:val="1C35225B"/>
    <w:rsid w:val="1C384E1C"/>
    <w:rsid w:val="1C3A55A5"/>
    <w:rsid w:val="1C3D7A31"/>
    <w:rsid w:val="1C4A573D"/>
    <w:rsid w:val="1C5B5AF6"/>
    <w:rsid w:val="1C5B7611"/>
    <w:rsid w:val="1C672E0C"/>
    <w:rsid w:val="1C6B579A"/>
    <w:rsid w:val="1C6F7FE7"/>
    <w:rsid w:val="1C7B2153"/>
    <w:rsid w:val="1C8F0E9E"/>
    <w:rsid w:val="1C91495E"/>
    <w:rsid w:val="1CA01843"/>
    <w:rsid w:val="1CA6649C"/>
    <w:rsid w:val="1CA8750A"/>
    <w:rsid w:val="1CB009AB"/>
    <w:rsid w:val="1CBA5C7F"/>
    <w:rsid w:val="1CBC4B9A"/>
    <w:rsid w:val="1CC51C68"/>
    <w:rsid w:val="1CC5417F"/>
    <w:rsid w:val="1CCF0419"/>
    <w:rsid w:val="1CD470CA"/>
    <w:rsid w:val="1CDB2B0F"/>
    <w:rsid w:val="1CE03283"/>
    <w:rsid w:val="1CE62EE1"/>
    <w:rsid w:val="1CEF1669"/>
    <w:rsid w:val="1CF01882"/>
    <w:rsid w:val="1CF85411"/>
    <w:rsid w:val="1D28123C"/>
    <w:rsid w:val="1D286A1B"/>
    <w:rsid w:val="1D3421D3"/>
    <w:rsid w:val="1D37040F"/>
    <w:rsid w:val="1D456E22"/>
    <w:rsid w:val="1D484C1A"/>
    <w:rsid w:val="1D575B87"/>
    <w:rsid w:val="1D601579"/>
    <w:rsid w:val="1D6C7639"/>
    <w:rsid w:val="1D6D45BF"/>
    <w:rsid w:val="1D7A122C"/>
    <w:rsid w:val="1D800EB0"/>
    <w:rsid w:val="1D855AF8"/>
    <w:rsid w:val="1D890A47"/>
    <w:rsid w:val="1D8E61A0"/>
    <w:rsid w:val="1D964B50"/>
    <w:rsid w:val="1D992B27"/>
    <w:rsid w:val="1D9E27B7"/>
    <w:rsid w:val="1DA85724"/>
    <w:rsid w:val="1DAC1531"/>
    <w:rsid w:val="1DAF6062"/>
    <w:rsid w:val="1DBF590D"/>
    <w:rsid w:val="1DC5555E"/>
    <w:rsid w:val="1DEB5C55"/>
    <w:rsid w:val="1DEE2BE4"/>
    <w:rsid w:val="1DF233E7"/>
    <w:rsid w:val="1E054F02"/>
    <w:rsid w:val="1E0844BA"/>
    <w:rsid w:val="1E0A2CBC"/>
    <w:rsid w:val="1E2101AF"/>
    <w:rsid w:val="1E243669"/>
    <w:rsid w:val="1E2671BF"/>
    <w:rsid w:val="1E2B5F08"/>
    <w:rsid w:val="1E392AA0"/>
    <w:rsid w:val="1E41460A"/>
    <w:rsid w:val="1E455165"/>
    <w:rsid w:val="1E582567"/>
    <w:rsid w:val="1E6110DB"/>
    <w:rsid w:val="1E664AE8"/>
    <w:rsid w:val="1E66787F"/>
    <w:rsid w:val="1E7C434A"/>
    <w:rsid w:val="1E840130"/>
    <w:rsid w:val="1E933284"/>
    <w:rsid w:val="1E992AE1"/>
    <w:rsid w:val="1EA27046"/>
    <w:rsid w:val="1EAB5F88"/>
    <w:rsid w:val="1EBD70F2"/>
    <w:rsid w:val="1EBF527E"/>
    <w:rsid w:val="1ED30E1E"/>
    <w:rsid w:val="1EE0406D"/>
    <w:rsid w:val="1F087131"/>
    <w:rsid w:val="1F0F65FB"/>
    <w:rsid w:val="1F114A63"/>
    <w:rsid w:val="1F115D33"/>
    <w:rsid w:val="1F176C1C"/>
    <w:rsid w:val="1F2F5F8E"/>
    <w:rsid w:val="1F42409C"/>
    <w:rsid w:val="1F4522CC"/>
    <w:rsid w:val="1F464351"/>
    <w:rsid w:val="1F4D177B"/>
    <w:rsid w:val="1F4F0F9A"/>
    <w:rsid w:val="1F611FED"/>
    <w:rsid w:val="1F6B2BC8"/>
    <w:rsid w:val="1F714B49"/>
    <w:rsid w:val="1F7F2C8C"/>
    <w:rsid w:val="1F8A7DE4"/>
    <w:rsid w:val="1F8B275A"/>
    <w:rsid w:val="1F924453"/>
    <w:rsid w:val="1FA24B81"/>
    <w:rsid w:val="1FAF1436"/>
    <w:rsid w:val="1FB43BC6"/>
    <w:rsid w:val="1FB95844"/>
    <w:rsid w:val="1FB97998"/>
    <w:rsid w:val="1FD7167B"/>
    <w:rsid w:val="1FDA610A"/>
    <w:rsid w:val="1FE168A9"/>
    <w:rsid w:val="1FFA2257"/>
    <w:rsid w:val="200332B3"/>
    <w:rsid w:val="200978D3"/>
    <w:rsid w:val="200C27B6"/>
    <w:rsid w:val="20171B8C"/>
    <w:rsid w:val="201A0721"/>
    <w:rsid w:val="201A75A0"/>
    <w:rsid w:val="202277DA"/>
    <w:rsid w:val="203150CB"/>
    <w:rsid w:val="203254EB"/>
    <w:rsid w:val="20356E03"/>
    <w:rsid w:val="203A04E7"/>
    <w:rsid w:val="20454846"/>
    <w:rsid w:val="20455F75"/>
    <w:rsid w:val="20546F73"/>
    <w:rsid w:val="205B6B40"/>
    <w:rsid w:val="20600A10"/>
    <w:rsid w:val="20601C02"/>
    <w:rsid w:val="2064698A"/>
    <w:rsid w:val="20695EC3"/>
    <w:rsid w:val="206A4625"/>
    <w:rsid w:val="206D2012"/>
    <w:rsid w:val="206E1F4D"/>
    <w:rsid w:val="207B6EE7"/>
    <w:rsid w:val="20862C79"/>
    <w:rsid w:val="208716B2"/>
    <w:rsid w:val="208D36A4"/>
    <w:rsid w:val="20B32243"/>
    <w:rsid w:val="20B34127"/>
    <w:rsid w:val="20B627FE"/>
    <w:rsid w:val="20B74057"/>
    <w:rsid w:val="20CB24ED"/>
    <w:rsid w:val="20CE1C4D"/>
    <w:rsid w:val="20D24E25"/>
    <w:rsid w:val="20DD3DB8"/>
    <w:rsid w:val="20DF44BB"/>
    <w:rsid w:val="20E36E34"/>
    <w:rsid w:val="20F0628E"/>
    <w:rsid w:val="20FB2289"/>
    <w:rsid w:val="21053910"/>
    <w:rsid w:val="21150C66"/>
    <w:rsid w:val="211E31CB"/>
    <w:rsid w:val="21247C7E"/>
    <w:rsid w:val="212A20DE"/>
    <w:rsid w:val="213415BD"/>
    <w:rsid w:val="21342040"/>
    <w:rsid w:val="213C54CA"/>
    <w:rsid w:val="214D5B7C"/>
    <w:rsid w:val="214E4537"/>
    <w:rsid w:val="215D336C"/>
    <w:rsid w:val="21641421"/>
    <w:rsid w:val="218C54DC"/>
    <w:rsid w:val="218D3B2C"/>
    <w:rsid w:val="2190457D"/>
    <w:rsid w:val="2194300F"/>
    <w:rsid w:val="21A40A5F"/>
    <w:rsid w:val="21A870E7"/>
    <w:rsid w:val="21BB1E53"/>
    <w:rsid w:val="21C11051"/>
    <w:rsid w:val="21C9474B"/>
    <w:rsid w:val="21CA181C"/>
    <w:rsid w:val="21CF0CE9"/>
    <w:rsid w:val="21D01696"/>
    <w:rsid w:val="21E20C1C"/>
    <w:rsid w:val="21EB600E"/>
    <w:rsid w:val="220C246C"/>
    <w:rsid w:val="22242822"/>
    <w:rsid w:val="222F24C6"/>
    <w:rsid w:val="22311A43"/>
    <w:rsid w:val="22323084"/>
    <w:rsid w:val="22334AF4"/>
    <w:rsid w:val="2237604C"/>
    <w:rsid w:val="223F0988"/>
    <w:rsid w:val="22431EAF"/>
    <w:rsid w:val="224B6A17"/>
    <w:rsid w:val="22515988"/>
    <w:rsid w:val="2257273D"/>
    <w:rsid w:val="225D3D01"/>
    <w:rsid w:val="226213D1"/>
    <w:rsid w:val="2272644B"/>
    <w:rsid w:val="22730643"/>
    <w:rsid w:val="2276739F"/>
    <w:rsid w:val="228D1798"/>
    <w:rsid w:val="22934012"/>
    <w:rsid w:val="22945884"/>
    <w:rsid w:val="22AD0C2A"/>
    <w:rsid w:val="22B5350F"/>
    <w:rsid w:val="22BB322B"/>
    <w:rsid w:val="22BD7151"/>
    <w:rsid w:val="22C604E0"/>
    <w:rsid w:val="22C9213E"/>
    <w:rsid w:val="22E94AB1"/>
    <w:rsid w:val="22EE1F90"/>
    <w:rsid w:val="22F2208A"/>
    <w:rsid w:val="22FB5273"/>
    <w:rsid w:val="22FE2784"/>
    <w:rsid w:val="23002037"/>
    <w:rsid w:val="230E24AC"/>
    <w:rsid w:val="23283224"/>
    <w:rsid w:val="23322038"/>
    <w:rsid w:val="233F5379"/>
    <w:rsid w:val="2347109D"/>
    <w:rsid w:val="23512E0C"/>
    <w:rsid w:val="235204E6"/>
    <w:rsid w:val="23542ADE"/>
    <w:rsid w:val="2364575A"/>
    <w:rsid w:val="2368536F"/>
    <w:rsid w:val="2373040B"/>
    <w:rsid w:val="2381456E"/>
    <w:rsid w:val="23886124"/>
    <w:rsid w:val="238D1CEC"/>
    <w:rsid w:val="239F3402"/>
    <w:rsid w:val="23A51E18"/>
    <w:rsid w:val="23AA0394"/>
    <w:rsid w:val="23BC64A6"/>
    <w:rsid w:val="23C17E7C"/>
    <w:rsid w:val="23C50F1D"/>
    <w:rsid w:val="23F024D5"/>
    <w:rsid w:val="23F35F5F"/>
    <w:rsid w:val="23FA4566"/>
    <w:rsid w:val="240418FD"/>
    <w:rsid w:val="2404487A"/>
    <w:rsid w:val="240572D9"/>
    <w:rsid w:val="241909B7"/>
    <w:rsid w:val="241C69F8"/>
    <w:rsid w:val="24267C58"/>
    <w:rsid w:val="242F09CF"/>
    <w:rsid w:val="2436643F"/>
    <w:rsid w:val="24413E93"/>
    <w:rsid w:val="24424A6E"/>
    <w:rsid w:val="24471153"/>
    <w:rsid w:val="244E03E6"/>
    <w:rsid w:val="24535587"/>
    <w:rsid w:val="24565B3A"/>
    <w:rsid w:val="24754533"/>
    <w:rsid w:val="24775AF9"/>
    <w:rsid w:val="247B3488"/>
    <w:rsid w:val="248459E8"/>
    <w:rsid w:val="24893C84"/>
    <w:rsid w:val="249B0B85"/>
    <w:rsid w:val="249E6456"/>
    <w:rsid w:val="24A90873"/>
    <w:rsid w:val="24AB2B08"/>
    <w:rsid w:val="24B81B41"/>
    <w:rsid w:val="24C16823"/>
    <w:rsid w:val="24C45A46"/>
    <w:rsid w:val="24CA28B6"/>
    <w:rsid w:val="24D274C0"/>
    <w:rsid w:val="24D275D2"/>
    <w:rsid w:val="24D45A2D"/>
    <w:rsid w:val="24DC3896"/>
    <w:rsid w:val="24E32B45"/>
    <w:rsid w:val="24E444CC"/>
    <w:rsid w:val="24EA054D"/>
    <w:rsid w:val="24EE4DE2"/>
    <w:rsid w:val="24F072DB"/>
    <w:rsid w:val="25033CD2"/>
    <w:rsid w:val="251076B1"/>
    <w:rsid w:val="25213874"/>
    <w:rsid w:val="2527244E"/>
    <w:rsid w:val="252C2CD1"/>
    <w:rsid w:val="2534254E"/>
    <w:rsid w:val="25383D75"/>
    <w:rsid w:val="25396E06"/>
    <w:rsid w:val="25420B0A"/>
    <w:rsid w:val="25433F14"/>
    <w:rsid w:val="254F3C66"/>
    <w:rsid w:val="2554089B"/>
    <w:rsid w:val="25543369"/>
    <w:rsid w:val="25570085"/>
    <w:rsid w:val="25590D47"/>
    <w:rsid w:val="255A6A33"/>
    <w:rsid w:val="25633F3D"/>
    <w:rsid w:val="256C056F"/>
    <w:rsid w:val="257324A8"/>
    <w:rsid w:val="258624C1"/>
    <w:rsid w:val="25923550"/>
    <w:rsid w:val="25956E98"/>
    <w:rsid w:val="25993A71"/>
    <w:rsid w:val="259A1B08"/>
    <w:rsid w:val="259D3FBA"/>
    <w:rsid w:val="25A16F82"/>
    <w:rsid w:val="25A96929"/>
    <w:rsid w:val="25AB1F27"/>
    <w:rsid w:val="25B90704"/>
    <w:rsid w:val="25BA1E1C"/>
    <w:rsid w:val="25DC4D1F"/>
    <w:rsid w:val="25E312AC"/>
    <w:rsid w:val="25E558C7"/>
    <w:rsid w:val="25EB65E2"/>
    <w:rsid w:val="25EC1E66"/>
    <w:rsid w:val="25ED33D2"/>
    <w:rsid w:val="25EE1190"/>
    <w:rsid w:val="25F862B3"/>
    <w:rsid w:val="26013435"/>
    <w:rsid w:val="2609798B"/>
    <w:rsid w:val="26294138"/>
    <w:rsid w:val="262D5689"/>
    <w:rsid w:val="263F7428"/>
    <w:rsid w:val="266346E2"/>
    <w:rsid w:val="26662074"/>
    <w:rsid w:val="266F245B"/>
    <w:rsid w:val="266F5831"/>
    <w:rsid w:val="267758CC"/>
    <w:rsid w:val="268A2E91"/>
    <w:rsid w:val="268C7C25"/>
    <w:rsid w:val="268E6E1C"/>
    <w:rsid w:val="269173C1"/>
    <w:rsid w:val="26967D4F"/>
    <w:rsid w:val="269A7114"/>
    <w:rsid w:val="26B3580F"/>
    <w:rsid w:val="26B4679E"/>
    <w:rsid w:val="26BC3415"/>
    <w:rsid w:val="26C24FB6"/>
    <w:rsid w:val="26C3077E"/>
    <w:rsid w:val="26C95489"/>
    <w:rsid w:val="26D24077"/>
    <w:rsid w:val="26D94133"/>
    <w:rsid w:val="26E00AF2"/>
    <w:rsid w:val="26E312AF"/>
    <w:rsid w:val="26E35247"/>
    <w:rsid w:val="26E8700A"/>
    <w:rsid w:val="26EF1180"/>
    <w:rsid w:val="2713062B"/>
    <w:rsid w:val="27256622"/>
    <w:rsid w:val="27262AE2"/>
    <w:rsid w:val="272B516E"/>
    <w:rsid w:val="27410EC2"/>
    <w:rsid w:val="274A69E0"/>
    <w:rsid w:val="276175F4"/>
    <w:rsid w:val="276D0529"/>
    <w:rsid w:val="2779749B"/>
    <w:rsid w:val="277F08A2"/>
    <w:rsid w:val="27894C03"/>
    <w:rsid w:val="27933927"/>
    <w:rsid w:val="27992A4C"/>
    <w:rsid w:val="27A33E35"/>
    <w:rsid w:val="27A849C4"/>
    <w:rsid w:val="27A94296"/>
    <w:rsid w:val="27B60BEB"/>
    <w:rsid w:val="27BD0064"/>
    <w:rsid w:val="27C34DE1"/>
    <w:rsid w:val="27C67E36"/>
    <w:rsid w:val="27D46DC6"/>
    <w:rsid w:val="27D73488"/>
    <w:rsid w:val="27D8374E"/>
    <w:rsid w:val="27DA0F13"/>
    <w:rsid w:val="27EB437A"/>
    <w:rsid w:val="27EF125D"/>
    <w:rsid w:val="27F528CB"/>
    <w:rsid w:val="27F56315"/>
    <w:rsid w:val="28110A08"/>
    <w:rsid w:val="2828350A"/>
    <w:rsid w:val="282F72FA"/>
    <w:rsid w:val="283907CE"/>
    <w:rsid w:val="28571957"/>
    <w:rsid w:val="28623C15"/>
    <w:rsid w:val="28697350"/>
    <w:rsid w:val="286E334A"/>
    <w:rsid w:val="287050B3"/>
    <w:rsid w:val="28755CC9"/>
    <w:rsid w:val="287F4399"/>
    <w:rsid w:val="2889440F"/>
    <w:rsid w:val="288F5571"/>
    <w:rsid w:val="28965033"/>
    <w:rsid w:val="28A052D3"/>
    <w:rsid w:val="28A06F4C"/>
    <w:rsid w:val="28AC6B03"/>
    <w:rsid w:val="28B02224"/>
    <w:rsid w:val="28B1615B"/>
    <w:rsid w:val="28B22BA5"/>
    <w:rsid w:val="28B278C0"/>
    <w:rsid w:val="28C146C3"/>
    <w:rsid w:val="28CB1172"/>
    <w:rsid w:val="28CE738E"/>
    <w:rsid w:val="28D67316"/>
    <w:rsid w:val="290254C7"/>
    <w:rsid w:val="29087A30"/>
    <w:rsid w:val="291B5205"/>
    <w:rsid w:val="29236F16"/>
    <w:rsid w:val="292F6200"/>
    <w:rsid w:val="29331E5F"/>
    <w:rsid w:val="29334BDF"/>
    <w:rsid w:val="29436595"/>
    <w:rsid w:val="294C6C0B"/>
    <w:rsid w:val="29515B93"/>
    <w:rsid w:val="295676E3"/>
    <w:rsid w:val="295F57D7"/>
    <w:rsid w:val="29733705"/>
    <w:rsid w:val="297A56E5"/>
    <w:rsid w:val="29814635"/>
    <w:rsid w:val="29852916"/>
    <w:rsid w:val="29A36393"/>
    <w:rsid w:val="29A76063"/>
    <w:rsid w:val="29AB72C4"/>
    <w:rsid w:val="29B85251"/>
    <w:rsid w:val="29BA74BA"/>
    <w:rsid w:val="29C749A4"/>
    <w:rsid w:val="29CF5EA1"/>
    <w:rsid w:val="29F1767A"/>
    <w:rsid w:val="2A0019E0"/>
    <w:rsid w:val="2A045FE7"/>
    <w:rsid w:val="2A072146"/>
    <w:rsid w:val="2A0C22D0"/>
    <w:rsid w:val="2A0F729D"/>
    <w:rsid w:val="2A172745"/>
    <w:rsid w:val="2A1D74F2"/>
    <w:rsid w:val="2A2D7895"/>
    <w:rsid w:val="2A3F0385"/>
    <w:rsid w:val="2A430216"/>
    <w:rsid w:val="2A444CBB"/>
    <w:rsid w:val="2A4B7186"/>
    <w:rsid w:val="2A5670C9"/>
    <w:rsid w:val="2A5E0C02"/>
    <w:rsid w:val="2A642161"/>
    <w:rsid w:val="2A685432"/>
    <w:rsid w:val="2A726A27"/>
    <w:rsid w:val="2A7351C7"/>
    <w:rsid w:val="2A7C32F6"/>
    <w:rsid w:val="2A8222A9"/>
    <w:rsid w:val="2A822840"/>
    <w:rsid w:val="2A9602BA"/>
    <w:rsid w:val="2A985E6C"/>
    <w:rsid w:val="2AB56028"/>
    <w:rsid w:val="2ACC3887"/>
    <w:rsid w:val="2ACE37B6"/>
    <w:rsid w:val="2AEA2A60"/>
    <w:rsid w:val="2AEA2A93"/>
    <w:rsid w:val="2AED15BA"/>
    <w:rsid w:val="2AEF5470"/>
    <w:rsid w:val="2AF509B4"/>
    <w:rsid w:val="2AF86D11"/>
    <w:rsid w:val="2AFC44BE"/>
    <w:rsid w:val="2B0D4DF8"/>
    <w:rsid w:val="2B1546A8"/>
    <w:rsid w:val="2B231B94"/>
    <w:rsid w:val="2B293D78"/>
    <w:rsid w:val="2B394314"/>
    <w:rsid w:val="2B3B1E2D"/>
    <w:rsid w:val="2B3E5205"/>
    <w:rsid w:val="2B603F9B"/>
    <w:rsid w:val="2B614ECC"/>
    <w:rsid w:val="2B6C40D4"/>
    <w:rsid w:val="2B6E0D08"/>
    <w:rsid w:val="2B6E1D33"/>
    <w:rsid w:val="2B7447F6"/>
    <w:rsid w:val="2B8511D3"/>
    <w:rsid w:val="2B8F3B05"/>
    <w:rsid w:val="2B997A76"/>
    <w:rsid w:val="2B9E755E"/>
    <w:rsid w:val="2BB16E20"/>
    <w:rsid w:val="2BBD25A6"/>
    <w:rsid w:val="2BD31423"/>
    <w:rsid w:val="2BD862CC"/>
    <w:rsid w:val="2BDC2EB0"/>
    <w:rsid w:val="2BDF0ACB"/>
    <w:rsid w:val="2BE06716"/>
    <w:rsid w:val="2BE96133"/>
    <w:rsid w:val="2BFB567E"/>
    <w:rsid w:val="2BFE300B"/>
    <w:rsid w:val="2C085772"/>
    <w:rsid w:val="2C0B3A0F"/>
    <w:rsid w:val="2C0E0E81"/>
    <w:rsid w:val="2C120BF2"/>
    <w:rsid w:val="2C233268"/>
    <w:rsid w:val="2C34202D"/>
    <w:rsid w:val="2C3D4A6C"/>
    <w:rsid w:val="2C474C25"/>
    <w:rsid w:val="2C541121"/>
    <w:rsid w:val="2C703BB0"/>
    <w:rsid w:val="2C7F2782"/>
    <w:rsid w:val="2C827724"/>
    <w:rsid w:val="2C935F3D"/>
    <w:rsid w:val="2C9E1903"/>
    <w:rsid w:val="2C9F0F96"/>
    <w:rsid w:val="2CA32DB0"/>
    <w:rsid w:val="2CA43C41"/>
    <w:rsid w:val="2CAF7EB1"/>
    <w:rsid w:val="2CB8065D"/>
    <w:rsid w:val="2CBC5486"/>
    <w:rsid w:val="2CBE1783"/>
    <w:rsid w:val="2CC124B9"/>
    <w:rsid w:val="2CC97325"/>
    <w:rsid w:val="2CCE168E"/>
    <w:rsid w:val="2CE3074D"/>
    <w:rsid w:val="2CE73DBF"/>
    <w:rsid w:val="2CEA56B6"/>
    <w:rsid w:val="2CEF4854"/>
    <w:rsid w:val="2CF5740A"/>
    <w:rsid w:val="2CFE0737"/>
    <w:rsid w:val="2CFE4B72"/>
    <w:rsid w:val="2D023C70"/>
    <w:rsid w:val="2D0B00FE"/>
    <w:rsid w:val="2D0F4A83"/>
    <w:rsid w:val="2D1D6D45"/>
    <w:rsid w:val="2D31698D"/>
    <w:rsid w:val="2D3367EB"/>
    <w:rsid w:val="2D36335F"/>
    <w:rsid w:val="2D3B2CC7"/>
    <w:rsid w:val="2D423636"/>
    <w:rsid w:val="2D4E072A"/>
    <w:rsid w:val="2D5E5EA2"/>
    <w:rsid w:val="2D725AAF"/>
    <w:rsid w:val="2D730FC1"/>
    <w:rsid w:val="2D8674BF"/>
    <w:rsid w:val="2D8874B6"/>
    <w:rsid w:val="2D8C76AE"/>
    <w:rsid w:val="2D956579"/>
    <w:rsid w:val="2D983348"/>
    <w:rsid w:val="2D994B09"/>
    <w:rsid w:val="2DA34493"/>
    <w:rsid w:val="2DA471BC"/>
    <w:rsid w:val="2DAC2659"/>
    <w:rsid w:val="2DB624E3"/>
    <w:rsid w:val="2DC168A1"/>
    <w:rsid w:val="2DC81E94"/>
    <w:rsid w:val="2DD37126"/>
    <w:rsid w:val="2DE32195"/>
    <w:rsid w:val="2DE96A14"/>
    <w:rsid w:val="2DF27D78"/>
    <w:rsid w:val="2DFD129D"/>
    <w:rsid w:val="2DFF60D5"/>
    <w:rsid w:val="2E241E0A"/>
    <w:rsid w:val="2E2566E0"/>
    <w:rsid w:val="2E283FBB"/>
    <w:rsid w:val="2E347B0A"/>
    <w:rsid w:val="2E3C2E20"/>
    <w:rsid w:val="2E3D0A0C"/>
    <w:rsid w:val="2E3F3833"/>
    <w:rsid w:val="2E402E5B"/>
    <w:rsid w:val="2E4162D4"/>
    <w:rsid w:val="2E4776AD"/>
    <w:rsid w:val="2E5D563B"/>
    <w:rsid w:val="2E633B8A"/>
    <w:rsid w:val="2E6F56B9"/>
    <w:rsid w:val="2E794AF3"/>
    <w:rsid w:val="2E7C70A1"/>
    <w:rsid w:val="2E7F029C"/>
    <w:rsid w:val="2E8A51A3"/>
    <w:rsid w:val="2E8B57C3"/>
    <w:rsid w:val="2E9457B5"/>
    <w:rsid w:val="2E9A4F05"/>
    <w:rsid w:val="2E9B28AA"/>
    <w:rsid w:val="2EB1759E"/>
    <w:rsid w:val="2EB32E8D"/>
    <w:rsid w:val="2EC4145B"/>
    <w:rsid w:val="2ECA0EEF"/>
    <w:rsid w:val="2ECF238B"/>
    <w:rsid w:val="2ED02202"/>
    <w:rsid w:val="2ED06718"/>
    <w:rsid w:val="2EEC5878"/>
    <w:rsid w:val="2EF51EE3"/>
    <w:rsid w:val="2EF77968"/>
    <w:rsid w:val="2EF83766"/>
    <w:rsid w:val="2EF85571"/>
    <w:rsid w:val="2F03447D"/>
    <w:rsid w:val="2F0C1716"/>
    <w:rsid w:val="2F1264FD"/>
    <w:rsid w:val="2F131BDA"/>
    <w:rsid w:val="2F1E2431"/>
    <w:rsid w:val="2F2626A7"/>
    <w:rsid w:val="2F277782"/>
    <w:rsid w:val="2F33425A"/>
    <w:rsid w:val="2F40795E"/>
    <w:rsid w:val="2F436A32"/>
    <w:rsid w:val="2F600A4D"/>
    <w:rsid w:val="2F6C578F"/>
    <w:rsid w:val="2F7B24D1"/>
    <w:rsid w:val="2F83447A"/>
    <w:rsid w:val="2F8B0E09"/>
    <w:rsid w:val="2F9711E1"/>
    <w:rsid w:val="2FA94010"/>
    <w:rsid w:val="2FAA2A46"/>
    <w:rsid w:val="2FBB48F5"/>
    <w:rsid w:val="2FC82F9D"/>
    <w:rsid w:val="2FCC58AE"/>
    <w:rsid w:val="2FD32DD7"/>
    <w:rsid w:val="2FD57D60"/>
    <w:rsid w:val="2FD8752E"/>
    <w:rsid w:val="2FDE00E6"/>
    <w:rsid w:val="2FEC3BB6"/>
    <w:rsid w:val="2FEF045A"/>
    <w:rsid w:val="2FFA067A"/>
    <w:rsid w:val="2FFD0EE1"/>
    <w:rsid w:val="2FFF4CDE"/>
    <w:rsid w:val="30020B17"/>
    <w:rsid w:val="3016517A"/>
    <w:rsid w:val="302A05CA"/>
    <w:rsid w:val="302A358E"/>
    <w:rsid w:val="30341738"/>
    <w:rsid w:val="303F05C3"/>
    <w:rsid w:val="30403AEC"/>
    <w:rsid w:val="3049392A"/>
    <w:rsid w:val="306A75D7"/>
    <w:rsid w:val="306B5DF7"/>
    <w:rsid w:val="307B141B"/>
    <w:rsid w:val="30812E4D"/>
    <w:rsid w:val="3082744B"/>
    <w:rsid w:val="308D6AFB"/>
    <w:rsid w:val="308F6075"/>
    <w:rsid w:val="30944600"/>
    <w:rsid w:val="30AA6C1E"/>
    <w:rsid w:val="30B9486B"/>
    <w:rsid w:val="30D66A99"/>
    <w:rsid w:val="30D9386E"/>
    <w:rsid w:val="30DB1A2C"/>
    <w:rsid w:val="30DF79C5"/>
    <w:rsid w:val="30E74543"/>
    <w:rsid w:val="30F11543"/>
    <w:rsid w:val="30F1349C"/>
    <w:rsid w:val="30F2736A"/>
    <w:rsid w:val="30F40C14"/>
    <w:rsid w:val="30F42C52"/>
    <w:rsid w:val="30F513E7"/>
    <w:rsid w:val="30F620F0"/>
    <w:rsid w:val="31206CAF"/>
    <w:rsid w:val="312F3E90"/>
    <w:rsid w:val="31301752"/>
    <w:rsid w:val="31350214"/>
    <w:rsid w:val="31360F60"/>
    <w:rsid w:val="31485711"/>
    <w:rsid w:val="315B7E50"/>
    <w:rsid w:val="316C0946"/>
    <w:rsid w:val="316F5291"/>
    <w:rsid w:val="318077DA"/>
    <w:rsid w:val="31872741"/>
    <w:rsid w:val="31952860"/>
    <w:rsid w:val="31B91BCA"/>
    <w:rsid w:val="31BD7603"/>
    <w:rsid w:val="31C156AF"/>
    <w:rsid w:val="31C765B0"/>
    <w:rsid w:val="31D04EA3"/>
    <w:rsid w:val="31D33632"/>
    <w:rsid w:val="31D856DB"/>
    <w:rsid w:val="31E248BF"/>
    <w:rsid w:val="31E50463"/>
    <w:rsid w:val="31ED419C"/>
    <w:rsid w:val="32147265"/>
    <w:rsid w:val="321F26BF"/>
    <w:rsid w:val="3230537A"/>
    <w:rsid w:val="32473D90"/>
    <w:rsid w:val="32474245"/>
    <w:rsid w:val="324C5E3D"/>
    <w:rsid w:val="3253096B"/>
    <w:rsid w:val="32552601"/>
    <w:rsid w:val="32575271"/>
    <w:rsid w:val="3272345D"/>
    <w:rsid w:val="32765E32"/>
    <w:rsid w:val="3284604D"/>
    <w:rsid w:val="32914DC9"/>
    <w:rsid w:val="32957364"/>
    <w:rsid w:val="329E7F73"/>
    <w:rsid w:val="32B02EB7"/>
    <w:rsid w:val="32B86B24"/>
    <w:rsid w:val="32CB6F7E"/>
    <w:rsid w:val="32D97036"/>
    <w:rsid w:val="32DF21C2"/>
    <w:rsid w:val="32E11FA2"/>
    <w:rsid w:val="32E213F3"/>
    <w:rsid w:val="32ED2891"/>
    <w:rsid w:val="32EE25C6"/>
    <w:rsid w:val="330208DF"/>
    <w:rsid w:val="33032076"/>
    <w:rsid w:val="33035CB7"/>
    <w:rsid w:val="330E0160"/>
    <w:rsid w:val="3312251F"/>
    <w:rsid w:val="33237F61"/>
    <w:rsid w:val="332467E5"/>
    <w:rsid w:val="33262E95"/>
    <w:rsid w:val="33337F0A"/>
    <w:rsid w:val="333E2CA0"/>
    <w:rsid w:val="335759EC"/>
    <w:rsid w:val="335C0183"/>
    <w:rsid w:val="335E3242"/>
    <w:rsid w:val="338E40D2"/>
    <w:rsid w:val="339D3C39"/>
    <w:rsid w:val="33A540C1"/>
    <w:rsid w:val="33A871A4"/>
    <w:rsid w:val="33A9665D"/>
    <w:rsid w:val="33AF6948"/>
    <w:rsid w:val="33B43691"/>
    <w:rsid w:val="33B91B1D"/>
    <w:rsid w:val="33BA2267"/>
    <w:rsid w:val="33BD0809"/>
    <w:rsid w:val="33D47EAB"/>
    <w:rsid w:val="33DD30F0"/>
    <w:rsid w:val="33DE7074"/>
    <w:rsid w:val="33FF13BF"/>
    <w:rsid w:val="340749FE"/>
    <w:rsid w:val="34082A81"/>
    <w:rsid w:val="34093853"/>
    <w:rsid w:val="34144457"/>
    <w:rsid w:val="341A1C5C"/>
    <w:rsid w:val="342147A0"/>
    <w:rsid w:val="34236EE7"/>
    <w:rsid w:val="34254D93"/>
    <w:rsid w:val="34290276"/>
    <w:rsid w:val="343612DE"/>
    <w:rsid w:val="344B1B35"/>
    <w:rsid w:val="344D4F8E"/>
    <w:rsid w:val="34557EB5"/>
    <w:rsid w:val="345C0111"/>
    <w:rsid w:val="3494067B"/>
    <w:rsid w:val="34A81304"/>
    <w:rsid w:val="34AF26D6"/>
    <w:rsid w:val="34B50F41"/>
    <w:rsid w:val="34BC2A3C"/>
    <w:rsid w:val="34BC7739"/>
    <w:rsid w:val="34BD2138"/>
    <w:rsid w:val="34DD0BBB"/>
    <w:rsid w:val="34DE3166"/>
    <w:rsid w:val="34DE523E"/>
    <w:rsid w:val="34E061B4"/>
    <w:rsid w:val="34E071D2"/>
    <w:rsid w:val="34EA1DE0"/>
    <w:rsid w:val="3507314D"/>
    <w:rsid w:val="350C5CE7"/>
    <w:rsid w:val="3510599B"/>
    <w:rsid w:val="351B1E6E"/>
    <w:rsid w:val="352263E4"/>
    <w:rsid w:val="352B7666"/>
    <w:rsid w:val="352E62D6"/>
    <w:rsid w:val="35363338"/>
    <w:rsid w:val="353F0589"/>
    <w:rsid w:val="35423E95"/>
    <w:rsid w:val="35455EB9"/>
    <w:rsid w:val="354E0428"/>
    <w:rsid w:val="355475E3"/>
    <w:rsid w:val="355A4DC7"/>
    <w:rsid w:val="355E286B"/>
    <w:rsid w:val="355E5ABD"/>
    <w:rsid w:val="356C5C5F"/>
    <w:rsid w:val="35757D45"/>
    <w:rsid w:val="357A31FD"/>
    <w:rsid w:val="357D54E6"/>
    <w:rsid w:val="359D22F6"/>
    <w:rsid w:val="35A67C6D"/>
    <w:rsid w:val="35A97360"/>
    <w:rsid w:val="35AA6445"/>
    <w:rsid w:val="35AC5A16"/>
    <w:rsid w:val="35AE6707"/>
    <w:rsid w:val="35B1695D"/>
    <w:rsid w:val="35C027FD"/>
    <w:rsid w:val="35C15C9F"/>
    <w:rsid w:val="35CB5AA1"/>
    <w:rsid w:val="35F82C92"/>
    <w:rsid w:val="360E3D92"/>
    <w:rsid w:val="360F1C77"/>
    <w:rsid w:val="36252BCC"/>
    <w:rsid w:val="36287BFA"/>
    <w:rsid w:val="36375033"/>
    <w:rsid w:val="364A2085"/>
    <w:rsid w:val="365432CA"/>
    <w:rsid w:val="365774B4"/>
    <w:rsid w:val="365956B3"/>
    <w:rsid w:val="365A06D0"/>
    <w:rsid w:val="36627FCC"/>
    <w:rsid w:val="36636EEA"/>
    <w:rsid w:val="366D4287"/>
    <w:rsid w:val="366F7E88"/>
    <w:rsid w:val="36707B69"/>
    <w:rsid w:val="36733E42"/>
    <w:rsid w:val="36826689"/>
    <w:rsid w:val="36884F23"/>
    <w:rsid w:val="368D00C6"/>
    <w:rsid w:val="36924E56"/>
    <w:rsid w:val="36B074E7"/>
    <w:rsid w:val="36B201F6"/>
    <w:rsid w:val="36B318D7"/>
    <w:rsid w:val="36B4718B"/>
    <w:rsid w:val="36B517F0"/>
    <w:rsid w:val="36C26230"/>
    <w:rsid w:val="36CB22A7"/>
    <w:rsid w:val="36DE1E96"/>
    <w:rsid w:val="36F375F8"/>
    <w:rsid w:val="36F87640"/>
    <w:rsid w:val="36F931B8"/>
    <w:rsid w:val="37122C37"/>
    <w:rsid w:val="3713351B"/>
    <w:rsid w:val="37177C76"/>
    <w:rsid w:val="371F6BEB"/>
    <w:rsid w:val="37201325"/>
    <w:rsid w:val="37346A5E"/>
    <w:rsid w:val="37482AF0"/>
    <w:rsid w:val="374C5898"/>
    <w:rsid w:val="375A7D15"/>
    <w:rsid w:val="375D5B79"/>
    <w:rsid w:val="37712B91"/>
    <w:rsid w:val="37743765"/>
    <w:rsid w:val="37745B08"/>
    <w:rsid w:val="37793122"/>
    <w:rsid w:val="377F3E72"/>
    <w:rsid w:val="378055B2"/>
    <w:rsid w:val="378528A8"/>
    <w:rsid w:val="378F140B"/>
    <w:rsid w:val="37B24F59"/>
    <w:rsid w:val="37B37D61"/>
    <w:rsid w:val="37C23051"/>
    <w:rsid w:val="37CF5979"/>
    <w:rsid w:val="37D631A5"/>
    <w:rsid w:val="37DF53E0"/>
    <w:rsid w:val="37E118EB"/>
    <w:rsid w:val="37F14A58"/>
    <w:rsid w:val="380611BF"/>
    <w:rsid w:val="382039C9"/>
    <w:rsid w:val="382429AE"/>
    <w:rsid w:val="382F4C63"/>
    <w:rsid w:val="3838196A"/>
    <w:rsid w:val="383A334A"/>
    <w:rsid w:val="383C2B89"/>
    <w:rsid w:val="383F60A4"/>
    <w:rsid w:val="38601FC4"/>
    <w:rsid w:val="386661FF"/>
    <w:rsid w:val="386E6695"/>
    <w:rsid w:val="387E162E"/>
    <w:rsid w:val="388C6CF2"/>
    <w:rsid w:val="388D35F0"/>
    <w:rsid w:val="38914F5D"/>
    <w:rsid w:val="389A1BDF"/>
    <w:rsid w:val="38A54C47"/>
    <w:rsid w:val="38B13472"/>
    <w:rsid w:val="38B93642"/>
    <w:rsid w:val="38DD1588"/>
    <w:rsid w:val="38E12884"/>
    <w:rsid w:val="38EE7C94"/>
    <w:rsid w:val="38FD5F09"/>
    <w:rsid w:val="390C2B73"/>
    <w:rsid w:val="390C2E2D"/>
    <w:rsid w:val="391A645A"/>
    <w:rsid w:val="391B55AF"/>
    <w:rsid w:val="392F783B"/>
    <w:rsid w:val="394F6727"/>
    <w:rsid w:val="39521E9F"/>
    <w:rsid w:val="3954537C"/>
    <w:rsid w:val="396D6AE8"/>
    <w:rsid w:val="39725A4A"/>
    <w:rsid w:val="3980064E"/>
    <w:rsid w:val="399601BD"/>
    <w:rsid w:val="399A58EA"/>
    <w:rsid w:val="399B2127"/>
    <w:rsid w:val="399F08F3"/>
    <w:rsid w:val="399F1332"/>
    <w:rsid w:val="399F5FDA"/>
    <w:rsid w:val="39A15E7F"/>
    <w:rsid w:val="39A502C0"/>
    <w:rsid w:val="39BF238F"/>
    <w:rsid w:val="39C73DB3"/>
    <w:rsid w:val="39E46FAD"/>
    <w:rsid w:val="39E91662"/>
    <w:rsid w:val="39F5297E"/>
    <w:rsid w:val="3A0258FE"/>
    <w:rsid w:val="3A39581E"/>
    <w:rsid w:val="3A3C6CFA"/>
    <w:rsid w:val="3A3C78D6"/>
    <w:rsid w:val="3A3E3E9F"/>
    <w:rsid w:val="3A40244E"/>
    <w:rsid w:val="3A480A6E"/>
    <w:rsid w:val="3A4F2943"/>
    <w:rsid w:val="3A6463E4"/>
    <w:rsid w:val="3A6B176D"/>
    <w:rsid w:val="3A6B710D"/>
    <w:rsid w:val="3A700D10"/>
    <w:rsid w:val="3A714443"/>
    <w:rsid w:val="3A7D0D21"/>
    <w:rsid w:val="3A825329"/>
    <w:rsid w:val="3A84298B"/>
    <w:rsid w:val="3A997D1F"/>
    <w:rsid w:val="3AA26A5D"/>
    <w:rsid w:val="3AA844FF"/>
    <w:rsid w:val="3AAA4B7B"/>
    <w:rsid w:val="3AB1112B"/>
    <w:rsid w:val="3AC52C0A"/>
    <w:rsid w:val="3AC7743B"/>
    <w:rsid w:val="3ACE70B0"/>
    <w:rsid w:val="3AD164BB"/>
    <w:rsid w:val="3AD7738D"/>
    <w:rsid w:val="3ADC39B3"/>
    <w:rsid w:val="3AF634E6"/>
    <w:rsid w:val="3AF963F9"/>
    <w:rsid w:val="3AFC0789"/>
    <w:rsid w:val="3B0475E9"/>
    <w:rsid w:val="3B0A6176"/>
    <w:rsid w:val="3B10004F"/>
    <w:rsid w:val="3B100557"/>
    <w:rsid w:val="3B1D0F96"/>
    <w:rsid w:val="3B1F0A32"/>
    <w:rsid w:val="3B21328C"/>
    <w:rsid w:val="3B235BCB"/>
    <w:rsid w:val="3B3F3F46"/>
    <w:rsid w:val="3B4874EB"/>
    <w:rsid w:val="3B4E0843"/>
    <w:rsid w:val="3B5211E7"/>
    <w:rsid w:val="3B6B6801"/>
    <w:rsid w:val="3B84771D"/>
    <w:rsid w:val="3B8819BE"/>
    <w:rsid w:val="3B897E24"/>
    <w:rsid w:val="3BA16359"/>
    <w:rsid w:val="3BAF4E8A"/>
    <w:rsid w:val="3BB513C6"/>
    <w:rsid w:val="3BBB470B"/>
    <w:rsid w:val="3BCF04EA"/>
    <w:rsid w:val="3BE10919"/>
    <w:rsid w:val="3BE66D84"/>
    <w:rsid w:val="3BF8627E"/>
    <w:rsid w:val="3C0274FD"/>
    <w:rsid w:val="3C0F4376"/>
    <w:rsid w:val="3C0F5642"/>
    <w:rsid w:val="3C0F6F56"/>
    <w:rsid w:val="3C14548B"/>
    <w:rsid w:val="3C1D1172"/>
    <w:rsid w:val="3C2F70BE"/>
    <w:rsid w:val="3C3073EF"/>
    <w:rsid w:val="3C320FE1"/>
    <w:rsid w:val="3C325493"/>
    <w:rsid w:val="3C3616AF"/>
    <w:rsid w:val="3C385BD6"/>
    <w:rsid w:val="3C3B6C18"/>
    <w:rsid w:val="3C3C69F3"/>
    <w:rsid w:val="3C4E0450"/>
    <w:rsid w:val="3C545870"/>
    <w:rsid w:val="3C7B3B44"/>
    <w:rsid w:val="3CA45331"/>
    <w:rsid w:val="3CA57CFE"/>
    <w:rsid w:val="3CAA23D0"/>
    <w:rsid w:val="3CAE4CF8"/>
    <w:rsid w:val="3CAE7AEC"/>
    <w:rsid w:val="3CCC781D"/>
    <w:rsid w:val="3CCE7C2A"/>
    <w:rsid w:val="3CD20411"/>
    <w:rsid w:val="3CE77340"/>
    <w:rsid w:val="3CE90379"/>
    <w:rsid w:val="3CEC5D59"/>
    <w:rsid w:val="3CFF37D8"/>
    <w:rsid w:val="3D195B95"/>
    <w:rsid w:val="3D21160E"/>
    <w:rsid w:val="3D2329FD"/>
    <w:rsid w:val="3D29684E"/>
    <w:rsid w:val="3D2B3F35"/>
    <w:rsid w:val="3D2D2003"/>
    <w:rsid w:val="3D39578E"/>
    <w:rsid w:val="3D4D27F5"/>
    <w:rsid w:val="3D52619D"/>
    <w:rsid w:val="3D534EBF"/>
    <w:rsid w:val="3D5D4D44"/>
    <w:rsid w:val="3D614D99"/>
    <w:rsid w:val="3D6E5D8B"/>
    <w:rsid w:val="3D76742B"/>
    <w:rsid w:val="3D8E3230"/>
    <w:rsid w:val="3D9C4C5C"/>
    <w:rsid w:val="3DA701B4"/>
    <w:rsid w:val="3DA83998"/>
    <w:rsid w:val="3DB16D2A"/>
    <w:rsid w:val="3DB80722"/>
    <w:rsid w:val="3DBD65F0"/>
    <w:rsid w:val="3DC7203E"/>
    <w:rsid w:val="3DD43D14"/>
    <w:rsid w:val="3DDA4533"/>
    <w:rsid w:val="3DE1146E"/>
    <w:rsid w:val="3DE12F32"/>
    <w:rsid w:val="3DEA3F0C"/>
    <w:rsid w:val="3DEB35D1"/>
    <w:rsid w:val="3DF65F0E"/>
    <w:rsid w:val="3DFB25C5"/>
    <w:rsid w:val="3DFF226A"/>
    <w:rsid w:val="3E025CF4"/>
    <w:rsid w:val="3E144F0D"/>
    <w:rsid w:val="3E174D97"/>
    <w:rsid w:val="3E1A10E9"/>
    <w:rsid w:val="3E1A2100"/>
    <w:rsid w:val="3E1B7092"/>
    <w:rsid w:val="3E1F2909"/>
    <w:rsid w:val="3E1F40C4"/>
    <w:rsid w:val="3E20348B"/>
    <w:rsid w:val="3E217503"/>
    <w:rsid w:val="3E392CD6"/>
    <w:rsid w:val="3E3D5661"/>
    <w:rsid w:val="3E43042F"/>
    <w:rsid w:val="3E52212B"/>
    <w:rsid w:val="3E5A71D5"/>
    <w:rsid w:val="3E7304ED"/>
    <w:rsid w:val="3E73624E"/>
    <w:rsid w:val="3E960E27"/>
    <w:rsid w:val="3E971BFA"/>
    <w:rsid w:val="3E985F61"/>
    <w:rsid w:val="3EAD3EF7"/>
    <w:rsid w:val="3EAD5631"/>
    <w:rsid w:val="3ECE1772"/>
    <w:rsid w:val="3EDA153E"/>
    <w:rsid w:val="3EDB3244"/>
    <w:rsid w:val="3F002AB5"/>
    <w:rsid w:val="3F007F87"/>
    <w:rsid w:val="3F09064D"/>
    <w:rsid w:val="3F1339B8"/>
    <w:rsid w:val="3F196A9F"/>
    <w:rsid w:val="3F1C125E"/>
    <w:rsid w:val="3F1C1904"/>
    <w:rsid w:val="3F224B09"/>
    <w:rsid w:val="3F240B0A"/>
    <w:rsid w:val="3F24608D"/>
    <w:rsid w:val="3F263CBB"/>
    <w:rsid w:val="3F2653A3"/>
    <w:rsid w:val="3F284847"/>
    <w:rsid w:val="3F2E191C"/>
    <w:rsid w:val="3F3E4D72"/>
    <w:rsid w:val="3F4460BD"/>
    <w:rsid w:val="3F487A21"/>
    <w:rsid w:val="3F4D2FAB"/>
    <w:rsid w:val="3F625DFB"/>
    <w:rsid w:val="3F6741A7"/>
    <w:rsid w:val="3F67457E"/>
    <w:rsid w:val="3F72673A"/>
    <w:rsid w:val="3F96539B"/>
    <w:rsid w:val="3F993A4B"/>
    <w:rsid w:val="3F9A38BF"/>
    <w:rsid w:val="3F9C5D3D"/>
    <w:rsid w:val="3FA615BB"/>
    <w:rsid w:val="3FAE6978"/>
    <w:rsid w:val="3FB65F72"/>
    <w:rsid w:val="3FC43B3E"/>
    <w:rsid w:val="3FC921C5"/>
    <w:rsid w:val="3FCF0135"/>
    <w:rsid w:val="3FE56688"/>
    <w:rsid w:val="3FEE25A6"/>
    <w:rsid w:val="3FEF0646"/>
    <w:rsid w:val="3FEF543D"/>
    <w:rsid w:val="3FFC2040"/>
    <w:rsid w:val="3FFF7674"/>
    <w:rsid w:val="401B034E"/>
    <w:rsid w:val="40213B31"/>
    <w:rsid w:val="402B12B0"/>
    <w:rsid w:val="402F643A"/>
    <w:rsid w:val="40323DF2"/>
    <w:rsid w:val="4043244B"/>
    <w:rsid w:val="404B0AFD"/>
    <w:rsid w:val="405A761E"/>
    <w:rsid w:val="405B3E44"/>
    <w:rsid w:val="405C4FD6"/>
    <w:rsid w:val="40633724"/>
    <w:rsid w:val="4073511D"/>
    <w:rsid w:val="407511A9"/>
    <w:rsid w:val="40751584"/>
    <w:rsid w:val="408B409E"/>
    <w:rsid w:val="40903214"/>
    <w:rsid w:val="40B77ACC"/>
    <w:rsid w:val="40BD2482"/>
    <w:rsid w:val="40CE01B2"/>
    <w:rsid w:val="40D44447"/>
    <w:rsid w:val="40E3448C"/>
    <w:rsid w:val="40EE4695"/>
    <w:rsid w:val="40EF2E8F"/>
    <w:rsid w:val="40F42748"/>
    <w:rsid w:val="40FA76BD"/>
    <w:rsid w:val="40FD344B"/>
    <w:rsid w:val="40FE26D2"/>
    <w:rsid w:val="41044BF4"/>
    <w:rsid w:val="410B01A8"/>
    <w:rsid w:val="41165841"/>
    <w:rsid w:val="41252762"/>
    <w:rsid w:val="412E0DDF"/>
    <w:rsid w:val="41353F90"/>
    <w:rsid w:val="41490CF5"/>
    <w:rsid w:val="414B5671"/>
    <w:rsid w:val="41503639"/>
    <w:rsid w:val="41514F68"/>
    <w:rsid w:val="415D50BB"/>
    <w:rsid w:val="41670752"/>
    <w:rsid w:val="416A0599"/>
    <w:rsid w:val="41712625"/>
    <w:rsid w:val="41741AA2"/>
    <w:rsid w:val="418C16CB"/>
    <w:rsid w:val="41A5473E"/>
    <w:rsid w:val="41A618DB"/>
    <w:rsid w:val="41A6399F"/>
    <w:rsid w:val="41B938EB"/>
    <w:rsid w:val="41BD4A1A"/>
    <w:rsid w:val="41C76C5D"/>
    <w:rsid w:val="41CC7FB7"/>
    <w:rsid w:val="41CD41ED"/>
    <w:rsid w:val="41DB6B04"/>
    <w:rsid w:val="41DB7ACA"/>
    <w:rsid w:val="41E63E46"/>
    <w:rsid w:val="41E64231"/>
    <w:rsid w:val="41ED4A55"/>
    <w:rsid w:val="41FF4DD1"/>
    <w:rsid w:val="42027EA1"/>
    <w:rsid w:val="420B1F27"/>
    <w:rsid w:val="42182D34"/>
    <w:rsid w:val="42291598"/>
    <w:rsid w:val="42375A27"/>
    <w:rsid w:val="424259D6"/>
    <w:rsid w:val="4243274E"/>
    <w:rsid w:val="424610F7"/>
    <w:rsid w:val="424802AA"/>
    <w:rsid w:val="428A4FE0"/>
    <w:rsid w:val="428E2E24"/>
    <w:rsid w:val="429017FC"/>
    <w:rsid w:val="42914EC6"/>
    <w:rsid w:val="42923FF1"/>
    <w:rsid w:val="4297701F"/>
    <w:rsid w:val="429C554F"/>
    <w:rsid w:val="42A26D50"/>
    <w:rsid w:val="42A73EBF"/>
    <w:rsid w:val="42AC6C89"/>
    <w:rsid w:val="42B00F6D"/>
    <w:rsid w:val="42B10DBC"/>
    <w:rsid w:val="42B66625"/>
    <w:rsid w:val="42BA1E7D"/>
    <w:rsid w:val="42BC6219"/>
    <w:rsid w:val="42C512CA"/>
    <w:rsid w:val="42C7289D"/>
    <w:rsid w:val="42C85A7F"/>
    <w:rsid w:val="42CE47E6"/>
    <w:rsid w:val="42D54D2A"/>
    <w:rsid w:val="42D86242"/>
    <w:rsid w:val="42EF5BE0"/>
    <w:rsid w:val="42F851DA"/>
    <w:rsid w:val="42FE4918"/>
    <w:rsid w:val="430355D1"/>
    <w:rsid w:val="430565C8"/>
    <w:rsid w:val="430931EF"/>
    <w:rsid w:val="43094FC5"/>
    <w:rsid w:val="430C285C"/>
    <w:rsid w:val="4313669C"/>
    <w:rsid w:val="431A01C5"/>
    <w:rsid w:val="43253BC4"/>
    <w:rsid w:val="432927A6"/>
    <w:rsid w:val="432A5BD6"/>
    <w:rsid w:val="432B7DEC"/>
    <w:rsid w:val="43342642"/>
    <w:rsid w:val="433821C6"/>
    <w:rsid w:val="433B122E"/>
    <w:rsid w:val="433F416A"/>
    <w:rsid w:val="435E5073"/>
    <w:rsid w:val="43645BF7"/>
    <w:rsid w:val="436C0027"/>
    <w:rsid w:val="43771E90"/>
    <w:rsid w:val="43821D42"/>
    <w:rsid w:val="43963653"/>
    <w:rsid w:val="43987604"/>
    <w:rsid w:val="43B7549F"/>
    <w:rsid w:val="43B9286F"/>
    <w:rsid w:val="43BB4049"/>
    <w:rsid w:val="43BB4C9D"/>
    <w:rsid w:val="43C93EA9"/>
    <w:rsid w:val="43D65537"/>
    <w:rsid w:val="43DD2294"/>
    <w:rsid w:val="43E92280"/>
    <w:rsid w:val="43F421E8"/>
    <w:rsid w:val="43F707D8"/>
    <w:rsid w:val="4401313F"/>
    <w:rsid w:val="4402298A"/>
    <w:rsid w:val="440A7998"/>
    <w:rsid w:val="440C2EEA"/>
    <w:rsid w:val="441D2BDD"/>
    <w:rsid w:val="441D3234"/>
    <w:rsid w:val="441F6C55"/>
    <w:rsid w:val="4420224D"/>
    <w:rsid w:val="442074C6"/>
    <w:rsid w:val="44243A14"/>
    <w:rsid w:val="44244565"/>
    <w:rsid w:val="44291B11"/>
    <w:rsid w:val="44311C57"/>
    <w:rsid w:val="44370325"/>
    <w:rsid w:val="44514687"/>
    <w:rsid w:val="445459C2"/>
    <w:rsid w:val="44617D0A"/>
    <w:rsid w:val="44682D18"/>
    <w:rsid w:val="446944E9"/>
    <w:rsid w:val="446F13F6"/>
    <w:rsid w:val="44723BA6"/>
    <w:rsid w:val="4473705C"/>
    <w:rsid w:val="44783538"/>
    <w:rsid w:val="447A346E"/>
    <w:rsid w:val="447C5BAA"/>
    <w:rsid w:val="447F22ED"/>
    <w:rsid w:val="4480015B"/>
    <w:rsid w:val="448174D9"/>
    <w:rsid w:val="44885E87"/>
    <w:rsid w:val="4490304D"/>
    <w:rsid w:val="44973FBF"/>
    <w:rsid w:val="449A759B"/>
    <w:rsid w:val="44A9401A"/>
    <w:rsid w:val="44AC3086"/>
    <w:rsid w:val="44BD076D"/>
    <w:rsid w:val="44C30184"/>
    <w:rsid w:val="44C8435A"/>
    <w:rsid w:val="44C93ABA"/>
    <w:rsid w:val="44CB6A19"/>
    <w:rsid w:val="44CC451B"/>
    <w:rsid w:val="44DB36D1"/>
    <w:rsid w:val="44EB3F4C"/>
    <w:rsid w:val="44F75C85"/>
    <w:rsid w:val="44FB6168"/>
    <w:rsid w:val="44FC3194"/>
    <w:rsid w:val="44FD00BD"/>
    <w:rsid w:val="45031836"/>
    <w:rsid w:val="4504637B"/>
    <w:rsid w:val="452306AA"/>
    <w:rsid w:val="453C4611"/>
    <w:rsid w:val="453C5ECE"/>
    <w:rsid w:val="4542601F"/>
    <w:rsid w:val="454464BC"/>
    <w:rsid w:val="45471252"/>
    <w:rsid w:val="45516630"/>
    <w:rsid w:val="455B0F07"/>
    <w:rsid w:val="455B70CF"/>
    <w:rsid w:val="455F21AD"/>
    <w:rsid w:val="456125FB"/>
    <w:rsid w:val="45646D5D"/>
    <w:rsid w:val="456B16C4"/>
    <w:rsid w:val="45723D75"/>
    <w:rsid w:val="459E70EB"/>
    <w:rsid w:val="45B304D2"/>
    <w:rsid w:val="45C2259A"/>
    <w:rsid w:val="45C37908"/>
    <w:rsid w:val="45C972E7"/>
    <w:rsid w:val="45D66454"/>
    <w:rsid w:val="45F146F2"/>
    <w:rsid w:val="45F710E6"/>
    <w:rsid w:val="45FB5F89"/>
    <w:rsid w:val="45FF1EFE"/>
    <w:rsid w:val="461058D9"/>
    <w:rsid w:val="46165015"/>
    <w:rsid w:val="46280A29"/>
    <w:rsid w:val="462A1664"/>
    <w:rsid w:val="463B4251"/>
    <w:rsid w:val="465027ED"/>
    <w:rsid w:val="46582079"/>
    <w:rsid w:val="465F4343"/>
    <w:rsid w:val="46663080"/>
    <w:rsid w:val="467169E7"/>
    <w:rsid w:val="468539A4"/>
    <w:rsid w:val="46C66179"/>
    <w:rsid w:val="46CB17EB"/>
    <w:rsid w:val="46DE668F"/>
    <w:rsid w:val="46E551CD"/>
    <w:rsid w:val="46EE4683"/>
    <w:rsid w:val="46EF6F74"/>
    <w:rsid w:val="46FE5856"/>
    <w:rsid w:val="47014483"/>
    <w:rsid w:val="4703333D"/>
    <w:rsid w:val="471A4405"/>
    <w:rsid w:val="471D5FCF"/>
    <w:rsid w:val="471E6417"/>
    <w:rsid w:val="472F4367"/>
    <w:rsid w:val="473A5E83"/>
    <w:rsid w:val="473B2404"/>
    <w:rsid w:val="473F3688"/>
    <w:rsid w:val="47522D9A"/>
    <w:rsid w:val="47546291"/>
    <w:rsid w:val="475915CF"/>
    <w:rsid w:val="475B68AF"/>
    <w:rsid w:val="47763C9E"/>
    <w:rsid w:val="4778738B"/>
    <w:rsid w:val="477A3E46"/>
    <w:rsid w:val="47865720"/>
    <w:rsid w:val="478A29F0"/>
    <w:rsid w:val="478A3249"/>
    <w:rsid w:val="478C0ADF"/>
    <w:rsid w:val="478D5D75"/>
    <w:rsid w:val="4790736A"/>
    <w:rsid w:val="47943558"/>
    <w:rsid w:val="479A12BB"/>
    <w:rsid w:val="479E7121"/>
    <w:rsid w:val="47A80B00"/>
    <w:rsid w:val="47AD45F5"/>
    <w:rsid w:val="47BA4FF1"/>
    <w:rsid w:val="47CB6507"/>
    <w:rsid w:val="47D60BBC"/>
    <w:rsid w:val="47D7163B"/>
    <w:rsid w:val="47E064C7"/>
    <w:rsid w:val="47E156BB"/>
    <w:rsid w:val="47E77EB6"/>
    <w:rsid w:val="47F20C0E"/>
    <w:rsid w:val="47FD24F4"/>
    <w:rsid w:val="48002C62"/>
    <w:rsid w:val="480515E9"/>
    <w:rsid w:val="48065890"/>
    <w:rsid w:val="48127D91"/>
    <w:rsid w:val="481E0218"/>
    <w:rsid w:val="48273063"/>
    <w:rsid w:val="482759BB"/>
    <w:rsid w:val="482A5811"/>
    <w:rsid w:val="484031A0"/>
    <w:rsid w:val="48460E01"/>
    <w:rsid w:val="48474441"/>
    <w:rsid w:val="484A3A4D"/>
    <w:rsid w:val="485A4946"/>
    <w:rsid w:val="486C5A57"/>
    <w:rsid w:val="487F196B"/>
    <w:rsid w:val="48843707"/>
    <w:rsid w:val="48865559"/>
    <w:rsid w:val="488B7278"/>
    <w:rsid w:val="48921589"/>
    <w:rsid w:val="48B1483E"/>
    <w:rsid w:val="48E158B3"/>
    <w:rsid w:val="48E8561D"/>
    <w:rsid w:val="48F0103C"/>
    <w:rsid w:val="48F0714D"/>
    <w:rsid w:val="48F3402C"/>
    <w:rsid w:val="48F62D03"/>
    <w:rsid w:val="48F77F22"/>
    <w:rsid w:val="49006A4D"/>
    <w:rsid w:val="49272634"/>
    <w:rsid w:val="492A6E95"/>
    <w:rsid w:val="4939144E"/>
    <w:rsid w:val="493A24D0"/>
    <w:rsid w:val="493C6687"/>
    <w:rsid w:val="493D20BB"/>
    <w:rsid w:val="493E58F3"/>
    <w:rsid w:val="4959124E"/>
    <w:rsid w:val="495D071E"/>
    <w:rsid w:val="496164D0"/>
    <w:rsid w:val="49664EA6"/>
    <w:rsid w:val="496B669D"/>
    <w:rsid w:val="496E712A"/>
    <w:rsid w:val="49722A47"/>
    <w:rsid w:val="4973140F"/>
    <w:rsid w:val="497C4BE1"/>
    <w:rsid w:val="4980732D"/>
    <w:rsid w:val="49A31824"/>
    <w:rsid w:val="49AD7C3B"/>
    <w:rsid w:val="49B15E32"/>
    <w:rsid w:val="49B35477"/>
    <w:rsid w:val="49B66EC5"/>
    <w:rsid w:val="49B73BA5"/>
    <w:rsid w:val="49B7682F"/>
    <w:rsid w:val="49BE306A"/>
    <w:rsid w:val="49C071A1"/>
    <w:rsid w:val="49C161D8"/>
    <w:rsid w:val="49C24A88"/>
    <w:rsid w:val="49CC3F16"/>
    <w:rsid w:val="49D81F13"/>
    <w:rsid w:val="49E31136"/>
    <w:rsid w:val="49ED057A"/>
    <w:rsid w:val="49EF1D86"/>
    <w:rsid w:val="49FD0A6D"/>
    <w:rsid w:val="4A057339"/>
    <w:rsid w:val="4A0C2D29"/>
    <w:rsid w:val="4A15629C"/>
    <w:rsid w:val="4A203CA4"/>
    <w:rsid w:val="4A335BDC"/>
    <w:rsid w:val="4A344670"/>
    <w:rsid w:val="4A360F96"/>
    <w:rsid w:val="4A3A2422"/>
    <w:rsid w:val="4A3B40B2"/>
    <w:rsid w:val="4A4C696C"/>
    <w:rsid w:val="4A551320"/>
    <w:rsid w:val="4A573C9B"/>
    <w:rsid w:val="4A591C97"/>
    <w:rsid w:val="4A5B1925"/>
    <w:rsid w:val="4A9B73F3"/>
    <w:rsid w:val="4AAC1814"/>
    <w:rsid w:val="4AB50E42"/>
    <w:rsid w:val="4AB82002"/>
    <w:rsid w:val="4AB82B50"/>
    <w:rsid w:val="4ABB4926"/>
    <w:rsid w:val="4ABB6F17"/>
    <w:rsid w:val="4ABE1639"/>
    <w:rsid w:val="4ADC4024"/>
    <w:rsid w:val="4AE17C2C"/>
    <w:rsid w:val="4AEA24F0"/>
    <w:rsid w:val="4AEF656B"/>
    <w:rsid w:val="4AF5404E"/>
    <w:rsid w:val="4AF55886"/>
    <w:rsid w:val="4AF83131"/>
    <w:rsid w:val="4B036EDC"/>
    <w:rsid w:val="4B063561"/>
    <w:rsid w:val="4B150032"/>
    <w:rsid w:val="4B1D14E7"/>
    <w:rsid w:val="4B3A4FA6"/>
    <w:rsid w:val="4B503D59"/>
    <w:rsid w:val="4B6937DD"/>
    <w:rsid w:val="4B712CB3"/>
    <w:rsid w:val="4B715C38"/>
    <w:rsid w:val="4B766050"/>
    <w:rsid w:val="4B7B5177"/>
    <w:rsid w:val="4B870600"/>
    <w:rsid w:val="4B8E0170"/>
    <w:rsid w:val="4B8E63E6"/>
    <w:rsid w:val="4B964E4F"/>
    <w:rsid w:val="4BC22732"/>
    <w:rsid w:val="4BC27D75"/>
    <w:rsid w:val="4BC65B99"/>
    <w:rsid w:val="4BCC6CA8"/>
    <w:rsid w:val="4BCD53D9"/>
    <w:rsid w:val="4BCF38CB"/>
    <w:rsid w:val="4BD44271"/>
    <w:rsid w:val="4BEF4C5D"/>
    <w:rsid w:val="4BF0140A"/>
    <w:rsid w:val="4BFB520C"/>
    <w:rsid w:val="4BFC046E"/>
    <w:rsid w:val="4BFC6236"/>
    <w:rsid w:val="4BFE10D1"/>
    <w:rsid w:val="4C073CF8"/>
    <w:rsid w:val="4C102782"/>
    <w:rsid w:val="4C24124B"/>
    <w:rsid w:val="4C322BE9"/>
    <w:rsid w:val="4C4277B4"/>
    <w:rsid w:val="4C4541E5"/>
    <w:rsid w:val="4C476DF9"/>
    <w:rsid w:val="4C511CEE"/>
    <w:rsid w:val="4C5316E4"/>
    <w:rsid w:val="4C554428"/>
    <w:rsid w:val="4C5C3EA5"/>
    <w:rsid w:val="4C61437A"/>
    <w:rsid w:val="4C631272"/>
    <w:rsid w:val="4C822FF7"/>
    <w:rsid w:val="4C8556B7"/>
    <w:rsid w:val="4C89483F"/>
    <w:rsid w:val="4C8A5A53"/>
    <w:rsid w:val="4C9C7246"/>
    <w:rsid w:val="4C9F6D0C"/>
    <w:rsid w:val="4CA1222F"/>
    <w:rsid w:val="4CA27E8F"/>
    <w:rsid w:val="4CB30071"/>
    <w:rsid w:val="4CB76367"/>
    <w:rsid w:val="4CBF3179"/>
    <w:rsid w:val="4CCB6F14"/>
    <w:rsid w:val="4CCC16DA"/>
    <w:rsid w:val="4CD1326F"/>
    <w:rsid w:val="4CDD168C"/>
    <w:rsid w:val="4CDE1580"/>
    <w:rsid w:val="4CE856A5"/>
    <w:rsid w:val="4D05310C"/>
    <w:rsid w:val="4D0C5E9D"/>
    <w:rsid w:val="4D0F7EAD"/>
    <w:rsid w:val="4D15514C"/>
    <w:rsid w:val="4D166BD9"/>
    <w:rsid w:val="4D1C782A"/>
    <w:rsid w:val="4D2237E5"/>
    <w:rsid w:val="4D2A6914"/>
    <w:rsid w:val="4D341316"/>
    <w:rsid w:val="4D4542AC"/>
    <w:rsid w:val="4D4F3E2D"/>
    <w:rsid w:val="4D5077DD"/>
    <w:rsid w:val="4D706C30"/>
    <w:rsid w:val="4DA15110"/>
    <w:rsid w:val="4DB56ED5"/>
    <w:rsid w:val="4DB73A62"/>
    <w:rsid w:val="4DB97D79"/>
    <w:rsid w:val="4DC55643"/>
    <w:rsid w:val="4DCB7475"/>
    <w:rsid w:val="4DD30E27"/>
    <w:rsid w:val="4DD90962"/>
    <w:rsid w:val="4E0C0C92"/>
    <w:rsid w:val="4E1D44D2"/>
    <w:rsid w:val="4E1E3793"/>
    <w:rsid w:val="4E2241CB"/>
    <w:rsid w:val="4E251856"/>
    <w:rsid w:val="4E282639"/>
    <w:rsid w:val="4E317E06"/>
    <w:rsid w:val="4E3E2E69"/>
    <w:rsid w:val="4E416B1D"/>
    <w:rsid w:val="4E4B212D"/>
    <w:rsid w:val="4E4C1829"/>
    <w:rsid w:val="4E505C40"/>
    <w:rsid w:val="4E585AEF"/>
    <w:rsid w:val="4E5C563B"/>
    <w:rsid w:val="4E650E6B"/>
    <w:rsid w:val="4E6E647A"/>
    <w:rsid w:val="4E7642A7"/>
    <w:rsid w:val="4E7E3962"/>
    <w:rsid w:val="4E997122"/>
    <w:rsid w:val="4E9B7400"/>
    <w:rsid w:val="4EA548AD"/>
    <w:rsid w:val="4EC30B2B"/>
    <w:rsid w:val="4EC30BAA"/>
    <w:rsid w:val="4ECF07FD"/>
    <w:rsid w:val="4ED406B0"/>
    <w:rsid w:val="4EDB7799"/>
    <w:rsid w:val="4EE80F4D"/>
    <w:rsid w:val="4EED71B1"/>
    <w:rsid w:val="4EF11B96"/>
    <w:rsid w:val="4EF5428A"/>
    <w:rsid w:val="4EF75441"/>
    <w:rsid w:val="4F067E7F"/>
    <w:rsid w:val="4F0F0E50"/>
    <w:rsid w:val="4F18079A"/>
    <w:rsid w:val="4F1B620F"/>
    <w:rsid w:val="4F206722"/>
    <w:rsid w:val="4F2717D1"/>
    <w:rsid w:val="4F341D8D"/>
    <w:rsid w:val="4F355697"/>
    <w:rsid w:val="4F4D1CD3"/>
    <w:rsid w:val="4F557736"/>
    <w:rsid w:val="4F5C12A0"/>
    <w:rsid w:val="4F616F31"/>
    <w:rsid w:val="4F694106"/>
    <w:rsid w:val="4F7760C5"/>
    <w:rsid w:val="4F857B40"/>
    <w:rsid w:val="4F8D7933"/>
    <w:rsid w:val="4F8F24EB"/>
    <w:rsid w:val="4F923128"/>
    <w:rsid w:val="4F996C7E"/>
    <w:rsid w:val="4F9D7F82"/>
    <w:rsid w:val="4F9E10B3"/>
    <w:rsid w:val="4FA85516"/>
    <w:rsid w:val="4FA87BEA"/>
    <w:rsid w:val="4FAA4E3A"/>
    <w:rsid w:val="4FB72501"/>
    <w:rsid w:val="4FDB2A14"/>
    <w:rsid w:val="4FE5216E"/>
    <w:rsid w:val="4FEE43C5"/>
    <w:rsid w:val="4FEF7F19"/>
    <w:rsid w:val="4FF50AA2"/>
    <w:rsid w:val="4FF55E04"/>
    <w:rsid w:val="4FFA1F79"/>
    <w:rsid w:val="4FFE6D44"/>
    <w:rsid w:val="501C3419"/>
    <w:rsid w:val="501D4063"/>
    <w:rsid w:val="50283C27"/>
    <w:rsid w:val="502A5FF4"/>
    <w:rsid w:val="50334961"/>
    <w:rsid w:val="50404D00"/>
    <w:rsid w:val="504A2ECF"/>
    <w:rsid w:val="50503A64"/>
    <w:rsid w:val="505A032B"/>
    <w:rsid w:val="50611C44"/>
    <w:rsid w:val="50641F16"/>
    <w:rsid w:val="506C3D0E"/>
    <w:rsid w:val="506D39BB"/>
    <w:rsid w:val="506F3338"/>
    <w:rsid w:val="50783E4F"/>
    <w:rsid w:val="50877E67"/>
    <w:rsid w:val="5094213E"/>
    <w:rsid w:val="509B5A44"/>
    <w:rsid w:val="509C1B97"/>
    <w:rsid w:val="509E1BF6"/>
    <w:rsid w:val="50A40B8B"/>
    <w:rsid w:val="50A66EF3"/>
    <w:rsid w:val="50AB2E49"/>
    <w:rsid w:val="50AC26DF"/>
    <w:rsid w:val="50AE19B8"/>
    <w:rsid w:val="50B00860"/>
    <w:rsid w:val="50BB1A75"/>
    <w:rsid w:val="50C02457"/>
    <w:rsid w:val="50C22147"/>
    <w:rsid w:val="50DA5D1D"/>
    <w:rsid w:val="50DF3746"/>
    <w:rsid w:val="50E00775"/>
    <w:rsid w:val="51065AE3"/>
    <w:rsid w:val="51073487"/>
    <w:rsid w:val="5130697A"/>
    <w:rsid w:val="51407712"/>
    <w:rsid w:val="51606D80"/>
    <w:rsid w:val="518D502C"/>
    <w:rsid w:val="518E5872"/>
    <w:rsid w:val="519333FF"/>
    <w:rsid w:val="51984E54"/>
    <w:rsid w:val="51A146B6"/>
    <w:rsid w:val="51AE3CED"/>
    <w:rsid w:val="51B97C10"/>
    <w:rsid w:val="51BB5FF1"/>
    <w:rsid w:val="51C606FB"/>
    <w:rsid w:val="51D854A9"/>
    <w:rsid w:val="51E30B6A"/>
    <w:rsid w:val="51EF1984"/>
    <w:rsid w:val="51F747E0"/>
    <w:rsid w:val="51FC6F34"/>
    <w:rsid w:val="52103C34"/>
    <w:rsid w:val="52114A1C"/>
    <w:rsid w:val="52147C8F"/>
    <w:rsid w:val="52151D21"/>
    <w:rsid w:val="521A1356"/>
    <w:rsid w:val="52252690"/>
    <w:rsid w:val="52252BF9"/>
    <w:rsid w:val="52307421"/>
    <w:rsid w:val="52337F1C"/>
    <w:rsid w:val="5236531B"/>
    <w:rsid w:val="5249689C"/>
    <w:rsid w:val="52525E85"/>
    <w:rsid w:val="525562DE"/>
    <w:rsid w:val="52567E52"/>
    <w:rsid w:val="52641A0B"/>
    <w:rsid w:val="526A51AF"/>
    <w:rsid w:val="526D3D70"/>
    <w:rsid w:val="527C3D83"/>
    <w:rsid w:val="52802154"/>
    <w:rsid w:val="528B4CAA"/>
    <w:rsid w:val="528C13A2"/>
    <w:rsid w:val="528E1B19"/>
    <w:rsid w:val="52AE6D26"/>
    <w:rsid w:val="52B636AC"/>
    <w:rsid w:val="52BF6099"/>
    <w:rsid w:val="52D935FA"/>
    <w:rsid w:val="52DA789D"/>
    <w:rsid w:val="52DB72E2"/>
    <w:rsid w:val="52E84EAB"/>
    <w:rsid w:val="52F13016"/>
    <w:rsid w:val="52FA4A88"/>
    <w:rsid w:val="530326EF"/>
    <w:rsid w:val="531955E1"/>
    <w:rsid w:val="532173A6"/>
    <w:rsid w:val="53311999"/>
    <w:rsid w:val="533C45DC"/>
    <w:rsid w:val="534534A3"/>
    <w:rsid w:val="53460BCE"/>
    <w:rsid w:val="534C36C4"/>
    <w:rsid w:val="535B5FF9"/>
    <w:rsid w:val="536D21D8"/>
    <w:rsid w:val="53796342"/>
    <w:rsid w:val="53820BB2"/>
    <w:rsid w:val="538B36FB"/>
    <w:rsid w:val="538D79B9"/>
    <w:rsid w:val="5393578F"/>
    <w:rsid w:val="5398169E"/>
    <w:rsid w:val="539911C5"/>
    <w:rsid w:val="53AA73C8"/>
    <w:rsid w:val="53C029D2"/>
    <w:rsid w:val="53C241C4"/>
    <w:rsid w:val="53C429B7"/>
    <w:rsid w:val="53D43002"/>
    <w:rsid w:val="53E81D64"/>
    <w:rsid w:val="53EB712E"/>
    <w:rsid w:val="53F5628E"/>
    <w:rsid w:val="540A4448"/>
    <w:rsid w:val="54183F4F"/>
    <w:rsid w:val="541C53CD"/>
    <w:rsid w:val="54241077"/>
    <w:rsid w:val="54251052"/>
    <w:rsid w:val="542E1E30"/>
    <w:rsid w:val="54391E2A"/>
    <w:rsid w:val="543F370E"/>
    <w:rsid w:val="54505D70"/>
    <w:rsid w:val="545C1B55"/>
    <w:rsid w:val="54631A1F"/>
    <w:rsid w:val="547055A0"/>
    <w:rsid w:val="54787ECC"/>
    <w:rsid w:val="54812C87"/>
    <w:rsid w:val="548361DF"/>
    <w:rsid w:val="54937C36"/>
    <w:rsid w:val="54957EB4"/>
    <w:rsid w:val="54AA7585"/>
    <w:rsid w:val="54AC3060"/>
    <w:rsid w:val="54AF794C"/>
    <w:rsid w:val="54B67786"/>
    <w:rsid w:val="54BB6BD3"/>
    <w:rsid w:val="54C63A10"/>
    <w:rsid w:val="54DA5C4C"/>
    <w:rsid w:val="54E50145"/>
    <w:rsid w:val="54F70681"/>
    <w:rsid w:val="54FB522F"/>
    <w:rsid w:val="55006CF5"/>
    <w:rsid w:val="550D5140"/>
    <w:rsid w:val="55132040"/>
    <w:rsid w:val="551A6E9C"/>
    <w:rsid w:val="55211C4B"/>
    <w:rsid w:val="55265024"/>
    <w:rsid w:val="55293427"/>
    <w:rsid w:val="553E6CB0"/>
    <w:rsid w:val="55437516"/>
    <w:rsid w:val="554A1CE4"/>
    <w:rsid w:val="554B0A2E"/>
    <w:rsid w:val="555A19E2"/>
    <w:rsid w:val="555A1E8E"/>
    <w:rsid w:val="555B33C1"/>
    <w:rsid w:val="55607B9B"/>
    <w:rsid w:val="5569463C"/>
    <w:rsid w:val="55755D7B"/>
    <w:rsid w:val="55757CBD"/>
    <w:rsid w:val="557C5594"/>
    <w:rsid w:val="55957379"/>
    <w:rsid w:val="55966F76"/>
    <w:rsid w:val="55AC349A"/>
    <w:rsid w:val="55B52048"/>
    <w:rsid w:val="55BD174C"/>
    <w:rsid w:val="55C81BB8"/>
    <w:rsid w:val="55CE6A55"/>
    <w:rsid w:val="55DF5269"/>
    <w:rsid w:val="55E216F8"/>
    <w:rsid w:val="55E25788"/>
    <w:rsid w:val="55E417AE"/>
    <w:rsid w:val="55EF6F20"/>
    <w:rsid w:val="55FF40FA"/>
    <w:rsid w:val="56047661"/>
    <w:rsid w:val="560D3F28"/>
    <w:rsid w:val="560F3D55"/>
    <w:rsid w:val="56105F34"/>
    <w:rsid w:val="56147900"/>
    <w:rsid w:val="561671B6"/>
    <w:rsid w:val="56231287"/>
    <w:rsid w:val="5629232E"/>
    <w:rsid w:val="562A339F"/>
    <w:rsid w:val="563450DB"/>
    <w:rsid w:val="563E0D12"/>
    <w:rsid w:val="56444033"/>
    <w:rsid w:val="5649778D"/>
    <w:rsid w:val="56582EC5"/>
    <w:rsid w:val="565A1147"/>
    <w:rsid w:val="565A6D9C"/>
    <w:rsid w:val="56635A76"/>
    <w:rsid w:val="566E512C"/>
    <w:rsid w:val="567808EC"/>
    <w:rsid w:val="56864983"/>
    <w:rsid w:val="568E7350"/>
    <w:rsid w:val="56984E38"/>
    <w:rsid w:val="569B4737"/>
    <w:rsid w:val="56A14117"/>
    <w:rsid w:val="56A47248"/>
    <w:rsid w:val="56B96F71"/>
    <w:rsid w:val="56C44362"/>
    <w:rsid w:val="56CA4BBB"/>
    <w:rsid w:val="56D83364"/>
    <w:rsid w:val="56DD6AC9"/>
    <w:rsid w:val="56E03E16"/>
    <w:rsid w:val="56ED3EE4"/>
    <w:rsid w:val="56F00B76"/>
    <w:rsid w:val="56F55395"/>
    <w:rsid w:val="56F745A8"/>
    <w:rsid w:val="56FF6F78"/>
    <w:rsid w:val="571635A1"/>
    <w:rsid w:val="57340FAF"/>
    <w:rsid w:val="57352F0E"/>
    <w:rsid w:val="57354B82"/>
    <w:rsid w:val="573B48F4"/>
    <w:rsid w:val="57415D44"/>
    <w:rsid w:val="57492FF5"/>
    <w:rsid w:val="574A5AA3"/>
    <w:rsid w:val="575C1A86"/>
    <w:rsid w:val="57767700"/>
    <w:rsid w:val="579A6EF3"/>
    <w:rsid w:val="579B330C"/>
    <w:rsid w:val="57A178D5"/>
    <w:rsid w:val="57A37560"/>
    <w:rsid w:val="57A83858"/>
    <w:rsid w:val="57AF5C54"/>
    <w:rsid w:val="57B2759A"/>
    <w:rsid w:val="57B42188"/>
    <w:rsid w:val="57B45112"/>
    <w:rsid w:val="57B4655E"/>
    <w:rsid w:val="57CC6CEA"/>
    <w:rsid w:val="57D70A47"/>
    <w:rsid w:val="57D903E2"/>
    <w:rsid w:val="57E005EC"/>
    <w:rsid w:val="57FB0019"/>
    <w:rsid w:val="580D4B29"/>
    <w:rsid w:val="581A5F5A"/>
    <w:rsid w:val="58215951"/>
    <w:rsid w:val="5822625D"/>
    <w:rsid w:val="58264612"/>
    <w:rsid w:val="58306021"/>
    <w:rsid w:val="583078AE"/>
    <w:rsid w:val="583D2C7F"/>
    <w:rsid w:val="5843317B"/>
    <w:rsid w:val="58507329"/>
    <w:rsid w:val="587D5FE6"/>
    <w:rsid w:val="58821087"/>
    <w:rsid w:val="588D22B7"/>
    <w:rsid w:val="588F1C60"/>
    <w:rsid w:val="58953FF1"/>
    <w:rsid w:val="589849BB"/>
    <w:rsid w:val="589A731F"/>
    <w:rsid w:val="58B41748"/>
    <w:rsid w:val="58C039AA"/>
    <w:rsid w:val="58C33DB9"/>
    <w:rsid w:val="58C425E3"/>
    <w:rsid w:val="58CF4446"/>
    <w:rsid w:val="58D1737A"/>
    <w:rsid w:val="58EE76E8"/>
    <w:rsid w:val="58F67780"/>
    <w:rsid w:val="58FD2B7C"/>
    <w:rsid w:val="58FF0E69"/>
    <w:rsid w:val="59174271"/>
    <w:rsid w:val="59206ABC"/>
    <w:rsid w:val="59256ED3"/>
    <w:rsid w:val="59271FEC"/>
    <w:rsid w:val="59350CC7"/>
    <w:rsid w:val="59393975"/>
    <w:rsid w:val="59417210"/>
    <w:rsid w:val="5946051F"/>
    <w:rsid w:val="595B07E0"/>
    <w:rsid w:val="59692FF0"/>
    <w:rsid w:val="597645D2"/>
    <w:rsid w:val="597E00FB"/>
    <w:rsid w:val="597E453F"/>
    <w:rsid w:val="597E49BB"/>
    <w:rsid w:val="59932EFC"/>
    <w:rsid w:val="59967306"/>
    <w:rsid w:val="599D37A3"/>
    <w:rsid w:val="59B10E52"/>
    <w:rsid w:val="59B76C32"/>
    <w:rsid w:val="59C67DEE"/>
    <w:rsid w:val="59C9568A"/>
    <w:rsid w:val="59E74322"/>
    <w:rsid w:val="5A002FA3"/>
    <w:rsid w:val="5A007E30"/>
    <w:rsid w:val="5A0343C9"/>
    <w:rsid w:val="5A08125A"/>
    <w:rsid w:val="5A0E7F63"/>
    <w:rsid w:val="5A160D56"/>
    <w:rsid w:val="5A2179FB"/>
    <w:rsid w:val="5A243921"/>
    <w:rsid w:val="5A2776EF"/>
    <w:rsid w:val="5A45521F"/>
    <w:rsid w:val="5A4752B6"/>
    <w:rsid w:val="5A5051A4"/>
    <w:rsid w:val="5A6A69B7"/>
    <w:rsid w:val="5A6B504C"/>
    <w:rsid w:val="5A885001"/>
    <w:rsid w:val="5A8960C5"/>
    <w:rsid w:val="5A99743F"/>
    <w:rsid w:val="5A9E1877"/>
    <w:rsid w:val="5AA87A7C"/>
    <w:rsid w:val="5AA91D17"/>
    <w:rsid w:val="5AAC1388"/>
    <w:rsid w:val="5AAC3162"/>
    <w:rsid w:val="5AB216C4"/>
    <w:rsid w:val="5ADD4D11"/>
    <w:rsid w:val="5AE26CDD"/>
    <w:rsid w:val="5AE42730"/>
    <w:rsid w:val="5AE75385"/>
    <w:rsid w:val="5AEA0953"/>
    <w:rsid w:val="5AEC23B4"/>
    <w:rsid w:val="5B052047"/>
    <w:rsid w:val="5B0F7EB6"/>
    <w:rsid w:val="5B266F16"/>
    <w:rsid w:val="5B32108D"/>
    <w:rsid w:val="5B3625B8"/>
    <w:rsid w:val="5B3B3368"/>
    <w:rsid w:val="5B3F47FC"/>
    <w:rsid w:val="5B41351D"/>
    <w:rsid w:val="5B624147"/>
    <w:rsid w:val="5B640BA4"/>
    <w:rsid w:val="5B7339AD"/>
    <w:rsid w:val="5B813703"/>
    <w:rsid w:val="5B842A8E"/>
    <w:rsid w:val="5B860FB3"/>
    <w:rsid w:val="5B9F61D8"/>
    <w:rsid w:val="5BA86394"/>
    <w:rsid w:val="5BB44453"/>
    <w:rsid w:val="5BB82B14"/>
    <w:rsid w:val="5BB95B06"/>
    <w:rsid w:val="5BC03858"/>
    <w:rsid w:val="5BD536D5"/>
    <w:rsid w:val="5BF2787E"/>
    <w:rsid w:val="5BFA335F"/>
    <w:rsid w:val="5C322A65"/>
    <w:rsid w:val="5C46536D"/>
    <w:rsid w:val="5C526F7B"/>
    <w:rsid w:val="5C595364"/>
    <w:rsid w:val="5C6C51C1"/>
    <w:rsid w:val="5C7A5FB4"/>
    <w:rsid w:val="5C7B6810"/>
    <w:rsid w:val="5C7D7589"/>
    <w:rsid w:val="5C7E1616"/>
    <w:rsid w:val="5C805B19"/>
    <w:rsid w:val="5C8252D4"/>
    <w:rsid w:val="5C84485C"/>
    <w:rsid w:val="5C861F85"/>
    <w:rsid w:val="5C917CB2"/>
    <w:rsid w:val="5C92145C"/>
    <w:rsid w:val="5C99030E"/>
    <w:rsid w:val="5C9A4295"/>
    <w:rsid w:val="5C9B4F43"/>
    <w:rsid w:val="5C9E3C9E"/>
    <w:rsid w:val="5CAD01E8"/>
    <w:rsid w:val="5CB149DB"/>
    <w:rsid w:val="5CC434C5"/>
    <w:rsid w:val="5CD3177D"/>
    <w:rsid w:val="5CD40035"/>
    <w:rsid w:val="5CDC0140"/>
    <w:rsid w:val="5CDF2B73"/>
    <w:rsid w:val="5CE9458D"/>
    <w:rsid w:val="5D0449CF"/>
    <w:rsid w:val="5D0E21AC"/>
    <w:rsid w:val="5D3468C4"/>
    <w:rsid w:val="5D3B635D"/>
    <w:rsid w:val="5D434714"/>
    <w:rsid w:val="5D457A5D"/>
    <w:rsid w:val="5D4E3012"/>
    <w:rsid w:val="5D4E3C68"/>
    <w:rsid w:val="5D5F23EC"/>
    <w:rsid w:val="5D797731"/>
    <w:rsid w:val="5D7E7E9A"/>
    <w:rsid w:val="5DA70253"/>
    <w:rsid w:val="5DA82CCD"/>
    <w:rsid w:val="5DCB09A1"/>
    <w:rsid w:val="5DDC29E4"/>
    <w:rsid w:val="5E0E1390"/>
    <w:rsid w:val="5E12327B"/>
    <w:rsid w:val="5E213EF8"/>
    <w:rsid w:val="5E2C29D6"/>
    <w:rsid w:val="5E2F5CFC"/>
    <w:rsid w:val="5E3036B9"/>
    <w:rsid w:val="5E32252F"/>
    <w:rsid w:val="5E42228C"/>
    <w:rsid w:val="5E464496"/>
    <w:rsid w:val="5E4A311E"/>
    <w:rsid w:val="5E4F6F60"/>
    <w:rsid w:val="5E61698D"/>
    <w:rsid w:val="5E7E60A9"/>
    <w:rsid w:val="5E901A68"/>
    <w:rsid w:val="5EB17513"/>
    <w:rsid w:val="5EB860D2"/>
    <w:rsid w:val="5EBC2E54"/>
    <w:rsid w:val="5EDA2CAC"/>
    <w:rsid w:val="5EDB00E0"/>
    <w:rsid w:val="5EDE5287"/>
    <w:rsid w:val="5EE61F49"/>
    <w:rsid w:val="5F1950E1"/>
    <w:rsid w:val="5F1E54FC"/>
    <w:rsid w:val="5F1E7070"/>
    <w:rsid w:val="5F315AA9"/>
    <w:rsid w:val="5F3F74F9"/>
    <w:rsid w:val="5F445B2E"/>
    <w:rsid w:val="5F5A7308"/>
    <w:rsid w:val="5F5F359D"/>
    <w:rsid w:val="5F6E41B1"/>
    <w:rsid w:val="5F714634"/>
    <w:rsid w:val="5F714A57"/>
    <w:rsid w:val="5F715D02"/>
    <w:rsid w:val="5F785CFF"/>
    <w:rsid w:val="5F7B5532"/>
    <w:rsid w:val="5F8139F8"/>
    <w:rsid w:val="5F8C05DD"/>
    <w:rsid w:val="5F9136E2"/>
    <w:rsid w:val="5F945C6E"/>
    <w:rsid w:val="5F9609A6"/>
    <w:rsid w:val="5F976056"/>
    <w:rsid w:val="5F9A541A"/>
    <w:rsid w:val="5FA03C55"/>
    <w:rsid w:val="5FA96BB5"/>
    <w:rsid w:val="5FC26490"/>
    <w:rsid w:val="5FCB0FAC"/>
    <w:rsid w:val="5FCC0F20"/>
    <w:rsid w:val="5FE3287C"/>
    <w:rsid w:val="5FE502FA"/>
    <w:rsid w:val="5FE70EEA"/>
    <w:rsid w:val="5FEF66DA"/>
    <w:rsid w:val="5FF727EF"/>
    <w:rsid w:val="600A2620"/>
    <w:rsid w:val="600B371A"/>
    <w:rsid w:val="600D7226"/>
    <w:rsid w:val="60177C95"/>
    <w:rsid w:val="601C03AD"/>
    <w:rsid w:val="60226395"/>
    <w:rsid w:val="60282BEF"/>
    <w:rsid w:val="602B20E7"/>
    <w:rsid w:val="602F7A19"/>
    <w:rsid w:val="603C224B"/>
    <w:rsid w:val="60444B10"/>
    <w:rsid w:val="604C03D2"/>
    <w:rsid w:val="60612816"/>
    <w:rsid w:val="60615277"/>
    <w:rsid w:val="60695999"/>
    <w:rsid w:val="607346D5"/>
    <w:rsid w:val="60735B3E"/>
    <w:rsid w:val="608D470F"/>
    <w:rsid w:val="608F1164"/>
    <w:rsid w:val="60A023E2"/>
    <w:rsid w:val="60A46B98"/>
    <w:rsid w:val="60AC0BDD"/>
    <w:rsid w:val="60C86DFB"/>
    <w:rsid w:val="60D46DAF"/>
    <w:rsid w:val="60D52922"/>
    <w:rsid w:val="60F87B91"/>
    <w:rsid w:val="6100676D"/>
    <w:rsid w:val="61032C9D"/>
    <w:rsid w:val="610757A6"/>
    <w:rsid w:val="610A1465"/>
    <w:rsid w:val="6110560E"/>
    <w:rsid w:val="61122616"/>
    <w:rsid w:val="61124738"/>
    <w:rsid w:val="61143FE6"/>
    <w:rsid w:val="61224AC8"/>
    <w:rsid w:val="612416C4"/>
    <w:rsid w:val="612F062B"/>
    <w:rsid w:val="61316948"/>
    <w:rsid w:val="61355264"/>
    <w:rsid w:val="61366397"/>
    <w:rsid w:val="613D1908"/>
    <w:rsid w:val="61466D6C"/>
    <w:rsid w:val="61651B50"/>
    <w:rsid w:val="616A3F24"/>
    <w:rsid w:val="616B34F1"/>
    <w:rsid w:val="61732F18"/>
    <w:rsid w:val="61762A25"/>
    <w:rsid w:val="61945767"/>
    <w:rsid w:val="61967EE9"/>
    <w:rsid w:val="619F0AE4"/>
    <w:rsid w:val="61A8544A"/>
    <w:rsid w:val="61B34920"/>
    <w:rsid w:val="61B8363E"/>
    <w:rsid w:val="61D35210"/>
    <w:rsid w:val="61D62588"/>
    <w:rsid w:val="61E10F96"/>
    <w:rsid w:val="61E20CAB"/>
    <w:rsid w:val="61E26A39"/>
    <w:rsid w:val="61EA1899"/>
    <w:rsid w:val="61EE361C"/>
    <w:rsid w:val="61F2346C"/>
    <w:rsid w:val="61F3564A"/>
    <w:rsid w:val="620455FF"/>
    <w:rsid w:val="62051E5E"/>
    <w:rsid w:val="620751EB"/>
    <w:rsid w:val="62096860"/>
    <w:rsid w:val="620D5CAE"/>
    <w:rsid w:val="620F5FBB"/>
    <w:rsid w:val="621B439A"/>
    <w:rsid w:val="622542A4"/>
    <w:rsid w:val="622F4676"/>
    <w:rsid w:val="62357B4C"/>
    <w:rsid w:val="623C3E79"/>
    <w:rsid w:val="624B1DCB"/>
    <w:rsid w:val="624D3860"/>
    <w:rsid w:val="62642BCA"/>
    <w:rsid w:val="627E4AA6"/>
    <w:rsid w:val="628C2580"/>
    <w:rsid w:val="6299479C"/>
    <w:rsid w:val="62AE5634"/>
    <w:rsid w:val="62B775E1"/>
    <w:rsid w:val="62B8695E"/>
    <w:rsid w:val="62C054DC"/>
    <w:rsid w:val="62C20E6C"/>
    <w:rsid w:val="62D50569"/>
    <w:rsid w:val="62D877BF"/>
    <w:rsid w:val="62DD303E"/>
    <w:rsid w:val="62E03F56"/>
    <w:rsid w:val="62EB1915"/>
    <w:rsid w:val="62F05B79"/>
    <w:rsid w:val="62F43C66"/>
    <w:rsid w:val="62F54D21"/>
    <w:rsid w:val="62F83111"/>
    <w:rsid w:val="630E2BEE"/>
    <w:rsid w:val="63145F63"/>
    <w:rsid w:val="63153B67"/>
    <w:rsid w:val="63191F45"/>
    <w:rsid w:val="631A114F"/>
    <w:rsid w:val="631F4897"/>
    <w:rsid w:val="63247998"/>
    <w:rsid w:val="6327117C"/>
    <w:rsid w:val="633270F6"/>
    <w:rsid w:val="63340F00"/>
    <w:rsid w:val="633849E8"/>
    <w:rsid w:val="633F742D"/>
    <w:rsid w:val="63446387"/>
    <w:rsid w:val="63541E44"/>
    <w:rsid w:val="6359534E"/>
    <w:rsid w:val="636C63D7"/>
    <w:rsid w:val="637A1FAF"/>
    <w:rsid w:val="638350A5"/>
    <w:rsid w:val="63854194"/>
    <w:rsid w:val="639123D5"/>
    <w:rsid w:val="63936CEA"/>
    <w:rsid w:val="63945C4D"/>
    <w:rsid w:val="639532D1"/>
    <w:rsid w:val="63A91068"/>
    <w:rsid w:val="63AA53D6"/>
    <w:rsid w:val="63AF6032"/>
    <w:rsid w:val="63B7308A"/>
    <w:rsid w:val="63BA23B1"/>
    <w:rsid w:val="63BE0768"/>
    <w:rsid w:val="63BE1EAF"/>
    <w:rsid w:val="63BE38DD"/>
    <w:rsid w:val="63BE4877"/>
    <w:rsid w:val="63CC1E6C"/>
    <w:rsid w:val="63D42E6F"/>
    <w:rsid w:val="63D56733"/>
    <w:rsid w:val="63DF01FA"/>
    <w:rsid w:val="63ED7418"/>
    <w:rsid w:val="63F55F2B"/>
    <w:rsid w:val="640E09AC"/>
    <w:rsid w:val="641423F7"/>
    <w:rsid w:val="6414705B"/>
    <w:rsid w:val="6418742C"/>
    <w:rsid w:val="64241675"/>
    <w:rsid w:val="642E0DC1"/>
    <w:rsid w:val="64383811"/>
    <w:rsid w:val="643B1DDB"/>
    <w:rsid w:val="64527EE2"/>
    <w:rsid w:val="6463704A"/>
    <w:rsid w:val="64680B35"/>
    <w:rsid w:val="646D4927"/>
    <w:rsid w:val="64746411"/>
    <w:rsid w:val="64773568"/>
    <w:rsid w:val="64784319"/>
    <w:rsid w:val="648A53C3"/>
    <w:rsid w:val="649609B3"/>
    <w:rsid w:val="649C3ACA"/>
    <w:rsid w:val="64AD6C47"/>
    <w:rsid w:val="64AF3495"/>
    <w:rsid w:val="64B1582E"/>
    <w:rsid w:val="64C007C5"/>
    <w:rsid w:val="64C25AE1"/>
    <w:rsid w:val="64CC53E2"/>
    <w:rsid w:val="64D8522D"/>
    <w:rsid w:val="64F459EF"/>
    <w:rsid w:val="64FC6A39"/>
    <w:rsid w:val="64FF5554"/>
    <w:rsid w:val="64FF5B33"/>
    <w:rsid w:val="650C735C"/>
    <w:rsid w:val="651A528F"/>
    <w:rsid w:val="652210F7"/>
    <w:rsid w:val="65252373"/>
    <w:rsid w:val="652D20EA"/>
    <w:rsid w:val="65310787"/>
    <w:rsid w:val="65320BD1"/>
    <w:rsid w:val="654A0485"/>
    <w:rsid w:val="655679F7"/>
    <w:rsid w:val="655C0221"/>
    <w:rsid w:val="656A3DE1"/>
    <w:rsid w:val="656B28FD"/>
    <w:rsid w:val="657958FF"/>
    <w:rsid w:val="657A4E84"/>
    <w:rsid w:val="657F02BE"/>
    <w:rsid w:val="6584001B"/>
    <w:rsid w:val="658558D2"/>
    <w:rsid w:val="658B2995"/>
    <w:rsid w:val="65911C80"/>
    <w:rsid w:val="65981B19"/>
    <w:rsid w:val="65A264C4"/>
    <w:rsid w:val="65AC7F98"/>
    <w:rsid w:val="65AF7515"/>
    <w:rsid w:val="65B01F8D"/>
    <w:rsid w:val="65D63A96"/>
    <w:rsid w:val="65F46A63"/>
    <w:rsid w:val="65FF233E"/>
    <w:rsid w:val="660367A1"/>
    <w:rsid w:val="6607745E"/>
    <w:rsid w:val="66093FCB"/>
    <w:rsid w:val="660C1008"/>
    <w:rsid w:val="66130AAB"/>
    <w:rsid w:val="66247877"/>
    <w:rsid w:val="663F3D5C"/>
    <w:rsid w:val="66442B47"/>
    <w:rsid w:val="6645606B"/>
    <w:rsid w:val="664A5DB0"/>
    <w:rsid w:val="664F5592"/>
    <w:rsid w:val="666138BE"/>
    <w:rsid w:val="666B61C1"/>
    <w:rsid w:val="66704DB8"/>
    <w:rsid w:val="667430BA"/>
    <w:rsid w:val="667A3068"/>
    <w:rsid w:val="667D6E94"/>
    <w:rsid w:val="667E376F"/>
    <w:rsid w:val="66814262"/>
    <w:rsid w:val="6687181F"/>
    <w:rsid w:val="66956B8B"/>
    <w:rsid w:val="66991703"/>
    <w:rsid w:val="669D565A"/>
    <w:rsid w:val="669D5DF0"/>
    <w:rsid w:val="66A04B27"/>
    <w:rsid w:val="66AB0232"/>
    <w:rsid w:val="66AC42E9"/>
    <w:rsid w:val="66B20A89"/>
    <w:rsid w:val="66B327B0"/>
    <w:rsid w:val="66B57968"/>
    <w:rsid w:val="66B92610"/>
    <w:rsid w:val="66C65DA4"/>
    <w:rsid w:val="66CB27C0"/>
    <w:rsid w:val="66CD7497"/>
    <w:rsid w:val="66D34184"/>
    <w:rsid w:val="66D525AE"/>
    <w:rsid w:val="66E67C21"/>
    <w:rsid w:val="66EA41B3"/>
    <w:rsid w:val="66F939B6"/>
    <w:rsid w:val="67027284"/>
    <w:rsid w:val="670C4DEA"/>
    <w:rsid w:val="670C7D7C"/>
    <w:rsid w:val="67475E38"/>
    <w:rsid w:val="67537032"/>
    <w:rsid w:val="67656864"/>
    <w:rsid w:val="6766467F"/>
    <w:rsid w:val="676B362B"/>
    <w:rsid w:val="676D60D7"/>
    <w:rsid w:val="67775F53"/>
    <w:rsid w:val="67805079"/>
    <w:rsid w:val="67873F03"/>
    <w:rsid w:val="679773D7"/>
    <w:rsid w:val="679E131D"/>
    <w:rsid w:val="67A2624C"/>
    <w:rsid w:val="67AE39D7"/>
    <w:rsid w:val="67B010D9"/>
    <w:rsid w:val="67B42723"/>
    <w:rsid w:val="67C26BE9"/>
    <w:rsid w:val="67C935E9"/>
    <w:rsid w:val="67CD5390"/>
    <w:rsid w:val="67CF66A0"/>
    <w:rsid w:val="67D55811"/>
    <w:rsid w:val="67D73840"/>
    <w:rsid w:val="67DA09ED"/>
    <w:rsid w:val="67F41BB8"/>
    <w:rsid w:val="67F60BB7"/>
    <w:rsid w:val="67F87C16"/>
    <w:rsid w:val="67FB60A5"/>
    <w:rsid w:val="67FC1404"/>
    <w:rsid w:val="68022384"/>
    <w:rsid w:val="6806232A"/>
    <w:rsid w:val="680901EC"/>
    <w:rsid w:val="680B049B"/>
    <w:rsid w:val="681329CD"/>
    <w:rsid w:val="682870E2"/>
    <w:rsid w:val="682B1DC8"/>
    <w:rsid w:val="68514045"/>
    <w:rsid w:val="68541A0A"/>
    <w:rsid w:val="686E2CBE"/>
    <w:rsid w:val="68995A67"/>
    <w:rsid w:val="689E408E"/>
    <w:rsid w:val="68B77FEA"/>
    <w:rsid w:val="68BE2805"/>
    <w:rsid w:val="68CC65D0"/>
    <w:rsid w:val="68D121D5"/>
    <w:rsid w:val="68D8103F"/>
    <w:rsid w:val="68EE6D9D"/>
    <w:rsid w:val="68FB681C"/>
    <w:rsid w:val="69005F31"/>
    <w:rsid w:val="69010FD4"/>
    <w:rsid w:val="69214F2D"/>
    <w:rsid w:val="69294D34"/>
    <w:rsid w:val="6934460D"/>
    <w:rsid w:val="693508DD"/>
    <w:rsid w:val="694A5299"/>
    <w:rsid w:val="694E280C"/>
    <w:rsid w:val="695568D4"/>
    <w:rsid w:val="69607A6C"/>
    <w:rsid w:val="696B7A43"/>
    <w:rsid w:val="696D0FD1"/>
    <w:rsid w:val="697C6401"/>
    <w:rsid w:val="697D34E1"/>
    <w:rsid w:val="69822039"/>
    <w:rsid w:val="69865073"/>
    <w:rsid w:val="698C58DA"/>
    <w:rsid w:val="69954DA9"/>
    <w:rsid w:val="6999348E"/>
    <w:rsid w:val="69A7696E"/>
    <w:rsid w:val="69AB6664"/>
    <w:rsid w:val="69C37CDD"/>
    <w:rsid w:val="69CD70A4"/>
    <w:rsid w:val="69D973C3"/>
    <w:rsid w:val="69DF007F"/>
    <w:rsid w:val="69F27551"/>
    <w:rsid w:val="6A017D99"/>
    <w:rsid w:val="6A095812"/>
    <w:rsid w:val="6A114CCF"/>
    <w:rsid w:val="6A195EB9"/>
    <w:rsid w:val="6A322912"/>
    <w:rsid w:val="6A483D54"/>
    <w:rsid w:val="6A497372"/>
    <w:rsid w:val="6A4C7F9A"/>
    <w:rsid w:val="6A4E7F60"/>
    <w:rsid w:val="6A4F0FE3"/>
    <w:rsid w:val="6A632100"/>
    <w:rsid w:val="6A647A43"/>
    <w:rsid w:val="6A6E3D8A"/>
    <w:rsid w:val="6A702E47"/>
    <w:rsid w:val="6A81003E"/>
    <w:rsid w:val="6A907C90"/>
    <w:rsid w:val="6ABD2B8A"/>
    <w:rsid w:val="6AC122A3"/>
    <w:rsid w:val="6ACA5FB0"/>
    <w:rsid w:val="6ACF4C27"/>
    <w:rsid w:val="6ADE18EE"/>
    <w:rsid w:val="6ADF3594"/>
    <w:rsid w:val="6AE73F4D"/>
    <w:rsid w:val="6AF17318"/>
    <w:rsid w:val="6B0B1D32"/>
    <w:rsid w:val="6B0F0139"/>
    <w:rsid w:val="6B0F0659"/>
    <w:rsid w:val="6B2142CE"/>
    <w:rsid w:val="6B2315D2"/>
    <w:rsid w:val="6B25182E"/>
    <w:rsid w:val="6B276A3E"/>
    <w:rsid w:val="6B30021B"/>
    <w:rsid w:val="6B3B0707"/>
    <w:rsid w:val="6B471513"/>
    <w:rsid w:val="6B56083E"/>
    <w:rsid w:val="6B5D2250"/>
    <w:rsid w:val="6B5F2E07"/>
    <w:rsid w:val="6B6B376C"/>
    <w:rsid w:val="6B7C613A"/>
    <w:rsid w:val="6B7F0990"/>
    <w:rsid w:val="6B850C29"/>
    <w:rsid w:val="6B954CEF"/>
    <w:rsid w:val="6BA840D6"/>
    <w:rsid w:val="6BAD2A66"/>
    <w:rsid w:val="6BB87FC4"/>
    <w:rsid w:val="6BBE61C0"/>
    <w:rsid w:val="6BBF5714"/>
    <w:rsid w:val="6BCC3A25"/>
    <w:rsid w:val="6BD46B4D"/>
    <w:rsid w:val="6BDE22A7"/>
    <w:rsid w:val="6BE73798"/>
    <w:rsid w:val="6BEC2FCA"/>
    <w:rsid w:val="6BF419EF"/>
    <w:rsid w:val="6BFF2E92"/>
    <w:rsid w:val="6C115C28"/>
    <w:rsid w:val="6C182FA3"/>
    <w:rsid w:val="6C1A082E"/>
    <w:rsid w:val="6C3707E3"/>
    <w:rsid w:val="6C5D623A"/>
    <w:rsid w:val="6C693AEA"/>
    <w:rsid w:val="6C6958BA"/>
    <w:rsid w:val="6C69732B"/>
    <w:rsid w:val="6C6A2B82"/>
    <w:rsid w:val="6C6E6BE1"/>
    <w:rsid w:val="6C6F3102"/>
    <w:rsid w:val="6C784971"/>
    <w:rsid w:val="6C7B7533"/>
    <w:rsid w:val="6C860712"/>
    <w:rsid w:val="6C860B71"/>
    <w:rsid w:val="6C863AD3"/>
    <w:rsid w:val="6C8F0FB6"/>
    <w:rsid w:val="6C975335"/>
    <w:rsid w:val="6C995B9F"/>
    <w:rsid w:val="6C9C715F"/>
    <w:rsid w:val="6CB03800"/>
    <w:rsid w:val="6CB36312"/>
    <w:rsid w:val="6CB543F8"/>
    <w:rsid w:val="6CD3191A"/>
    <w:rsid w:val="6CE83B52"/>
    <w:rsid w:val="6CFD7470"/>
    <w:rsid w:val="6D193B0B"/>
    <w:rsid w:val="6D1E7058"/>
    <w:rsid w:val="6D2162B4"/>
    <w:rsid w:val="6D216DEF"/>
    <w:rsid w:val="6D222178"/>
    <w:rsid w:val="6D2C13DF"/>
    <w:rsid w:val="6D2F5008"/>
    <w:rsid w:val="6D351109"/>
    <w:rsid w:val="6D39408A"/>
    <w:rsid w:val="6D535020"/>
    <w:rsid w:val="6D644C93"/>
    <w:rsid w:val="6D6A5CC8"/>
    <w:rsid w:val="6D6B3F91"/>
    <w:rsid w:val="6D7538E1"/>
    <w:rsid w:val="6D7707C3"/>
    <w:rsid w:val="6D86428B"/>
    <w:rsid w:val="6D8901BC"/>
    <w:rsid w:val="6D9346AE"/>
    <w:rsid w:val="6DB16CB7"/>
    <w:rsid w:val="6DB22D18"/>
    <w:rsid w:val="6DB23612"/>
    <w:rsid w:val="6DB96B12"/>
    <w:rsid w:val="6DC30A82"/>
    <w:rsid w:val="6DC918BA"/>
    <w:rsid w:val="6DCE7E6C"/>
    <w:rsid w:val="6DD16FED"/>
    <w:rsid w:val="6DE04488"/>
    <w:rsid w:val="6DEE7E36"/>
    <w:rsid w:val="6DF90DFC"/>
    <w:rsid w:val="6DF932A5"/>
    <w:rsid w:val="6E132BBF"/>
    <w:rsid w:val="6E154224"/>
    <w:rsid w:val="6E156AB9"/>
    <w:rsid w:val="6E255579"/>
    <w:rsid w:val="6E2A1D7A"/>
    <w:rsid w:val="6E347D9E"/>
    <w:rsid w:val="6E39640B"/>
    <w:rsid w:val="6E457FD7"/>
    <w:rsid w:val="6E4E1431"/>
    <w:rsid w:val="6E5140E8"/>
    <w:rsid w:val="6E523ECC"/>
    <w:rsid w:val="6E6A4D62"/>
    <w:rsid w:val="6E733917"/>
    <w:rsid w:val="6E777980"/>
    <w:rsid w:val="6E8C433E"/>
    <w:rsid w:val="6E915325"/>
    <w:rsid w:val="6E950807"/>
    <w:rsid w:val="6E9555FC"/>
    <w:rsid w:val="6E9C45CA"/>
    <w:rsid w:val="6EBF54EA"/>
    <w:rsid w:val="6ECB09B7"/>
    <w:rsid w:val="6ECC5B21"/>
    <w:rsid w:val="6ED0560A"/>
    <w:rsid w:val="6EE62D04"/>
    <w:rsid w:val="6EF05FA7"/>
    <w:rsid w:val="6EF43A7A"/>
    <w:rsid w:val="6F097E86"/>
    <w:rsid w:val="6F151595"/>
    <w:rsid w:val="6F2C025F"/>
    <w:rsid w:val="6F2C25D4"/>
    <w:rsid w:val="6F2D598D"/>
    <w:rsid w:val="6F4308A1"/>
    <w:rsid w:val="6F46405D"/>
    <w:rsid w:val="6F5603AA"/>
    <w:rsid w:val="6F582142"/>
    <w:rsid w:val="6F6311C3"/>
    <w:rsid w:val="6F6F143A"/>
    <w:rsid w:val="6F7B4F57"/>
    <w:rsid w:val="6F8173A5"/>
    <w:rsid w:val="6F8731F0"/>
    <w:rsid w:val="6F98023F"/>
    <w:rsid w:val="6F9F6911"/>
    <w:rsid w:val="6FAF5EAE"/>
    <w:rsid w:val="6FBC0E57"/>
    <w:rsid w:val="6FC57B35"/>
    <w:rsid w:val="6FCB5618"/>
    <w:rsid w:val="6FE26034"/>
    <w:rsid w:val="6FF551F5"/>
    <w:rsid w:val="6FF901E4"/>
    <w:rsid w:val="6FFA68F6"/>
    <w:rsid w:val="7004100D"/>
    <w:rsid w:val="701820FB"/>
    <w:rsid w:val="70224DE3"/>
    <w:rsid w:val="703503A4"/>
    <w:rsid w:val="7036351C"/>
    <w:rsid w:val="703D6CEF"/>
    <w:rsid w:val="70412B93"/>
    <w:rsid w:val="70553D44"/>
    <w:rsid w:val="705D42D1"/>
    <w:rsid w:val="7062375F"/>
    <w:rsid w:val="70706378"/>
    <w:rsid w:val="7075364D"/>
    <w:rsid w:val="70771B88"/>
    <w:rsid w:val="708B2925"/>
    <w:rsid w:val="708D6597"/>
    <w:rsid w:val="70B16ED7"/>
    <w:rsid w:val="70C06B12"/>
    <w:rsid w:val="70C55B89"/>
    <w:rsid w:val="70C95948"/>
    <w:rsid w:val="70CE5088"/>
    <w:rsid w:val="70D900D5"/>
    <w:rsid w:val="70E96DC7"/>
    <w:rsid w:val="70EC759C"/>
    <w:rsid w:val="70EF6FAE"/>
    <w:rsid w:val="71091DB7"/>
    <w:rsid w:val="710A05D6"/>
    <w:rsid w:val="71164870"/>
    <w:rsid w:val="71215B48"/>
    <w:rsid w:val="712357B2"/>
    <w:rsid w:val="712D66C5"/>
    <w:rsid w:val="71315B56"/>
    <w:rsid w:val="713425DE"/>
    <w:rsid w:val="71362F91"/>
    <w:rsid w:val="71380537"/>
    <w:rsid w:val="71395FAD"/>
    <w:rsid w:val="713C7860"/>
    <w:rsid w:val="7146313C"/>
    <w:rsid w:val="714862D6"/>
    <w:rsid w:val="7158707F"/>
    <w:rsid w:val="715F7096"/>
    <w:rsid w:val="71634934"/>
    <w:rsid w:val="71684551"/>
    <w:rsid w:val="716C7616"/>
    <w:rsid w:val="71723E36"/>
    <w:rsid w:val="71760E9C"/>
    <w:rsid w:val="71895007"/>
    <w:rsid w:val="718C2955"/>
    <w:rsid w:val="718C3250"/>
    <w:rsid w:val="719528E3"/>
    <w:rsid w:val="719C38AD"/>
    <w:rsid w:val="719D43E5"/>
    <w:rsid w:val="71BA2D03"/>
    <w:rsid w:val="71D13370"/>
    <w:rsid w:val="71D14DF2"/>
    <w:rsid w:val="71DD2475"/>
    <w:rsid w:val="71DD54E0"/>
    <w:rsid w:val="71E25D9B"/>
    <w:rsid w:val="71EA1849"/>
    <w:rsid w:val="71EF67A8"/>
    <w:rsid w:val="71FB2E51"/>
    <w:rsid w:val="71FC4024"/>
    <w:rsid w:val="72097561"/>
    <w:rsid w:val="721B506B"/>
    <w:rsid w:val="724033F7"/>
    <w:rsid w:val="72416679"/>
    <w:rsid w:val="72433065"/>
    <w:rsid w:val="72457278"/>
    <w:rsid w:val="726E0B11"/>
    <w:rsid w:val="72713340"/>
    <w:rsid w:val="727278A2"/>
    <w:rsid w:val="72762AFC"/>
    <w:rsid w:val="728175C3"/>
    <w:rsid w:val="728E5109"/>
    <w:rsid w:val="72A16F64"/>
    <w:rsid w:val="72A2415E"/>
    <w:rsid w:val="72AC288B"/>
    <w:rsid w:val="72B266AC"/>
    <w:rsid w:val="72BE6CD8"/>
    <w:rsid w:val="72C03295"/>
    <w:rsid w:val="72C346BD"/>
    <w:rsid w:val="72CE404E"/>
    <w:rsid w:val="72E47A77"/>
    <w:rsid w:val="72EB7CFE"/>
    <w:rsid w:val="72ED4786"/>
    <w:rsid w:val="72F341AD"/>
    <w:rsid w:val="72F5500F"/>
    <w:rsid w:val="72FD4B94"/>
    <w:rsid w:val="73035024"/>
    <w:rsid w:val="730942A2"/>
    <w:rsid w:val="731822C5"/>
    <w:rsid w:val="73261C73"/>
    <w:rsid w:val="73274383"/>
    <w:rsid w:val="73296A24"/>
    <w:rsid w:val="733B25A8"/>
    <w:rsid w:val="733E766B"/>
    <w:rsid w:val="733F3107"/>
    <w:rsid w:val="734A04E5"/>
    <w:rsid w:val="735019D7"/>
    <w:rsid w:val="736F044F"/>
    <w:rsid w:val="737410AC"/>
    <w:rsid w:val="73785F09"/>
    <w:rsid w:val="7391679E"/>
    <w:rsid w:val="73A53482"/>
    <w:rsid w:val="73AA5EEC"/>
    <w:rsid w:val="73B04236"/>
    <w:rsid w:val="73B431A6"/>
    <w:rsid w:val="73BB09D2"/>
    <w:rsid w:val="73BD186A"/>
    <w:rsid w:val="73BF77D7"/>
    <w:rsid w:val="73CB6CEC"/>
    <w:rsid w:val="73E27B00"/>
    <w:rsid w:val="73E65029"/>
    <w:rsid w:val="73EF42A9"/>
    <w:rsid w:val="73F017DA"/>
    <w:rsid w:val="73F07D9A"/>
    <w:rsid w:val="73F12351"/>
    <w:rsid w:val="73F41526"/>
    <w:rsid w:val="74090D59"/>
    <w:rsid w:val="74180BBF"/>
    <w:rsid w:val="74266B95"/>
    <w:rsid w:val="742E73BF"/>
    <w:rsid w:val="743D2A5D"/>
    <w:rsid w:val="74451C3B"/>
    <w:rsid w:val="744E4F7B"/>
    <w:rsid w:val="74566DBA"/>
    <w:rsid w:val="745A0BA9"/>
    <w:rsid w:val="745D2796"/>
    <w:rsid w:val="7460605D"/>
    <w:rsid w:val="74645E2C"/>
    <w:rsid w:val="747A5C59"/>
    <w:rsid w:val="747B1953"/>
    <w:rsid w:val="748D4D0B"/>
    <w:rsid w:val="748E529C"/>
    <w:rsid w:val="748F2873"/>
    <w:rsid w:val="74A27DD2"/>
    <w:rsid w:val="74AA513B"/>
    <w:rsid w:val="74B47A08"/>
    <w:rsid w:val="74C07362"/>
    <w:rsid w:val="74E0416E"/>
    <w:rsid w:val="74EE09B3"/>
    <w:rsid w:val="74F16FF8"/>
    <w:rsid w:val="75032417"/>
    <w:rsid w:val="75115B78"/>
    <w:rsid w:val="751630F3"/>
    <w:rsid w:val="751B0EF7"/>
    <w:rsid w:val="751D677C"/>
    <w:rsid w:val="751E11BF"/>
    <w:rsid w:val="75231E7F"/>
    <w:rsid w:val="75315F8E"/>
    <w:rsid w:val="75404706"/>
    <w:rsid w:val="7544346D"/>
    <w:rsid w:val="75494DE0"/>
    <w:rsid w:val="754A58F7"/>
    <w:rsid w:val="75590E73"/>
    <w:rsid w:val="755D4311"/>
    <w:rsid w:val="75684184"/>
    <w:rsid w:val="75782865"/>
    <w:rsid w:val="7580783F"/>
    <w:rsid w:val="758C07D1"/>
    <w:rsid w:val="759146BB"/>
    <w:rsid w:val="75A20554"/>
    <w:rsid w:val="75B30DD6"/>
    <w:rsid w:val="75C25231"/>
    <w:rsid w:val="75C876B4"/>
    <w:rsid w:val="75DF4381"/>
    <w:rsid w:val="75E142B9"/>
    <w:rsid w:val="75E5151B"/>
    <w:rsid w:val="75EC37AE"/>
    <w:rsid w:val="75F11993"/>
    <w:rsid w:val="75F16CCA"/>
    <w:rsid w:val="76054A17"/>
    <w:rsid w:val="76185AAD"/>
    <w:rsid w:val="76211AF6"/>
    <w:rsid w:val="76275FAE"/>
    <w:rsid w:val="762E39BD"/>
    <w:rsid w:val="763537F6"/>
    <w:rsid w:val="763B3B81"/>
    <w:rsid w:val="76417696"/>
    <w:rsid w:val="76453603"/>
    <w:rsid w:val="76686B17"/>
    <w:rsid w:val="766F7C81"/>
    <w:rsid w:val="76760936"/>
    <w:rsid w:val="767F314F"/>
    <w:rsid w:val="7683750C"/>
    <w:rsid w:val="769120F5"/>
    <w:rsid w:val="76940D5A"/>
    <w:rsid w:val="7695521B"/>
    <w:rsid w:val="769F638C"/>
    <w:rsid w:val="76A47599"/>
    <w:rsid w:val="76D11E42"/>
    <w:rsid w:val="76D5246B"/>
    <w:rsid w:val="76D613FE"/>
    <w:rsid w:val="76D61C06"/>
    <w:rsid w:val="77123450"/>
    <w:rsid w:val="771E342D"/>
    <w:rsid w:val="77241334"/>
    <w:rsid w:val="772E3EC9"/>
    <w:rsid w:val="778B74B3"/>
    <w:rsid w:val="778B78E0"/>
    <w:rsid w:val="779C66D3"/>
    <w:rsid w:val="77A52D33"/>
    <w:rsid w:val="77B86D8D"/>
    <w:rsid w:val="77B95085"/>
    <w:rsid w:val="77C82507"/>
    <w:rsid w:val="77C94A5C"/>
    <w:rsid w:val="77D51602"/>
    <w:rsid w:val="77F359E9"/>
    <w:rsid w:val="77FA3B58"/>
    <w:rsid w:val="780C26B5"/>
    <w:rsid w:val="780E6346"/>
    <w:rsid w:val="7810476F"/>
    <w:rsid w:val="781B4D0B"/>
    <w:rsid w:val="781B6277"/>
    <w:rsid w:val="782402F6"/>
    <w:rsid w:val="7826124C"/>
    <w:rsid w:val="782D5E70"/>
    <w:rsid w:val="782E0211"/>
    <w:rsid w:val="783E6B68"/>
    <w:rsid w:val="7840642F"/>
    <w:rsid w:val="78490F79"/>
    <w:rsid w:val="786308D6"/>
    <w:rsid w:val="786660BB"/>
    <w:rsid w:val="786D13B6"/>
    <w:rsid w:val="7876280E"/>
    <w:rsid w:val="787967A0"/>
    <w:rsid w:val="787E5DA4"/>
    <w:rsid w:val="7886011F"/>
    <w:rsid w:val="788620D6"/>
    <w:rsid w:val="788E4C33"/>
    <w:rsid w:val="789A14D5"/>
    <w:rsid w:val="78A23C35"/>
    <w:rsid w:val="78A7647D"/>
    <w:rsid w:val="78AE55B9"/>
    <w:rsid w:val="78B1241F"/>
    <w:rsid w:val="78B5402C"/>
    <w:rsid w:val="78C33580"/>
    <w:rsid w:val="78C44908"/>
    <w:rsid w:val="78CA3104"/>
    <w:rsid w:val="78CB1F2E"/>
    <w:rsid w:val="78CD5726"/>
    <w:rsid w:val="78DD724E"/>
    <w:rsid w:val="78E144CE"/>
    <w:rsid w:val="78E46F81"/>
    <w:rsid w:val="78E97DB2"/>
    <w:rsid w:val="78FB0EF8"/>
    <w:rsid w:val="78FD349A"/>
    <w:rsid w:val="78FE7A25"/>
    <w:rsid w:val="78FF7EDE"/>
    <w:rsid w:val="790300B9"/>
    <w:rsid w:val="792C6D0B"/>
    <w:rsid w:val="793731E3"/>
    <w:rsid w:val="79392389"/>
    <w:rsid w:val="793F4619"/>
    <w:rsid w:val="79476D94"/>
    <w:rsid w:val="795200ED"/>
    <w:rsid w:val="79533E74"/>
    <w:rsid w:val="79537BB7"/>
    <w:rsid w:val="79590D62"/>
    <w:rsid w:val="79651C45"/>
    <w:rsid w:val="796C1BE9"/>
    <w:rsid w:val="7972462B"/>
    <w:rsid w:val="79742E29"/>
    <w:rsid w:val="797C1FFB"/>
    <w:rsid w:val="798F727F"/>
    <w:rsid w:val="79933267"/>
    <w:rsid w:val="7998292C"/>
    <w:rsid w:val="79BC5130"/>
    <w:rsid w:val="79D5226E"/>
    <w:rsid w:val="79EF2722"/>
    <w:rsid w:val="79F075B1"/>
    <w:rsid w:val="79FB0C04"/>
    <w:rsid w:val="79FD459D"/>
    <w:rsid w:val="79FE5779"/>
    <w:rsid w:val="7A0144E6"/>
    <w:rsid w:val="7A082841"/>
    <w:rsid w:val="7A0C5205"/>
    <w:rsid w:val="7A314E83"/>
    <w:rsid w:val="7A31635E"/>
    <w:rsid w:val="7A320584"/>
    <w:rsid w:val="7A444B44"/>
    <w:rsid w:val="7A4568FC"/>
    <w:rsid w:val="7A6639DD"/>
    <w:rsid w:val="7A697475"/>
    <w:rsid w:val="7A6D79AA"/>
    <w:rsid w:val="7A7A62B5"/>
    <w:rsid w:val="7A7C4599"/>
    <w:rsid w:val="7A8157F4"/>
    <w:rsid w:val="7A8210D7"/>
    <w:rsid w:val="7A8E0619"/>
    <w:rsid w:val="7AC552F2"/>
    <w:rsid w:val="7AD53C91"/>
    <w:rsid w:val="7AD91D8E"/>
    <w:rsid w:val="7ADB5C40"/>
    <w:rsid w:val="7ADD7099"/>
    <w:rsid w:val="7AE53FA2"/>
    <w:rsid w:val="7AE91E92"/>
    <w:rsid w:val="7AF37660"/>
    <w:rsid w:val="7B126289"/>
    <w:rsid w:val="7B212D78"/>
    <w:rsid w:val="7B30530E"/>
    <w:rsid w:val="7B3846C8"/>
    <w:rsid w:val="7B390DDA"/>
    <w:rsid w:val="7B693808"/>
    <w:rsid w:val="7B6D58DE"/>
    <w:rsid w:val="7B7926A6"/>
    <w:rsid w:val="7B8F488C"/>
    <w:rsid w:val="7B974F1E"/>
    <w:rsid w:val="7B993DA4"/>
    <w:rsid w:val="7B9E0E8A"/>
    <w:rsid w:val="7B9F6CC8"/>
    <w:rsid w:val="7BAA71B9"/>
    <w:rsid w:val="7BAF7D8E"/>
    <w:rsid w:val="7BB07905"/>
    <w:rsid w:val="7BB10B07"/>
    <w:rsid w:val="7BB35BDB"/>
    <w:rsid w:val="7BBF1BA5"/>
    <w:rsid w:val="7BDC2D7A"/>
    <w:rsid w:val="7BF71F56"/>
    <w:rsid w:val="7BFB33F0"/>
    <w:rsid w:val="7C0433BA"/>
    <w:rsid w:val="7C0467F7"/>
    <w:rsid w:val="7C052A99"/>
    <w:rsid w:val="7C1C2365"/>
    <w:rsid w:val="7C440D38"/>
    <w:rsid w:val="7C4A0704"/>
    <w:rsid w:val="7C4A26E6"/>
    <w:rsid w:val="7C59098D"/>
    <w:rsid w:val="7C5D0A3D"/>
    <w:rsid w:val="7C816640"/>
    <w:rsid w:val="7C907C58"/>
    <w:rsid w:val="7C9573CA"/>
    <w:rsid w:val="7C973ADB"/>
    <w:rsid w:val="7C973CE5"/>
    <w:rsid w:val="7C9C5AAF"/>
    <w:rsid w:val="7CA26400"/>
    <w:rsid w:val="7CA504FC"/>
    <w:rsid w:val="7CA92D22"/>
    <w:rsid w:val="7CAB1228"/>
    <w:rsid w:val="7CB13DE8"/>
    <w:rsid w:val="7CB53CE5"/>
    <w:rsid w:val="7CB8747E"/>
    <w:rsid w:val="7CC66EA5"/>
    <w:rsid w:val="7CD91ED4"/>
    <w:rsid w:val="7CDA083F"/>
    <w:rsid w:val="7CDA4FD7"/>
    <w:rsid w:val="7CDE6632"/>
    <w:rsid w:val="7CE31486"/>
    <w:rsid w:val="7CE355AB"/>
    <w:rsid w:val="7CE95E3F"/>
    <w:rsid w:val="7CED4739"/>
    <w:rsid w:val="7CF81AC1"/>
    <w:rsid w:val="7D051E6D"/>
    <w:rsid w:val="7D130BAA"/>
    <w:rsid w:val="7D1D7C55"/>
    <w:rsid w:val="7D293E37"/>
    <w:rsid w:val="7D2C2A2C"/>
    <w:rsid w:val="7D342497"/>
    <w:rsid w:val="7D3C3A40"/>
    <w:rsid w:val="7D3D1E08"/>
    <w:rsid w:val="7D3F49EB"/>
    <w:rsid w:val="7D42460F"/>
    <w:rsid w:val="7D491923"/>
    <w:rsid w:val="7D4B0579"/>
    <w:rsid w:val="7D555FAC"/>
    <w:rsid w:val="7D5E6C78"/>
    <w:rsid w:val="7D625500"/>
    <w:rsid w:val="7D661AAB"/>
    <w:rsid w:val="7D6B63FA"/>
    <w:rsid w:val="7D6C6BA9"/>
    <w:rsid w:val="7D6E3D48"/>
    <w:rsid w:val="7D7F0A40"/>
    <w:rsid w:val="7D816A38"/>
    <w:rsid w:val="7D873270"/>
    <w:rsid w:val="7D8E409D"/>
    <w:rsid w:val="7D9E5BDD"/>
    <w:rsid w:val="7DC04326"/>
    <w:rsid w:val="7DC151FE"/>
    <w:rsid w:val="7DDA0FC1"/>
    <w:rsid w:val="7DDC6964"/>
    <w:rsid w:val="7DE065A7"/>
    <w:rsid w:val="7DE0719E"/>
    <w:rsid w:val="7DEB5334"/>
    <w:rsid w:val="7DF52D47"/>
    <w:rsid w:val="7DFA7B58"/>
    <w:rsid w:val="7E054DC3"/>
    <w:rsid w:val="7E0A7D52"/>
    <w:rsid w:val="7E0E2884"/>
    <w:rsid w:val="7E1813FE"/>
    <w:rsid w:val="7E250A47"/>
    <w:rsid w:val="7E276BB4"/>
    <w:rsid w:val="7E2B01D4"/>
    <w:rsid w:val="7E2E5534"/>
    <w:rsid w:val="7E2E67D3"/>
    <w:rsid w:val="7E3139AB"/>
    <w:rsid w:val="7E3B6737"/>
    <w:rsid w:val="7E631219"/>
    <w:rsid w:val="7E64128C"/>
    <w:rsid w:val="7E671940"/>
    <w:rsid w:val="7E7517E8"/>
    <w:rsid w:val="7E8E203F"/>
    <w:rsid w:val="7E8F25D0"/>
    <w:rsid w:val="7E923935"/>
    <w:rsid w:val="7EAB29B1"/>
    <w:rsid w:val="7EAC6DCF"/>
    <w:rsid w:val="7EAF3AF1"/>
    <w:rsid w:val="7EBC1F58"/>
    <w:rsid w:val="7EC27CB2"/>
    <w:rsid w:val="7EC9106A"/>
    <w:rsid w:val="7EC957DD"/>
    <w:rsid w:val="7ED14DB6"/>
    <w:rsid w:val="7ED16578"/>
    <w:rsid w:val="7EDC3B37"/>
    <w:rsid w:val="7EE75461"/>
    <w:rsid w:val="7EE76915"/>
    <w:rsid w:val="7EEC6E13"/>
    <w:rsid w:val="7EEC7F9A"/>
    <w:rsid w:val="7EF118F1"/>
    <w:rsid w:val="7EF47DC2"/>
    <w:rsid w:val="7EF60A7C"/>
    <w:rsid w:val="7F042F5C"/>
    <w:rsid w:val="7F0B68A2"/>
    <w:rsid w:val="7F115E56"/>
    <w:rsid w:val="7F2039B5"/>
    <w:rsid w:val="7F24500C"/>
    <w:rsid w:val="7F26493B"/>
    <w:rsid w:val="7F2A6727"/>
    <w:rsid w:val="7F4419AA"/>
    <w:rsid w:val="7F45214C"/>
    <w:rsid w:val="7F4E793F"/>
    <w:rsid w:val="7F5579B0"/>
    <w:rsid w:val="7F58405D"/>
    <w:rsid w:val="7F617E8B"/>
    <w:rsid w:val="7F6A7EA9"/>
    <w:rsid w:val="7F7807C4"/>
    <w:rsid w:val="7F7B5D9E"/>
    <w:rsid w:val="7F837A9D"/>
    <w:rsid w:val="7F947FF8"/>
    <w:rsid w:val="7F977394"/>
    <w:rsid w:val="7F9D1D7D"/>
    <w:rsid w:val="7F9E1A24"/>
    <w:rsid w:val="7FA450A9"/>
    <w:rsid w:val="7FA87001"/>
    <w:rsid w:val="7FB25208"/>
    <w:rsid w:val="7FB3330A"/>
    <w:rsid w:val="7FBE350D"/>
    <w:rsid w:val="7FCB08BB"/>
    <w:rsid w:val="7FCC0E95"/>
    <w:rsid w:val="7FD17A99"/>
    <w:rsid w:val="7FDA4E4D"/>
    <w:rsid w:val="7FE4197D"/>
    <w:rsid w:val="7FFC5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pPr>
    <w:rPr>
      <w:rFonts w:ascii="Tahoma" w:hAnsi="Tahoma" w:eastAsia="微软雅黑" w:cstheme="minorBidi"/>
      <w:sz w:val="22"/>
      <w:szCs w:val="22"/>
      <w:lang w:val="en-US" w:eastAsia="zh-CN" w:bidi="ar-SA"/>
    </w:rPr>
  </w:style>
  <w:style w:type="paragraph" w:styleId="4">
    <w:name w:val="heading 1"/>
    <w:basedOn w:val="1"/>
    <w:next w:val="1"/>
    <w:qFormat/>
    <w:uiPriority w:val="0"/>
    <w:pPr>
      <w:keepNext/>
      <w:keepLines/>
      <w:outlineLvl w:val="0"/>
    </w:pPr>
    <w:rPr>
      <w:b/>
      <w:bCs/>
      <w:kern w:val="44"/>
      <w:szCs w:val="44"/>
    </w:rPr>
  </w:style>
  <w:style w:type="paragraph" w:styleId="5">
    <w:name w:val="heading 2"/>
    <w:basedOn w:val="1"/>
    <w:next w:val="1"/>
    <w:qFormat/>
    <w:uiPriority w:val="0"/>
    <w:pPr>
      <w:keepNext/>
      <w:keepLines/>
      <w:spacing w:line="416" w:lineRule="auto"/>
      <w:outlineLvl w:val="1"/>
    </w:pPr>
    <w:rPr>
      <w:rFonts w:ascii="Arial" w:hAnsi="Arial" w:eastAsia="黑体"/>
      <w:b/>
      <w:bCs/>
      <w:kern w:val="2"/>
      <w:sz w:val="32"/>
      <w:szCs w:val="32"/>
    </w:rPr>
  </w:style>
  <w:style w:type="paragraph" w:styleId="6">
    <w:name w:val="heading 3"/>
    <w:basedOn w:val="1"/>
    <w:next w:val="1"/>
    <w:qFormat/>
    <w:uiPriority w:val="0"/>
    <w:pPr>
      <w:keepNext/>
      <w:outlineLvl w:val="2"/>
    </w:pPr>
    <w:rPr>
      <w:sz w:val="44"/>
      <w:shd w:val="pct10" w:color="auto" w:fill="FFFFFF"/>
    </w:rPr>
  </w:style>
  <w:style w:type="paragraph" w:styleId="7">
    <w:name w:val="heading 6"/>
    <w:basedOn w:val="1"/>
    <w:next w:val="1"/>
    <w:qFormat/>
    <w:uiPriority w:val="1"/>
    <w:pPr>
      <w:spacing w:before="26"/>
      <w:ind w:left="115"/>
      <w:outlineLvl w:val="6"/>
    </w:pPr>
    <w:rPr>
      <w:rFonts w:ascii="宋体" w:hAnsi="宋体" w:eastAsia="宋体"/>
      <w:b/>
      <w:bCs/>
      <w:sz w:val="24"/>
      <w:szCs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eastAsia="楷体_GB2312"/>
      <w:spacing w:val="-8"/>
      <w:sz w:val="24"/>
    </w:rPr>
  </w:style>
  <w:style w:type="paragraph" w:styleId="3">
    <w:name w:val="Note Heading"/>
    <w:basedOn w:val="1"/>
    <w:next w:val="1"/>
    <w:qFormat/>
    <w:uiPriority w:val="0"/>
    <w:pPr>
      <w:jc w:val="center"/>
    </w:pPr>
  </w:style>
  <w:style w:type="paragraph" w:styleId="8">
    <w:name w:val="table of authorities"/>
    <w:basedOn w:val="1"/>
    <w:next w:val="1"/>
    <w:semiHidden/>
    <w:qFormat/>
    <w:uiPriority w:val="0"/>
    <w:pPr>
      <w:ind w:left="420" w:leftChars="200"/>
    </w:pPr>
  </w:style>
  <w:style w:type="paragraph" w:styleId="9">
    <w:name w:val="Normal Indent"/>
    <w:basedOn w:val="1"/>
    <w:qFormat/>
    <w:uiPriority w:val="0"/>
    <w:pPr>
      <w:widowControl w:val="0"/>
      <w:spacing w:beforeLines="50" w:line="360" w:lineRule="auto"/>
      <w:ind w:firstLine="560" w:firstLineChars="200"/>
      <w:jc w:val="both"/>
    </w:pPr>
    <w:rPr>
      <w:kern w:val="2"/>
      <w:sz w:val="28"/>
    </w:rPr>
  </w:style>
  <w:style w:type="paragraph" w:styleId="10">
    <w:name w:val="caption"/>
    <w:basedOn w:val="1"/>
    <w:next w:val="1"/>
    <w:qFormat/>
    <w:uiPriority w:val="0"/>
    <w:pPr>
      <w:jc w:val="center"/>
    </w:pPr>
    <w:rPr>
      <w:rFonts w:ascii="Arial" w:hAnsi="Arial" w:cs="Arial"/>
      <w:sz w:val="24"/>
    </w:rPr>
  </w:style>
  <w:style w:type="paragraph" w:styleId="11">
    <w:name w:val="Document Map"/>
    <w:basedOn w:val="1"/>
    <w:link w:val="68"/>
    <w:qFormat/>
    <w:uiPriority w:val="0"/>
    <w:rPr>
      <w:rFonts w:ascii="宋体" w:eastAsia="宋体"/>
      <w:sz w:val="18"/>
      <w:szCs w:val="18"/>
    </w:rPr>
  </w:style>
  <w:style w:type="paragraph" w:styleId="12">
    <w:name w:val="annotation text"/>
    <w:basedOn w:val="1"/>
    <w:qFormat/>
    <w:uiPriority w:val="0"/>
  </w:style>
  <w:style w:type="paragraph" w:styleId="13">
    <w:name w:val="Body Text Indent"/>
    <w:basedOn w:val="1"/>
    <w:qFormat/>
    <w:uiPriority w:val="0"/>
    <w:pPr>
      <w:jc w:val="center"/>
    </w:pPr>
    <w:rPr>
      <w:rFonts w:eastAsia="楷体_GB2312"/>
      <w:sz w:val="24"/>
    </w:rPr>
  </w:style>
  <w:style w:type="paragraph" w:styleId="14">
    <w:name w:val="Block Text"/>
    <w:basedOn w:val="1"/>
    <w:qFormat/>
    <w:uiPriority w:val="0"/>
    <w:pPr>
      <w:spacing w:line="440" w:lineRule="exact"/>
      <w:ind w:left="113" w:right="113" w:firstLine="567"/>
    </w:pPr>
    <w:rPr>
      <w:rFonts w:ascii="仿宋_GB2312" w:eastAsia="仿宋_GB2312"/>
      <w:sz w:val="28"/>
      <w:szCs w:val="20"/>
    </w:rPr>
  </w:style>
  <w:style w:type="paragraph" w:styleId="15">
    <w:name w:val="Plain Text"/>
    <w:basedOn w:val="1"/>
    <w:unhideWhenUsed/>
    <w:qFormat/>
    <w:uiPriority w:val="99"/>
    <w:rPr>
      <w:rFonts w:ascii="宋体" w:hAnsi="Courier New"/>
      <w:sz w:val="20"/>
      <w:szCs w:val="21"/>
    </w:rPr>
  </w:style>
  <w:style w:type="paragraph" w:styleId="16">
    <w:name w:val="Body Text Indent 2"/>
    <w:basedOn w:val="1"/>
    <w:qFormat/>
    <w:uiPriority w:val="99"/>
    <w:pPr>
      <w:spacing w:after="120" w:line="480" w:lineRule="auto"/>
      <w:ind w:left="420" w:leftChars="200"/>
    </w:pPr>
  </w:style>
  <w:style w:type="paragraph" w:styleId="17">
    <w:name w:val="Balloon Text"/>
    <w:basedOn w:val="1"/>
    <w:link w:val="66"/>
    <w:qFormat/>
    <w:uiPriority w:val="0"/>
    <w:rPr>
      <w:sz w:val="18"/>
      <w:szCs w:val="18"/>
    </w:rPr>
  </w:style>
  <w:style w:type="paragraph" w:styleId="18">
    <w:name w:val="footer"/>
    <w:basedOn w:val="1"/>
    <w:link w:val="67"/>
    <w:qFormat/>
    <w:uiPriority w:val="99"/>
    <w:pPr>
      <w:tabs>
        <w:tab w:val="center" w:pos="4153"/>
        <w:tab w:val="right" w:pos="8306"/>
      </w:tabs>
    </w:pPr>
    <w:rPr>
      <w:sz w:val="18"/>
      <w:szCs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20">
    <w:name w:val="toc 1"/>
    <w:basedOn w:val="1"/>
    <w:next w:val="1"/>
    <w:qFormat/>
    <w:uiPriority w:val="0"/>
  </w:style>
  <w:style w:type="paragraph" w:styleId="21">
    <w:name w:val="List"/>
    <w:basedOn w:val="1"/>
    <w:qFormat/>
    <w:uiPriority w:val="0"/>
    <w:pPr>
      <w:ind w:left="200" w:hanging="200" w:hangingChars="200"/>
    </w:pPr>
  </w:style>
  <w:style w:type="paragraph" w:styleId="22">
    <w:name w:val="Normal (Web)"/>
    <w:basedOn w:val="1"/>
    <w:qFormat/>
    <w:uiPriority w:val="0"/>
    <w:pPr>
      <w:spacing w:before="100" w:beforeAutospacing="1" w:after="100" w:afterAutospacing="1"/>
    </w:pPr>
    <w:rPr>
      <w:rFonts w:ascii="宋体" w:hAnsi="宋体" w:cs="宋体"/>
      <w:sz w:val="24"/>
    </w:rPr>
  </w:style>
  <w:style w:type="paragraph" w:styleId="23">
    <w:name w:val="Body Text First Indent"/>
    <w:basedOn w:val="2"/>
    <w:qFormat/>
    <w:uiPriority w:val="0"/>
    <w:pPr>
      <w:ind w:firstLine="420" w:firstLineChars="100"/>
    </w:pPr>
    <w:rPr>
      <w:sz w:val="18"/>
    </w:rPr>
  </w:style>
  <w:style w:type="paragraph" w:styleId="24">
    <w:name w:val="Body Text First Indent 2"/>
    <w:basedOn w:val="13"/>
    <w:qFormat/>
    <w:uiPriority w:val="0"/>
    <w:pPr>
      <w:ind w:firstLine="42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FollowedHyperlink"/>
    <w:basedOn w:val="27"/>
    <w:qFormat/>
    <w:uiPriority w:val="0"/>
    <w:rPr>
      <w:color w:val="000000"/>
      <w:u w:val="none"/>
    </w:rPr>
  </w:style>
  <w:style w:type="character" w:styleId="30">
    <w:name w:val="Emphasis"/>
    <w:basedOn w:val="27"/>
    <w:qFormat/>
    <w:uiPriority w:val="0"/>
  </w:style>
  <w:style w:type="character" w:styleId="31">
    <w:name w:val="Hyperlink"/>
    <w:basedOn w:val="27"/>
    <w:qFormat/>
    <w:uiPriority w:val="0"/>
    <w:rPr>
      <w:color w:val="000000"/>
      <w:u w:val="none"/>
    </w:rPr>
  </w:style>
  <w:style w:type="character" w:styleId="32">
    <w:name w:val="annotation reference"/>
    <w:semiHidden/>
    <w:qFormat/>
    <w:uiPriority w:val="0"/>
    <w:rPr>
      <w:sz w:val="21"/>
      <w:szCs w:val="21"/>
    </w:rPr>
  </w:style>
  <w:style w:type="paragraph" w:customStyle="1" w:styleId="33">
    <w:name w:val="样式 首行缩进:  2 字符1"/>
    <w:basedOn w:val="1"/>
    <w:qFormat/>
    <w:uiPriority w:val="0"/>
    <w:pPr>
      <w:spacing w:line="360" w:lineRule="auto"/>
      <w:ind w:firstLine="480" w:firstLineChars="200"/>
    </w:pPr>
    <w:rPr>
      <w:rFonts w:cs="宋体"/>
      <w:szCs w:val="20"/>
    </w:rPr>
  </w:style>
  <w:style w:type="paragraph" w:customStyle="1" w:styleId="34">
    <w:name w:val="正文(首行缩进)"/>
    <w:basedOn w:val="1"/>
    <w:qFormat/>
    <w:uiPriority w:val="0"/>
    <w:pPr>
      <w:widowControl w:val="0"/>
      <w:adjustRightInd w:val="0"/>
      <w:snapToGrid w:val="0"/>
      <w:spacing w:line="360" w:lineRule="auto"/>
      <w:ind w:firstLine="200" w:firstLineChars="200"/>
      <w:jc w:val="both"/>
    </w:pPr>
    <w:rPr>
      <w:snapToGrid w:val="0"/>
      <w:szCs w:val="24"/>
    </w:rPr>
  </w:style>
  <w:style w:type="paragraph" w:customStyle="1" w:styleId="35">
    <w:name w:val="Char Char Char Char Char2 Char Char Char Char"/>
    <w:basedOn w:val="1"/>
    <w:qFormat/>
    <w:uiPriority w:val="0"/>
    <w:pPr>
      <w:spacing w:line="360" w:lineRule="auto"/>
      <w:ind w:firstLine="200" w:firstLineChars="200"/>
    </w:pPr>
  </w:style>
  <w:style w:type="paragraph" w:customStyle="1" w:styleId="36">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7">
    <w:name w:val="列出段落1"/>
    <w:basedOn w:val="1"/>
    <w:qFormat/>
    <w:uiPriority w:val="0"/>
    <w:pPr>
      <w:widowControl w:val="0"/>
      <w:adjustRightInd/>
      <w:snapToGrid/>
      <w:ind w:firstLine="420" w:firstLineChars="200"/>
      <w:jc w:val="both"/>
    </w:pPr>
    <w:rPr>
      <w:rFonts w:ascii="Times New Roman" w:hAnsi="Times New Roman" w:eastAsia="宋体"/>
      <w:kern w:val="2"/>
      <w:sz w:val="21"/>
      <w:szCs w:val="20"/>
    </w:rPr>
  </w:style>
  <w:style w:type="paragraph" w:customStyle="1" w:styleId="38">
    <w:name w:val="谢—正文"/>
    <w:basedOn w:val="1"/>
    <w:qFormat/>
    <w:uiPriority w:val="0"/>
    <w:pPr>
      <w:spacing w:line="500" w:lineRule="exact"/>
      <w:ind w:firstLine="200" w:firstLineChars="200"/>
    </w:pPr>
    <w:rPr>
      <w:rFonts w:eastAsia="楷体_GB2312"/>
      <w:sz w:val="28"/>
    </w:rPr>
  </w:style>
  <w:style w:type="paragraph" w:customStyle="1" w:styleId="39">
    <w:name w:val="p0"/>
    <w:basedOn w:val="1"/>
    <w:qFormat/>
    <w:uiPriority w:val="0"/>
    <w:pPr>
      <w:spacing w:line="365" w:lineRule="atLeast"/>
      <w:ind w:left="1"/>
      <w:textAlignment w:val="bottom"/>
    </w:pPr>
    <w:rPr>
      <w:sz w:val="20"/>
      <w:szCs w:val="20"/>
    </w:rPr>
  </w:style>
  <w:style w:type="paragraph" w:customStyle="1" w:styleId="40">
    <w:name w:val="表格1"/>
    <w:basedOn w:val="15"/>
    <w:next w:val="1"/>
    <w:qFormat/>
    <w:uiPriority w:val="0"/>
  </w:style>
  <w:style w:type="paragraph" w:customStyle="1" w:styleId="41">
    <w:name w:val="0正文"/>
    <w:basedOn w:val="1"/>
    <w:semiHidden/>
    <w:qFormat/>
    <w:uiPriority w:val="99"/>
    <w:pPr>
      <w:spacing w:line="360" w:lineRule="auto"/>
      <w:ind w:firstLine="720" w:firstLineChars="200"/>
    </w:pPr>
    <w:rPr>
      <w:sz w:val="24"/>
      <w:szCs w:val="24"/>
    </w:rPr>
  </w:style>
  <w:style w:type="paragraph" w:customStyle="1" w:styleId="42">
    <w:name w:val="表内容123"/>
    <w:basedOn w:val="1"/>
    <w:qFormat/>
    <w:uiPriority w:val="0"/>
    <w:pPr>
      <w:pBdr>
        <w:top w:val="none" w:color="auto" w:sz="0" w:space="1"/>
        <w:left w:val="none" w:color="auto" w:sz="0" w:space="4"/>
        <w:bottom w:val="none" w:color="auto" w:sz="0" w:space="1"/>
        <w:right w:val="none" w:color="auto" w:sz="0" w:space="4"/>
      </w:pBdr>
      <w:spacing w:line="340" w:lineRule="exact"/>
      <w:jc w:val="center"/>
    </w:pPr>
    <w:rPr>
      <w:rFonts w:ascii="Times New Roman" w:hAnsi="Times New Roman"/>
      <w:sz w:val="21"/>
    </w:rPr>
  </w:style>
  <w:style w:type="paragraph" w:customStyle="1" w:styleId="43">
    <w:name w:val="样式4"/>
    <w:basedOn w:val="2"/>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44">
    <w:name w:val="样式1"/>
    <w:basedOn w:val="1"/>
    <w:qFormat/>
    <w:uiPriority w:val="0"/>
    <w:pPr>
      <w:jc w:val="center"/>
    </w:pPr>
    <w:rPr>
      <w:sz w:val="21"/>
      <w:szCs w:val="21"/>
    </w:rPr>
  </w:style>
  <w:style w:type="paragraph" w:customStyle="1" w:styleId="45">
    <w:name w:val="图图正文"/>
    <w:basedOn w:val="1"/>
    <w:qFormat/>
    <w:uiPriority w:val="0"/>
    <w:pPr>
      <w:widowControl w:val="0"/>
      <w:spacing w:line="360" w:lineRule="auto"/>
      <w:ind w:firstLine="200" w:firstLineChars="200"/>
      <w:jc w:val="both"/>
    </w:pPr>
    <w:rPr>
      <w:kern w:val="2"/>
      <w:sz w:val="24"/>
      <w:szCs w:val="24"/>
    </w:rPr>
  </w:style>
  <w:style w:type="paragraph" w:customStyle="1" w:styleId="46">
    <w:name w:val="啊啊正文"/>
    <w:basedOn w:val="1"/>
    <w:qFormat/>
    <w:uiPriority w:val="0"/>
    <w:pPr>
      <w:autoSpaceDE w:val="0"/>
      <w:autoSpaceDN w:val="0"/>
      <w:spacing w:line="360" w:lineRule="auto"/>
      <w:ind w:firstLine="200" w:firstLineChars="200"/>
    </w:pPr>
    <w:rPr>
      <w:rFonts w:cs="仿宋_GB2312"/>
      <w:sz w:val="24"/>
      <w:szCs w:val="28"/>
      <w:lang w:val="zh-CN"/>
    </w:rPr>
  </w:style>
  <w:style w:type="paragraph" w:customStyle="1" w:styleId="47">
    <w:name w:val="宗兴正文"/>
    <w:basedOn w:val="1"/>
    <w:qFormat/>
    <w:uiPriority w:val="0"/>
    <w:pPr>
      <w:ind w:firstLine="200"/>
      <w:jc w:val="both"/>
    </w:pPr>
    <w:rPr>
      <w:rFonts w:ascii="宋体" w:hAnsi="宋体"/>
      <w:spacing w:val="2"/>
      <w:sz w:val="21"/>
    </w:rPr>
  </w:style>
  <w:style w:type="paragraph" w:customStyle="1" w:styleId="48">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标题3"/>
    <w:basedOn w:val="8"/>
    <w:next w:val="6"/>
    <w:qFormat/>
    <w:uiPriority w:val="0"/>
    <w:pPr>
      <w:ind w:left="0" w:leftChars="0"/>
      <w:jc w:val="both"/>
    </w:pPr>
    <w:rPr>
      <w:rFonts w:ascii="宋体" w:hAnsi="宋体"/>
      <w:b/>
      <w:bCs/>
      <w:szCs w:val="24"/>
    </w:rPr>
  </w:style>
  <w:style w:type="paragraph" w:customStyle="1" w:styleId="51">
    <w:name w:val="标题2"/>
    <w:basedOn w:val="8"/>
    <w:qFormat/>
    <w:uiPriority w:val="0"/>
    <w:pPr>
      <w:spacing w:beforeLines="50" w:afterLines="50"/>
      <w:ind w:left="0" w:leftChars="0"/>
      <w:jc w:val="both"/>
    </w:pPr>
    <w:rPr>
      <w:rFonts w:ascii="宋体" w:hAnsi="宋体"/>
      <w:b/>
      <w:sz w:val="28"/>
      <w:szCs w:val="28"/>
    </w:rPr>
  </w:style>
  <w:style w:type="paragraph" w:customStyle="1" w:styleId="52">
    <w:name w:val="啊啊表格内容"/>
    <w:basedOn w:val="1"/>
    <w:qFormat/>
    <w:uiPriority w:val="0"/>
    <w:pPr>
      <w:autoSpaceDE w:val="0"/>
      <w:autoSpaceDN w:val="0"/>
      <w:spacing w:line="340" w:lineRule="exact"/>
    </w:pPr>
    <w:rPr>
      <w:rFonts w:ascii="宋体" w:hAnsi="宋体" w:cs="仿宋_GB2312"/>
      <w:szCs w:val="28"/>
      <w:lang w:val="zh-CN"/>
    </w:rPr>
  </w:style>
  <w:style w:type="paragraph" w:customStyle="1" w:styleId="53">
    <w:name w:val="正文表格"/>
    <w:basedOn w:val="1"/>
    <w:qFormat/>
    <w:uiPriority w:val="0"/>
    <w:pPr>
      <w:jc w:val="center"/>
    </w:pPr>
    <w:rPr>
      <w:rFonts w:eastAsia="楷体_GB2312"/>
      <w:bCs/>
      <w:sz w:val="24"/>
      <w:szCs w:val="20"/>
    </w:rPr>
  </w:style>
  <w:style w:type="paragraph" w:customStyle="1" w:styleId="54">
    <w:name w:val="Table Paragraph"/>
    <w:basedOn w:val="1"/>
    <w:qFormat/>
    <w:uiPriority w:val="0"/>
    <w:rPr>
      <w:rFonts w:ascii="Calibri" w:hAnsi="Calibri"/>
      <w:lang w:eastAsia="en-US"/>
    </w:rPr>
  </w:style>
  <w:style w:type="paragraph" w:customStyle="1" w:styleId="55">
    <w:name w:val="样式2"/>
    <w:basedOn w:val="1"/>
    <w:qFormat/>
    <w:uiPriority w:val="0"/>
    <w:pPr>
      <w:ind w:firstLine="964" w:firstLineChars="400"/>
    </w:pPr>
    <w:rPr>
      <w:rFonts w:ascii="黑体" w:eastAsia="黑体"/>
      <w:b/>
      <w:bCs/>
      <w:sz w:val="24"/>
    </w:rPr>
  </w:style>
  <w:style w:type="paragraph" w:customStyle="1" w:styleId="56">
    <w:name w:val="表"/>
    <w:basedOn w:val="21"/>
    <w:next w:val="1"/>
    <w:qFormat/>
    <w:uiPriority w:val="0"/>
    <w:pPr>
      <w:keepNext/>
      <w:keepLines/>
      <w:spacing w:line="240" w:lineRule="exact"/>
      <w:ind w:left="0" w:firstLine="0" w:firstLineChars="0"/>
      <w:jc w:val="center"/>
    </w:pPr>
  </w:style>
  <w:style w:type="character" w:customStyle="1" w:styleId="57">
    <w:name w:val="font31"/>
    <w:qFormat/>
    <w:uiPriority w:val="0"/>
    <w:rPr>
      <w:rFonts w:hint="eastAsia" w:ascii="宋体" w:hAnsi="宋体" w:eastAsia="宋体" w:cs="宋体"/>
      <w:color w:val="000000"/>
      <w:sz w:val="22"/>
      <w:szCs w:val="22"/>
      <w:u w:val="none"/>
    </w:rPr>
  </w:style>
  <w:style w:type="paragraph" w:customStyle="1" w:styleId="58">
    <w:name w:val="123正文"/>
    <w:basedOn w:val="1"/>
    <w:link w:val="59"/>
    <w:qFormat/>
    <w:uiPriority w:val="0"/>
    <w:pPr>
      <w:spacing w:line="360" w:lineRule="auto"/>
      <w:ind w:firstLine="480" w:firstLineChars="200"/>
    </w:pPr>
    <w:rPr>
      <w:color w:val="0000FF"/>
      <w:sz w:val="24"/>
      <w:lang w:val="zh-CN"/>
    </w:rPr>
  </w:style>
  <w:style w:type="character" w:customStyle="1" w:styleId="59">
    <w:name w:val="123正文 Char"/>
    <w:link w:val="58"/>
    <w:qFormat/>
    <w:uiPriority w:val="0"/>
    <w:rPr>
      <w:color w:val="0000FF"/>
      <w:sz w:val="24"/>
      <w:lang w:val="zh-CN"/>
    </w:rPr>
  </w:style>
  <w:style w:type="paragraph" w:customStyle="1" w:styleId="60">
    <w:name w:val="1.1."/>
    <w:basedOn w:val="61"/>
    <w:qFormat/>
    <w:uiPriority w:val="0"/>
    <w:pPr>
      <w:spacing w:beforeLines="50" w:afterLines="50" w:line="360" w:lineRule="auto"/>
    </w:pPr>
    <w:rPr>
      <w:color w:val="0000FF"/>
      <w:sz w:val="28"/>
      <w:szCs w:val="28"/>
    </w:rPr>
  </w:style>
  <w:style w:type="paragraph" w:styleId="61">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2">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普通(网站)1"/>
    <w:basedOn w:val="1"/>
    <w:qFormat/>
    <w:uiPriority w:val="0"/>
    <w:pPr>
      <w:adjustRightInd/>
      <w:snapToGrid/>
      <w:spacing w:beforeAutospacing="1" w:afterAutospacing="1"/>
    </w:pPr>
    <w:rPr>
      <w:rFonts w:ascii="宋体" w:hAnsi="宋体" w:eastAsia="宋体" w:cs="宋体"/>
      <w:sz w:val="24"/>
      <w:szCs w:val="24"/>
    </w:rPr>
  </w:style>
  <w:style w:type="paragraph" w:customStyle="1" w:styleId="64">
    <w:name w:val="正文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5">
    <w:name w:val="一级aaa"/>
    <w:basedOn w:val="4"/>
    <w:qFormat/>
    <w:uiPriority w:val="0"/>
    <w:pPr>
      <w:keepNext w:val="0"/>
      <w:keepLines w:val="0"/>
      <w:widowControl w:val="0"/>
      <w:spacing w:beforeLines="100" w:afterLines="100" w:line="360" w:lineRule="auto"/>
    </w:pPr>
    <w:rPr>
      <w:kern w:val="0"/>
      <w:sz w:val="32"/>
      <w:szCs w:val="20"/>
    </w:rPr>
  </w:style>
  <w:style w:type="character" w:customStyle="1" w:styleId="66">
    <w:name w:val="批注框文本 Char"/>
    <w:basedOn w:val="27"/>
    <w:link w:val="17"/>
    <w:qFormat/>
    <w:uiPriority w:val="0"/>
    <w:rPr>
      <w:rFonts w:ascii="Tahoma" w:hAnsi="Tahoma" w:eastAsia="微软雅黑" w:cstheme="minorBidi"/>
      <w:sz w:val="18"/>
      <w:szCs w:val="18"/>
    </w:rPr>
  </w:style>
  <w:style w:type="character" w:customStyle="1" w:styleId="67">
    <w:name w:val="页脚 Char"/>
    <w:basedOn w:val="27"/>
    <w:link w:val="18"/>
    <w:qFormat/>
    <w:uiPriority w:val="99"/>
    <w:rPr>
      <w:rFonts w:ascii="Tahoma" w:hAnsi="Tahoma" w:eastAsia="微软雅黑" w:cstheme="minorBidi"/>
      <w:sz w:val="18"/>
      <w:szCs w:val="18"/>
    </w:rPr>
  </w:style>
  <w:style w:type="character" w:customStyle="1" w:styleId="68">
    <w:name w:val="文档结构图 Char"/>
    <w:basedOn w:val="27"/>
    <w:link w:val="11"/>
    <w:qFormat/>
    <w:uiPriority w:val="0"/>
    <w:rPr>
      <w:rFonts w:ascii="宋体" w:hAnsi="Tahoma" w:cstheme="minorBidi"/>
      <w:sz w:val="18"/>
      <w:szCs w:val="18"/>
    </w:rPr>
  </w:style>
  <w:style w:type="paragraph" w:customStyle="1" w:styleId="69">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70">
    <w:name w:val="1.1.1"/>
    <w:basedOn w:val="71"/>
    <w:qFormat/>
    <w:uiPriority w:val="0"/>
    <w:pPr>
      <w:spacing w:before="120" w:beforeLines="50" w:after="120" w:afterLines="50"/>
      <w:ind w:firstLine="0" w:firstLineChars="0"/>
      <w:outlineLvl w:val="2"/>
    </w:pPr>
    <w:rPr>
      <w:rFonts w:eastAsia="宋体"/>
      <w:b/>
      <w:color w:val="0000FF"/>
      <w:sz w:val="24"/>
      <w:szCs w:val="24"/>
    </w:rPr>
  </w:style>
  <w:style w:type="paragraph" w:customStyle="1" w:styleId="71">
    <w:name w:val="样式3"/>
    <w:basedOn w:val="1"/>
    <w:qFormat/>
    <w:uiPriority w:val="0"/>
    <w:pPr>
      <w:spacing w:line="360" w:lineRule="auto"/>
      <w:ind w:firstLine="200" w:firstLineChars="200"/>
    </w:pPr>
    <w:rPr>
      <w:rFonts w:eastAsia="楷体_GB2312"/>
      <w:sz w:val="28"/>
      <w:szCs w:val="20"/>
    </w:rPr>
  </w:style>
  <w:style w:type="character" w:customStyle="1" w:styleId="72">
    <w:name w:val="font11"/>
    <w:qFormat/>
    <w:uiPriority w:val="0"/>
    <w:rPr>
      <w:rFonts w:hint="eastAsia" w:ascii="宋体" w:hAnsi="宋体" w:eastAsia="宋体"/>
      <w:color w:val="000000"/>
      <w:sz w:val="21"/>
      <w:szCs w:val="21"/>
      <w:u w:val="none"/>
    </w:rPr>
  </w:style>
  <w:style w:type="paragraph" w:customStyle="1" w:styleId="73">
    <w:name w:val="S正文S"/>
    <w:basedOn w:val="1"/>
    <w:qFormat/>
    <w:uiPriority w:val="0"/>
    <w:pPr>
      <w:snapToGrid w:val="0"/>
      <w:spacing w:line="360" w:lineRule="auto"/>
      <w:ind w:firstLine="200" w:firstLineChars="200"/>
    </w:pPr>
    <w:rPr>
      <w:rFonts w:eastAsia="宋体"/>
      <w:snapToGrid w:val="0"/>
      <w:sz w:val="24"/>
      <w:szCs w:val="24"/>
    </w:rPr>
  </w:style>
  <w:style w:type="paragraph" w:customStyle="1" w:styleId="74">
    <w:name w:val="啊啊二级标题"/>
    <w:basedOn w:val="1"/>
    <w:qFormat/>
    <w:uiPriority w:val="0"/>
    <w:pPr>
      <w:autoSpaceDE w:val="0"/>
      <w:autoSpaceDN w:val="0"/>
      <w:adjustRightInd w:val="0"/>
      <w:spacing w:before="120" w:after="120" w:line="360" w:lineRule="auto"/>
      <w:jc w:val="left"/>
      <w:outlineLvl w:val="1"/>
    </w:pPr>
    <w:rPr>
      <w:rFonts w:cs="仿宋_GB2312"/>
      <w:b/>
      <w:sz w:val="28"/>
      <w:szCs w:val="28"/>
      <w:lang w:val="zh-CN"/>
    </w:rPr>
  </w:style>
  <w:style w:type="paragraph" w:customStyle="1" w:styleId="75">
    <w:name w:val="yang正文"/>
    <w:basedOn w:val="1"/>
    <w:qFormat/>
    <w:uiPriority w:val="0"/>
    <w:pPr>
      <w:spacing w:line="360" w:lineRule="auto"/>
      <w:ind w:firstLine="480" w:firstLineChars="200"/>
    </w:pPr>
    <w:rPr>
      <w:sz w:val="24"/>
      <w:szCs w:val="24"/>
    </w:rPr>
  </w:style>
  <w:style w:type="paragraph" w:customStyle="1" w:styleId="76">
    <w:name w:val="xc正文"/>
    <w:basedOn w:val="1"/>
    <w:qFormat/>
    <w:uiPriority w:val="0"/>
    <w:pPr>
      <w:widowControl/>
      <w:autoSpaceDN w:val="0"/>
      <w:snapToGrid w:val="0"/>
      <w:spacing w:line="360" w:lineRule="auto"/>
      <w:ind w:firstLine="480" w:firstLineChars="200"/>
    </w:pPr>
    <w:rPr>
      <w:sz w:val="24"/>
    </w:rPr>
  </w:style>
  <w:style w:type="paragraph" w:customStyle="1" w:styleId="77">
    <w:name w:val="1.1"/>
    <w:basedOn w:val="5"/>
    <w:qFormat/>
    <w:uiPriority w:val="0"/>
    <w:pPr>
      <w:numPr>
        <w:ilvl w:val="1"/>
        <w:numId w:val="0"/>
      </w:numPr>
      <w:spacing w:before="156" w:beforeLines="50" w:after="156" w:afterLines="50" w:line="360" w:lineRule="auto"/>
    </w:pPr>
    <w:rPr>
      <w:rFonts w:ascii="Times New Roman" w:hAnsi="Times New Roman"/>
      <w:color w:val="0000FF"/>
      <w:sz w:val="28"/>
      <w:szCs w:val="28"/>
    </w:rPr>
  </w:style>
  <w:style w:type="paragraph" w:customStyle="1" w:styleId="78">
    <w:name w:val="表格"/>
    <w:basedOn w:val="79"/>
    <w:qFormat/>
    <w:uiPriority w:val="0"/>
    <w:pPr>
      <w:tabs>
        <w:tab w:val="left" w:pos="940"/>
      </w:tabs>
      <w:autoSpaceDE w:val="0"/>
      <w:autoSpaceDN w:val="0"/>
      <w:adjustRightInd w:val="0"/>
      <w:jc w:val="center"/>
    </w:pPr>
    <w:rPr>
      <w:rFonts w:eastAsia="楷体_GB2312"/>
      <w:kern w:val="0"/>
    </w:rPr>
  </w:style>
  <w:style w:type="paragraph" w:customStyle="1" w:styleId="79">
    <w:name w:val="表题"/>
    <w:basedOn w:val="1"/>
    <w:qFormat/>
    <w:uiPriority w:val="0"/>
    <w:pPr>
      <w:tabs>
        <w:tab w:val="left" w:pos="940"/>
      </w:tabs>
      <w:snapToGrid w:val="0"/>
      <w:jc w:val="center"/>
    </w:pPr>
    <w:rPr>
      <w:rFonts w:eastAsia="黑体"/>
      <w:sz w:val="24"/>
    </w:rPr>
  </w:style>
  <w:style w:type="paragraph" w:customStyle="1" w:styleId="80">
    <w:name w:val="表格正文"/>
    <w:basedOn w:val="1"/>
    <w:qFormat/>
    <w:uiPriority w:val="0"/>
    <w:pPr>
      <w:spacing w:line="360" w:lineRule="exact"/>
      <w:jc w:val="center"/>
    </w:pPr>
    <w:rPr>
      <w:rFonts w:ascii="Arial" w:hAnsi="Arial"/>
      <w:szCs w:val="24"/>
    </w:rPr>
  </w:style>
  <w:style w:type="paragraph" w:customStyle="1" w:styleId="81">
    <w:name w:val="List Paragraph1"/>
    <w:basedOn w:val="1"/>
    <w:qFormat/>
    <w:uiPriority w:val="99"/>
    <w:pPr>
      <w:ind w:firstLine="420" w:firstLineChars="200"/>
    </w:pPr>
  </w:style>
  <w:style w:type="character" w:customStyle="1" w:styleId="82">
    <w:name w:val="znspantitle"/>
    <w:basedOn w:val="27"/>
    <w:qFormat/>
    <w:uiPriority w:val="0"/>
    <w:rPr>
      <w:b/>
      <w:bCs/>
      <w:color w:val="333333"/>
    </w:rPr>
  </w:style>
  <w:style w:type="character" w:customStyle="1" w:styleId="83">
    <w:name w:val="cur"/>
    <w:basedOn w:val="27"/>
    <w:qFormat/>
    <w:uiPriority w:val="0"/>
    <w:rPr>
      <w:color w:val="FFFFFF"/>
      <w:shd w:val="clear" w:fill="2F6B98"/>
    </w:rPr>
  </w:style>
  <w:style w:type="character" w:customStyle="1" w:styleId="84">
    <w:name w:val="radio-btn"/>
    <w:basedOn w:val="27"/>
    <w:qFormat/>
    <w:uiPriority w:val="0"/>
    <w:rPr>
      <w:sz w:val="21"/>
      <w:szCs w:val="21"/>
    </w:rPr>
  </w:style>
  <w:style w:type="character" w:customStyle="1" w:styleId="85">
    <w:name w:val="radio-btn1"/>
    <w:basedOn w:val="27"/>
    <w:qFormat/>
    <w:uiPriority w:val="0"/>
    <w:rPr>
      <w:sz w:val="24"/>
      <w:szCs w:val="24"/>
    </w:rPr>
  </w:style>
  <w:style w:type="character" w:customStyle="1" w:styleId="86">
    <w:name w:val="radio-btn2"/>
    <w:basedOn w:val="27"/>
    <w:qFormat/>
    <w:uiPriority w:val="0"/>
    <w:rPr>
      <w:sz w:val="24"/>
      <w:szCs w:val="24"/>
    </w:rPr>
  </w:style>
  <w:style w:type="character" w:customStyle="1" w:styleId="87">
    <w:name w:val="lishishuju"/>
    <w:basedOn w:val="27"/>
    <w:qFormat/>
    <w:uiPriority w:val="0"/>
    <w:rPr>
      <w:b/>
      <w:bCs/>
      <w:color w:val="000052"/>
      <w:sz w:val="24"/>
      <w:szCs w:val="24"/>
      <w:bdr w:val="single" w:color="E3E3E3" w:sz="6" w:space="0"/>
    </w:rPr>
  </w:style>
  <w:style w:type="character" w:customStyle="1" w:styleId="88">
    <w:name w:val="lable"/>
    <w:basedOn w:val="27"/>
    <w:qFormat/>
    <w:uiPriority w:val="0"/>
    <w:rPr>
      <w:sz w:val="24"/>
      <w:szCs w:val="24"/>
    </w:rPr>
  </w:style>
  <w:style w:type="paragraph" w:styleId="8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2808</Words>
  <Characters>16012</Characters>
  <Lines>133</Lines>
  <Paragraphs>37</Paragraphs>
  <TotalTime>2</TotalTime>
  <ScaleCrop>false</ScaleCrop>
  <LinksUpToDate>false</LinksUpToDate>
  <CharactersWithSpaces>18783</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阿三</cp:lastModifiedBy>
  <cp:lastPrinted>2021-01-08T07:31:00Z</cp:lastPrinted>
  <dcterms:modified xsi:type="dcterms:W3CDTF">2021-06-22T02:15:43Z</dcterms:modified>
  <dc:title>年扩建5000万个纸质品项目竣工环境保护验收监测报告表</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BBB11B68B02447D3B9A618F59AF208F1</vt:lpwstr>
  </property>
</Properties>
</file>