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宋体" w:cs="Times New Roman"/>
          <w:b/>
          <w:color w:val="auto"/>
          <w:sz w:val="44"/>
          <w:szCs w:val="44"/>
        </w:rPr>
      </w:pPr>
    </w:p>
    <w:p>
      <w:pPr>
        <w:spacing w:line="360" w:lineRule="auto"/>
        <w:jc w:val="center"/>
        <w:rPr>
          <w:rFonts w:ascii="Times New Roman" w:hAnsi="Times New Roman" w:eastAsia="宋体" w:cs="Times New Roman"/>
          <w:b/>
          <w:color w:val="auto"/>
          <w:sz w:val="44"/>
          <w:szCs w:val="44"/>
        </w:rPr>
      </w:pPr>
    </w:p>
    <w:p>
      <w:pPr>
        <w:spacing w:line="360" w:lineRule="auto"/>
        <w:jc w:val="center"/>
        <w:rPr>
          <w:rFonts w:ascii="Times New Roman" w:hAnsi="Times New Roman" w:eastAsia="宋体" w:cs="Times New Roman"/>
          <w:color w:val="auto"/>
          <w:sz w:val="44"/>
          <w:szCs w:val="44"/>
        </w:rPr>
      </w:pPr>
      <w:r>
        <w:rPr>
          <w:rFonts w:hint="eastAsia" w:ascii="Times New Roman" w:hAnsi="Times New Roman" w:eastAsia="宋体" w:cs="Times New Roman"/>
          <w:b/>
          <w:color w:val="auto"/>
          <w:sz w:val="44"/>
          <w:szCs w:val="44"/>
          <w:lang w:val="en-US" w:eastAsia="zh-CN"/>
        </w:rPr>
        <w:t>年产岩棉制品10000立方米和复合硅酸盐保温制品3000立方米建设项目</w:t>
      </w:r>
      <w:r>
        <w:rPr>
          <w:rFonts w:ascii="Times New Roman" w:hAnsi="Times New Roman" w:eastAsia="宋体" w:cs="Times New Roman"/>
          <w:b/>
          <w:color w:val="auto"/>
          <w:sz w:val="44"/>
          <w:szCs w:val="44"/>
        </w:rPr>
        <w:t>竣工环境保护验收监测报告表</w:t>
      </w:r>
    </w:p>
    <w:p>
      <w:pPr>
        <w:jc w:val="center"/>
        <w:rPr>
          <w:rFonts w:ascii="Times New Roman" w:hAnsi="Times New Roman" w:eastAsia="宋体" w:cs="Times New Roman"/>
          <w:color w:val="auto"/>
          <w:sz w:val="28"/>
        </w:rPr>
      </w:pPr>
    </w:p>
    <w:p>
      <w:pPr>
        <w:pStyle w:val="2"/>
        <w:rPr>
          <w:color w:val="auto"/>
        </w:rPr>
      </w:pPr>
    </w:p>
    <w:p>
      <w:pPr>
        <w:jc w:val="center"/>
        <w:rPr>
          <w:rFonts w:ascii="Times New Roman" w:hAnsi="Times New Roman" w:eastAsia="宋体" w:cs="Times New Roman"/>
          <w:color w:val="auto"/>
          <w:sz w:val="28"/>
        </w:rPr>
      </w:pPr>
    </w:p>
    <w:p>
      <w:pPr>
        <w:jc w:val="center"/>
        <w:rPr>
          <w:rFonts w:ascii="Times New Roman" w:hAnsi="Times New Roman" w:eastAsia="宋体" w:cs="Times New Roman"/>
          <w:color w:val="auto"/>
          <w:sz w:val="28"/>
        </w:rPr>
      </w:pPr>
    </w:p>
    <w:p>
      <w:pPr>
        <w:pStyle w:val="2"/>
        <w:rPr>
          <w:rFonts w:ascii="Times New Roman" w:hAnsi="Times New Roman" w:eastAsia="宋体" w:cs="Times New Roman"/>
          <w:color w:val="auto"/>
          <w:sz w:val="28"/>
        </w:rPr>
      </w:pPr>
    </w:p>
    <w:p>
      <w:pPr>
        <w:pStyle w:val="2"/>
        <w:rPr>
          <w:rFonts w:ascii="Times New Roman" w:hAnsi="Times New Roman" w:eastAsia="宋体" w:cs="Times New Roman"/>
          <w:color w:val="auto"/>
          <w:sz w:val="28"/>
        </w:rPr>
      </w:pPr>
    </w:p>
    <w:p>
      <w:pPr>
        <w:pStyle w:val="20"/>
        <w:rPr>
          <w:rFonts w:ascii="Times New Roman" w:hAnsi="Times New Roman" w:eastAsia="宋体" w:cs="Times New Roman"/>
          <w:color w:val="auto"/>
        </w:rPr>
      </w:pPr>
    </w:p>
    <w:p>
      <w:pPr>
        <w:pStyle w:val="2"/>
        <w:ind w:firstLine="164"/>
        <w:rPr>
          <w:rFonts w:ascii="Times New Roman" w:hAnsi="Times New Roman" w:eastAsia="宋体" w:cs="Times New Roman"/>
          <w:color w:val="auto"/>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8"/>
        <w:rPr>
          <w:rFonts w:ascii="Times New Roman" w:hAnsi="Times New Roman" w:cs="Times New Roman"/>
          <w:color w:val="auto"/>
        </w:rPr>
      </w:pPr>
    </w:p>
    <w:p>
      <w:pPr>
        <w:ind w:firstLine="720" w:firstLineChars="200"/>
        <w:rPr>
          <w:rFonts w:ascii="Times New Roman" w:hAnsi="Times New Roman" w:eastAsia="宋体" w:cs="Times New Roman"/>
          <w:color w:val="auto"/>
          <w:sz w:val="36"/>
          <w:szCs w:val="36"/>
          <w:u w:val="single"/>
        </w:rPr>
      </w:pPr>
      <w:r>
        <w:rPr>
          <w:rFonts w:ascii="Times New Roman" w:hAnsi="Times New Roman" w:eastAsia="宋体" w:cs="Times New Roman"/>
          <w:color w:val="auto"/>
          <w:sz w:val="36"/>
          <w:szCs w:val="36"/>
        </w:rPr>
        <w:t>建设单位：</w:t>
      </w:r>
      <w:r>
        <w:rPr>
          <w:rFonts w:hint="eastAsia" w:ascii="Times New Roman" w:hAnsi="Times New Roman" w:eastAsia="宋体" w:cs="Times New Roman"/>
          <w:color w:val="auto"/>
          <w:sz w:val="36"/>
          <w:szCs w:val="36"/>
          <w:u w:val="single"/>
          <w:lang w:val="en-US" w:eastAsia="zh-CN"/>
        </w:rPr>
        <w:t xml:space="preserve">  长泰中原保温材料有限公司</w:t>
      </w:r>
      <w:r>
        <w:rPr>
          <w:rFonts w:ascii="Times New Roman" w:hAnsi="Times New Roman" w:eastAsia="宋体" w:cs="Times New Roman"/>
          <w:color w:val="auto"/>
          <w:sz w:val="36"/>
          <w:szCs w:val="36"/>
          <w:u w:val="single"/>
        </w:rPr>
        <w:t xml:space="preserve"> </w:t>
      </w:r>
    </w:p>
    <w:p>
      <w:pPr>
        <w:ind w:firstLine="720" w:firstLineChars="200"/>
        <w:rPr>
          <w:rFonts w:hint="eastAsia" w:ascii="Times New Roman" w:hAnsi="Times New Roman" w:eastAsia="宋体" w:cs="Times New Roman"/>
          <w:color w:val="auto"/>
          <w:sz w:val="36"/>
          <w:szCs w:val="36"/>
          <w:u w:val="single"/>
          <w:lang w:val="en-US" w:eastAsia="zh-CN"/>
        </w:rPr>
      </w:pPr>
      <w:r>
        <w:rPr>
          <w:rFonts w:ascii="Times New Roman" w:hAnsi="Times New Roman" w:eastAsia="宋体" w:cs="Times New Roman"/>
          <w:color w:val="auto"/>
          <w:sz w:val="36"/>
          <w:szCs w:val="36"/>
        </w:rPr>
        <w:t>编制单位：</w:t>
      </w:r>
      <w:r>
        <w:rPr>
          <w:rFonts w:hint="eastAsia" w:ascii="Times New Roman" w:hAnsi="Times New Roman" w:eastAsia="宋体" w:cs="Times New Roman"/>
          <w:color w:val="auto"/>
          <w:sz w:val="36"/>
          <w:szCs w:val="36"/>
          <w:u w:val="single"/>
          <w:lang w:val="en-US" w:eastAsia="zh-CN"/>
        </w:rPr>
        <w:t xml:space="preserve">  长泰中原保温材料有限公司 </w:t>
      </w: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pStyle w:val="28"/>
        <w:rPr>
          <w:rFonts w:ascii="Times New Roman" w:hAnsi="Times New Roman" w:cs="Times New Roman"/>
          <w:color w:val="auto"/>
          <w:sz w:val="28"/>
        </w:rPr>
      </w:pPr>
    </w:p>
    <w:p>
      <w:pPr>
        <w:jc w:val="center"/>
        <w:rPr>
          <w:rFonts w:ascii="Times New Roman" w:hAnsi="Times New Roman" w:eastAsia="宋体" w:cs="Times New Roman"/>
          <w:bCs/>
          <w:color w:val="auto"/>
          <w:sz w:val="32"/>
          <w:szCs w:val="32"/>
        </w:rPr>
      </w:pPr>
      <w:r>
        <w:rPr>
          <w:rFonts w:ascii="Times New Roman" w:hAnsi="Times New Roman" w:eastAsia="宋体" w:cs="Times New Roman"/>
          <w:bCs/>
          <w:color w:val="auto"/>
          <w:sz w:val="32"/>
          <w:szCs w:val="32"/>
        </w:rPr>
        <w:t>2020年0</w:t>
      </w:r>
      <w:r>
        <w:rPr>
          <w:rFonts w:hint="eastAsia" w:ascii="Times New Roman" w:hAnsi="Times New Roman" w:eastAsia="宋体" w:cs="Times New Roman"/>
          <w:bCs/>
          <w:color w:val="auto"/>
          <w:sz w:val="32"/>
          <w:szCs w:val="32"/>
          <w:lang w:val="en-US" w:eastAsia="zh-CN"/>
        </w:rPr>
        <w:t>8</w:t>
      </w:r>
      <w:r>
        <w:rPr>
          <w:rFonts w:ascii="Times New Roman" w:hAnsi="Times New Roman" w:eastAsia="宋体" w:cs="Times New Roman"/>
          <w:bCs/>
          <w:color w:val="auto"/>
          <w:sz w:val="32"/>
          <w:szCs w:val="32"/>
        </w:rPr>
        <w:t>月</w:t>
      </w:r>
    </w:p>
    <w:p>
      <w:pPr>
        <w:spacing w:line="360" w:lineRule="auto"/>
        <w:rPr>
          <w:rFonts w:ascii="Times New Roman" w:hAnsi="Times New Roman" w:eastAsia="宋体" w:cs="Times New Roman"/>
          <w:bCs/>
          <w:color w:val="auto"/>
          <w:sz w:val="28"/>
        </w:rPr>
        <w:sectPr>
          <w:footerReference r:id="rId3" w:type="default"/>
          <w:pgSz w:w="11906" w:h="16838"/>
          <w:pgMar w:top="1440" w:right="1440" w:bottom="1440" w:left="1701" w:header="709" w:footer="709" w:gutter="0"/>
          <w:pgNumType w:start="1"/>
          <w:cols w:space="0" w:num="1"/>
          <w:docGrid w:linePitch="360" w:charSpace="0"/>
        </w:sectPr>
      </w:pP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rPr>
        <w:t>建设单</w:t>
      </w:r>
      <w:r>
        <w:rPr>
          <w:rFonts w:ascii="Times New Roman" w:hAnsi="Times New Roman" w:eastAsia="宋体" w:cs="Times New Roman"/>
          <w:bCs/>
          <w:color w:val="auto"/>
          <w:sz w:val="28"/>
          <w:szCs w:val="28"/>
        </w:rPr>
        <w:t xml:space="preserve">位法人代表:  </w:t>
      </w:r>
      <w:r>
        <w:rPr>
          <w:rFonts w:hint="eastAsia" w:ascii="Times New Roman" w:hAnsi="Times New Roman" w:eastAsia="宋体" w:cs="Times New Roman"/>
          <w:bCs/>
          <w:color w:val="auto"/>
          <w:sz w:val="28"/>
          <w:szCs w:val="28"/>
          <w:lang w:val="en-US" w:eastAsia="zh-CN"/>
        </w:rPr>
        <w:t>许之伟</w:t>
      </w:r>
      <w:r>
        <w:rPr>
          <w:rFonts w:ascii="Times New Roman" w:hAnsi="Times New Roman" w:eastAsia="宋体" w:cs="Times New Roman"/>
          <w:bCs/>
          <w:color w:val="auto"/>
          <w:sz w:val="28"/>
          <w:szCs w:val="28"/>
        </w:rPr>
        <w:t xml:space="preserve">  </w:t>
      </w: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 xml:space="preserve">     </w:t>
      </w: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 xml:space="preserve">编制单位法人代表:  </w:t>
      </w:r>
      <w:r>
        <w:rPr>
          <w:rFonts w:hint="eastAsia" w:ascii="Times New Roman" w:hAnsi="Times New Roman" w:eastAsia="宋体" w:cs="Times New Roman"/>
          <w:bCs/>
          <w:color w:val="auto"/>
          <w:sz w:val="28"/>
          <w:szCs w:val="28"/>
          <w:lang w:val="en-US" w:eastAsia="zh-CN"/>
        </w:rPr>
        <w:t>许之伟</w:t>
      </w:r>
      <w:r>
        <w:rPr>
          <w:rFonts w:ascii="Times New Roman" w:hAnsi="Times New Roman" w:eastAsia="宋体" w:cs="Times New Roman"/>
          <w:bCs/>
          <w:color w:val="auto"/>
          <w:sz w:val="28"/>
          <w:szCs w:val="28"/>
        </w:rPr>
        <w:t xml:space="preserve"> </w:t>
      </w: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 xml:space="preserve">        </w:t>
      </w:r>
    </w:p>
    <w:p>
      <w:pPr>
        <w:spacing w:line="360" w:lineRule="auto"/>
        <w:rPr>
          <w:rFonts w:hint="eastAsia" w:ascii="Times New Roman" w:hAnsi="Times New Roman" w:eastAsia="宋体" w:cs="Times New Roman"/>
          <w:bCs/>
          <w:color w:val="auto"/>
          <w:sz w:val="28"/>
          <w:szCs w:val="28"/>
          <w:lang w:val="en-US" w:eastAsia="zh-CN"/>
        </w:rPr>
      </w:pPr>
      <w:r>
        <w:rPr>
          <w:rFonts w:ascii="Times New Roman" w:hAnsi="Times New Roman" w:eastAsia="宋体" w:cs="Times New Roman"/>
          <w:bCs/>
          <w:color w:val="auto"/>
          <w:sz w:val="28"/>
          <w:szCs w:val="28"/>
        </w:rPr>
        <w:t xml:space="preserve">项目负责人: </w:t>
      </w:r>
      <w:r>
        <w:rPr>
          <w:rFonts w:hint="eastAsia" w:ascii="Times New Roman" w:hAnsi="Times New Roman" w:eastAsia="宋体" w:cs="Times New Roman"/>
          <w:bCs/>
          <w:color w:val="auto"/>
          <w:sz w:val="28"/>
          <w:szCs w:val="28"/>
          <w:lang w:val="en-US" w:eastAsia="zh-CN"/>
        </w:rPr>
        <w:t>黄庆福</w:t>
      </w:r>
    </w:p>
    <w:p>
      <w:pPr>
        <w:pStyle w:val="20"/>
        <w:rPr>
          <w:rFonts w:hint="eastAsia"/>
          <w:color w:val="auto"/>
          <w:sz w:val="28"/>
          <w:szCs w:val="28"/>
          <w:lang w:val="en-US" w:eastAsia="zh-CN"/>
        </w:rPr>
      </w:pPr>
    </w:p>
    <w:p>
      <w:pPr>
        <w:spacing w:line="360" w:lineRule="auto"/>
        <w:rPr>
          <w:rFonts w:ascii="Times New Roman" w:hAnsi="Times New Roman" w:eastAsia="宋体" w:cs="Times New Roman"/>
          <w:bCs/>
          <w:color w:val="auto"/>
          <w:sz w:val="28"/>
          <w:szCs w:val="28"/>
        </w:rPr>
      </w:pPr>
      <w:r>
        <w:rPr>
          <w:rFonts w:ascii="Times New Roman" w:hAnsi="Times New Roman" w:eastAsia="宋体" w:cs="Times New Roman"/>
          <w:bCs/>
          <w:color w:val="auto"/>
          <w:sz w:val="28"/>
          <w:szCs w:val="28"/>
        </w:rPr>
        <w:t>填表人：</w:t>
      </w:r>
      <w:r>
        <w:rPr>
          <w:rFonts w:hint="eastAsia" w:ascii="Times New Roman" w:hAnsi="Times New Roman" w:eastAsia="宋体" w:cs="Times New Roman"/>
          <w:bCs/>
          <w:color w:val="auto"/>
          <w:sz w:val="28"/>
          <w:szCs w:val="28"/>
          <w:lang w:val="en-US" w:eastAsia="zh-CN"/>
        </w:rPr>
        <w:t>黄庆福</w:t>
      </w:r>
    </w:p>
    <w:p>
      <w:pPr>
        <w:spacing w:line="360" w:lineRule="auto"/>
        <w:rPr>
          <w:rFonts w:ascii="Times New Roman" w:hAnsi="Times New Roman" w:eastAsia="宋体" w:cs="Times New Roman"/>
          <w:color w:val="auto"/>
          <w:sz w:val="28"/>
        </w:rPr>
      </w:pPr>
      <w:r>
        <w:rPr>
          <w:rFonts w:ascii="Times New Roman" w:hAnsi="Times New Roman" w:eastAsia="宋体" w:cs="Times New Roman"/>
          <w:color w:val="auto"/>
          <w:sz w:val="28"/>
        </w:rPr>
        <w:tab/>
      </w: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pStyle w:val="20"/>
        <w:rPr>
          <w:rFonts w:ascii="Times New Roman" w:hAnsi="Times New Roman" w:eastAsia="宋体" w:cs="Times New Roman"/>
          <w:color w:val="auto"/>
          <w:sz w:val="28"/>
        </w:rPr>
      </w:pPr>
    </w:p>
    <w:p>
      <w:pPr>
        <w:spacing w:line="360" w:lineRule="auto"/>
        <w:rPr>
          <w:rFonts w:ascii="Times New Roman" w:hAnsi="Times New Roman" w:eastAsia="宋体" w:cs="Times New Roman"/>
          <w:color w:val="auto"/>
          <w:sz w:val="28"/>
        </w:rPr>
      </w:pPr>
    </w:p>
    <w:tbl>
      <w:tblPr>
        <w:tblStyle w:val="22"/>
        <w:tblW w:w="9900" w:type="dxa"/>
        <w:tblInd w:w="-4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10"/>
        <w:gridCol w:w="48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建设单位：</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长泰中原保温材料有限公司</w:t>
            </w:r>
          </w:p>
        </w:tc>
        <w:tc>
          <w:tcPr>
            <w:tcW w:w="489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编制单位：</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长泰中原保温材料有限公司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hint="default"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电话:13709331208</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电话:</w:t>
            </w:r>
            <w:r>
              <w:rPr>
                <w:rFonts w:hint="eastAsia" w:ascii="Times New Roman" w:hAnsi="Times New Roman" w:eastAsia="宋体" w:cs="Times New Roman"/>
                <w:color w:val="auto"/>
                <w:sz w:val="28"/>
                <w:lang w:val="en-US" w:eastAsia="zh-CN"/>
              </w:rPr>
              <w:t>13709331208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传真:     /</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8"/>
              </w:rPr>
              <w:t>邮编:</w:t>
            </w:r>
            <w:r>
              <w:rPr>
                <w:rFonts w:hint="eastAsia" w:ascii="Times New Roman" w:hAnsi="Times New Roman" w:eastAsia="宋体" w:cs="Times New Roman"/>
                <w:color w:val="auto"/>
                <w:sz w:val="28"/>
              </w:rPr>
              <w:t>36</w:t>
            </w:r>
            <w:r>
              <w:rPr>
                <w:rFonts w:hint="eastAsia" w:ascii="Times New Roman" w:hAnsi="Times New Roman" w:eastAsia="宋体" w:cs="Times New Roman"/>
                <w:color w:val="auto"/>
                <w:sz w:val="28"/>
                <w:lang w:val="en-US" w:eastAsia="zh-CN"/>
              </w:rPr>
              <w:t>3900</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8"/>
              </w:rPr>
              <w:t>邮编:</w:t>
            </w:r>
            <w:r>
              <w:rPr>
                <w:rFonts w:hint="eastAsia" w:ascii="Times New Roman" w:hAnsi="Times New Roman" w:eastAsia="宋体" w:cs="Times New Roman"/>
                <w:color w:val="auto"/>
                <w:sz w:val="28"/>
              </w:rPr>
              <w:t>36</w:t>
            </w:r>
            <w:r>
              <w:rPr>
                <w:rFonts w:hint="eastAsia" w:ascii="Times New Roman" w:hAnsi="Times New Roman" w:eastAsia="宋体" w:cs="Times New Roman"/>
                <w:color w:val="auto"/>
                <w:sz w:val="28"/>
                <w:lang w:val="en-US" w:eastAsia="zh-CN"/>
              </w:rPr>
              <w:t>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10" w:type="dxa"/>
          </w:tcPr>
          <w:p>
            <w:pPr>
              <w:widowControl/>
              <w:tabs>
                <w:tab w:val="left" w:pos="984"/>
              </w:tabs>
              <w:spacing w:line="360" w:lineRule="auto"/>
              <w:jc w:val="both"/>
              <w:rPr>
                <w:rFonts w:ascii="Times New Roman" w:hAnsi="Times New Roman" w:eastAsia="宋体" w:cs="Times New Roman"/>
                <w:color w:val="auto"/>
                <w:sz w:val="28"/>
              </w:rPr>
            </w:pPr>
            <w:r>
              <w:rPr>
                <w:rFonts w:ascii="Times New Roman" w:hAnsi="Times New Roman" w:eastAsia="宋体" w:cs="Times New Roman"/>
                <w:color w:val="auto"/>
                <w:sz w:val="28"/>
              </w:rPr>
              <w:t xml:space="preserve">地址: </w:t>
            </w:r>
          </w:p>
          <w:p>
            <w:pPr>
              <w:widowControl/>
              <w:tabs>
                <w:tab w:val="left" w:pos="984"/>
              </w:tabs>
              <w:spacing w:line="360" w:lineRule="auto"/>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8"/>
                <w:lang w:val="en-US" w:eastAsia="zh-CN"/>
              </w:rPr>
              <w:t>长泰古农农场银塘工业区</w:t>
            </w:r>
          </w:p>
        </w:tc>
        <w:tc>
          <w:tcPr>
            <w:tcW w:w="4890" w:type="dxa"/>
            <w:vAlign w:val="top"/>
          </w:tcPr>
          <w:p>
            <w:pPr>
              <w:widowControl/>
              <w:tabs>
                <w:tab w:val="left" w:pos="984"/>
              </w:tabs>
              <w:spacing w:line="360" w:lineRule="auto"/>
              <w:jc w:val="both"/>
              <w:rPr>
                <w:rFonts w:ascii="Times New Roman" w:hAnsi="Times New Roman" w:eastAsia="宋体" w:cs="Times New Roman"/>
                <w:color w:val="auto"/>
                <w:sz w:val="28"/>
              </w:rPr>
            </w:pPr>
            <w:r>
              <w:rPr>
                <w:rFonts w:ascii="Times New Roman" w:hAnsi="Times New Roman" w:eastAsia="宋体" w:cs="Times New Roman"/>
                <w:color w:val="auto"/>
                <w:sz w:val="28"/>
              </w:rPr>
              <w:t xml:space="preserve">地址: </w:t>
            </w:r>
          </w:p>
          <w:p>
            <w:pPr>
              <w:widowControl/>
              <w:tabs>
                <w:tab w:val="left" w:pos="984"/>
              </w:tabs>
              <w:spacing w:line="360" w:lineRule="auto"/>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8"/>
                <w:lang w:val="en-US" w:eastAsia="zh-CN"/>
              </w:rPr>
              <w:t>长泰古农农场银塘工业区</w:t>
            </w:r>
          </w:p>
        </w:tc>
      </w:tr>
    </w:tbl>
    <w:p>
      <w:pPr>
        <w:jc w:val="center"/>
        <w:rPr>
          <w:rFonts w:ascii="Times New Roman" w:hAnsi="Times New Roman" w:eastAsia="宋体" w:cs="Times New Roman"/>
          <w:color w:val="auto"/>
          <w:sz w:val="21"/>
          <w:szCs w:val="21"/>
        </w:rPr>
        <w:sectPr>
          <w:footerReference r:id="rId4" w:type="default"/>
          <w:pgSz w:w="11906" w:h="16838"/>
          <w:pgMar w:top="1440" w:right="1440" w:bottom="1440" w:left="1701" w:header="709" w:footer="709" w:gutter="0"/>
          <w:pgNumType w:start="1"/>
          <w:cols w:space="0" w:num="1"/>
          <w:docGrid w:linePitch="360" w:charSpace="0"/>
        </w:sectPr>
      </w:pPr>
    </w:p>
    <w:tbl>
      <w:tblPr>
        <w:tblStyle w:val="21"/>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2220"/>
        <w:gridCol w:w="1785"/>
        <w:gridCol w:w="984"/>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建设项目名称</w:t>
            </w:r>
          </w:p>
        </w:tc>
        <w:tc>
          <w:tcPr>
            <w:tcW w:w="6789" w:type="dxa"/>
            <w:gridSpan w:val="5"/>
            <w:vAlign w:val="center"/>
          </w:tcPr>
          <w:p>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年产岩棉制品10000立方米和复合硅酸盐保温制品3000立方米建设项目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建设单位名称</w:t>
            </w:r>
          </w:p>
        </w:tc>
        <w:tc>
          <w:tcPr>
            <w:tcW w:w="6789" w:type="dxa"/>
            <w:gridSpan w:val="5"/>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长泰中原保温材料有限公司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建设项目性质</w:t>
            </w:r>
          </w:p>
        </w:tc>
        <w:tc>
          <w:tcPr>
            <w:tcW w:w="6789" w:type="dxa"/>
            <w:gridSpan w:val="5"/>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建设地点</w:t>
            </w:r>
          </w:p>
        </w:tc>
        <w:tc>
          <w:tcPr>
            <w:tcW w:w="6789" w:type="dxa"/>
            <w:gridSpan w:val="5"/>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长泰古农农场银塘工业区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主要产品名称</w:t>
            </w:r>
          </w:p>
        </w:tc>
        <w:tc>
          <w:tcPr>
            <w:tcW w:w="6789" w:type="dxa"/>
            <w:gridSpan w:val="5"/>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岩棉制品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建设规模</w:t>
            </w:r>
          </w:p>
        </w:tc>
        <w:tc>
          <w:tcPr>
            <w:tcW w:w="678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年产岩棉制品10000立方米和复合硅酸盐保温制品3000立方米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总规模</w:t>
            </w:r>
          </w:p>
        </w:tc>
        <w:tc>
          <w:tcPr>
            <w:tcW w:w="6789" w:type="dxa"/>
            <w:gridSpan w:val="5"/>
            <w:vAlign w:val="center"/>
          </w:tcPr>
          <w:p>
            <w:pPr>
              <w:spacing w:line="240" w:lineRule="auto"/>
              <w:jc w:val="center"/>
              <w:rPr>
                <w:rFonts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年产岩棉制品10000立方米和复合硅酸盐保温制品3000立方米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建设项目环评时间</w:t>
            </w:r>
          </w:p>
        </w:tc>
        <w:tc>
          <w:tcPr>
            <w:tcW w:w="222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05</w:t>
            </w:r>
            <w:r>
              <w:rPr>
                <w:rFonts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6</w:t>
            </w:r>
            <w:r>
              <w:rPr>
                <w:rFonts w:ascii="Times New Roman" w:hAnsi="Times New Roman" w:eastAsia="宋体" w:cs="Times New Roman"/>
                <w:color w:val="auto"/>
                <w:sz w:val="21"/>
                <w:szCs w:val="21"/>
              </w:rPr>
              <w:t>月</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开工建设时间</w:t>
            </w:r>
          </w:p>
        </w:tc>
        <w:tc>
          <w:tcPr>
            <w:tcW w:w="2784" w:type="dxa"/>
            <w:gridSpan w:val="3"/>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05</w:t>
            </w:r>
            <w:r>
              <w:rPr>
                <w:rFonts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7</w:t>
            </w:r>
            <w:r>
              <w:rPr>
                <w:rFonts w:ascii="Times New Roman" w:hAnsi="Times New Roman" w:eastAsia="宋体" w:cs="Times New Roman"/>
                <w:color w:val="auto"/>
                <w:sz w:val="21"/>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竣工时间</w:t>
            </w:r>
          </w:p>
        </w:tc>
        <w:tc>
          <w:tcPr>
            <w:tcW w:w="2220"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05</w:t>
            </w:r>
            <w:r>
              <w:rPr>
                <w:rFonts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12</w:t>
            </w:r>
            <w:r>
              <w:rPr>
                <w:rFonts w:ascii="Times New Roman" w:hAnsi="Times New Roman" w:eastAsia="宋体" w:cs="Times New Roman"/>
                <w:color w:val="auto"/>
                <w:sz w:val="21"/>
                <w:szCs w:val="21"/>
              </w:rPr>
              <w:t>月</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验收现场监测</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时间</w:t>
            </w:r>
          </w:p>
        </w:tc>
        <w:tc>
          <w:tcPr>
            <w:tcW w:w="2784" w:type="dxa"/>
            <w:gridSpan w:val="3"/>
            <w:vAlign w:val="center"/>
          </w:tcPr>
          <w:p>
            <w:pPr>
              <w:pStyle w:val="20"/>
              <w:ind w:firstLine="0"/>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auto"/>
                <w:sz w:val="21"/>
                <w:szCs w:val="21"/>
                <w:lang w:val="en-US" w:eastAsia="zh-CN" w:bidi="ar-SA"/>
              </w:rPr>
              <w:t>2020.8.5~2020.8.6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环评报告表</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审批部门</w:t>
            </w:r>
          </w:p>
        </w:tc>
        <w:tc>
          <w:tcPr>
            <w:tcW w:w="2220"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漳州市长泰</w:t>
            </w:r>
            <w:r>
              <w:rPr>
                <w:rFonts w:hint="eastAsia" w:ascii="Times New Roman" w:hAnsi="Times New Roman" w:eastAsia="宋体" w:cs="Times New Roman"/>
                <w:color w:val="auto"/>
                <w:sz w:val="21"/>
                <w:szCs w:val="21"/>
              </w:rPr>
              <w:t>生态环境</w:t>
            </w:r>
            <w:r>
              <w:rPr>
                <w:rFonts w:ascii="Times New Roman" w:hAnsi="Times New Roman" w:eastAsia="宋体" w:cs="Times New Roman"/>
                <w:color w:val="auto"/>
                <w:sz w:val="21"/>
                <w:szCs w:val="21"/>
              </w:rPr>
              <w:t>局</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环评报告表</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编制单位</w:t>
            </w:r>
          </w:p>
        </w:tc>
        <w:tc>
          <w:tcPr>
            <w:tcW w:w="2784" w:type="dxa"/>
            <w:gridSpan w:val="3"/>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厦门新绿色环境发展</w:t>
            </w:r>
            <w:r>
              <w:rPr>
                <w:rFonts w:ascii="Times New Roman" w:hAnsi="Times New Roman" w:eastAsia="宋体" w:cs="Times New Roman"/>
                <w:color w:val="auto"/>
                <w:sz w:val="21"/>
                <w:szCs w:val="21"/>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环保设施设计单位</w:t>
            </w:r>
          </w:p>
        </w:tc>
        <w:tc>
          <w:tcPr>
            <w:tcW w:w="2220"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漳州润和环保科技有限公司</w:t>
            </w:r>
          </w:p>
        </w:tc>
        <w:tc>
          <w:tcPr>
            <w:tcW w:w="1785" w:type="dxa"/>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环保设施施工</w:t>
            </w:r>
          </w:p>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单位</w:t>
            </w:r>
          </w:p>
        </w:tc>
        <w:tc>
          <w:tcPr>
            <w:tcW w:w="2784" w:type="dxa"/>
            <w:gridSpan w:val="3"/>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漳州润和环保科技有限公司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投资总概算</w:t>
            </w:r>
          </w:p>
        </w:tc>
        <w:tc>
          <w:tcPr>
            <w:tcW w:w="2220"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200</w:t>
            </w:r>
            <w:r>
              <w:rPr>
                <w:rFonts w:ascii="Times New Roman" w:hAnsi="Times New Roman" w:eastAsia="宋体" w:cs="Times New Roman"/>
                <w:color w:val="auto"/>
                <w:sz w:val="21"/>
                <w:szCs w:val="21"/>
              </w:rPr>
              <w:t>万元</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环保投资总概算</w:t>
            </w:r>
          </w:p>
        </w:tc>
        <w:tc>
          <w:tcPr>
            <w:tcW w:w="984"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ascii="Times New Roman" w:hAnsi="Times New Roman" w:eastAsia="宋体" w:cs="Times New Roman"/>
                <w:color w:val="auto"/>
                <w:sz w:val="21"/>
                <w:szCs w:val="21"/>
              </w:rPr>
              <w:t>万元</w:t>
            </w:r>
          </w:p>
        </w:tc>
        <w:tc>
          <w:tcPr>
            <w:tcW w:w="76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比例</w:t>
            </w:r>
          </w:p>
        </w:tc>
        <w:tc>
          <w:tcPr>
            <w:tcW w:w="103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实际总概算</w:t>
            </w:r>
          </w:p>
        </w:tc>
        <w:tc>
          <w:tcPr>
            <w:tcW w:w="2220"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200</w:t>
            </w:r>
            <w:r>
              <w:rPr>
                <w:rFonts w:ascii="Times New Roman" w:hAnsi="Times New Roman" w:eastAsia="宋体" w:cs="Times New Roman"/>
                <w:color w:val="auto"/>
                <w:sz w:val="21"/>
                <w:szCs w:val="21"/>
              </w:rPr>
              <w:t>万元</w:t>
            </w:r>
          </w:p>
        </w:tc>
        <w:tc>
          <w:tcPr>
            <w:tcW w:w="178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环保投资</w:t>
            </w:r>
          </w:p>
        </w:tc>
        <w:tc>
          <w:tcPr>
            <w:tcW w:w="984"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ascii="Times New Roman" w:hAnsi="Times New Roman" w:eastAsia="宋体" w:cs="Times New Roman"/>
                <w:color w:val="auto"/>
                <w:sz w:val="21"/>
                <w:szCs w:val="21"/>
              </w:rPr>
              <w:t>万元</w:t>
            </w:r>
          </w:p>
        </w:tc>
        <w:tc>
          <w:tcPr>
            <w:tcW w:w="76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比例</w:t>
            </w:r>
          </w:p>
        </w:tc>
        <w:tc>
          <w:tcPr>
            <w:tcW w:w="1035" w:type="dxa"/>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验收监测依据</w:t>
            </w:r>
          </w:p>
        </w:tc>
        <w:tc>
          <w:tcPr>
            <w:tcW w:w="6789" w:type="dxa"/>
            <w:gridSpan w:val="5"/>
            <w:vAlign w:val="center"/>
          </w:tcPr>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1、《建设项目竣工环境保护验收暂行办法》国环规环评【2017】4号；</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2、《建设项目环境保护管理条例》修订（第682号令）；</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3、《建设项目竣工环境保护验收技术指南污染影响类》；</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4、《中华人民共和国环境保护法》，2014 年4 月24 日修订；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5、《中华人民共和国环境影响评价法》，2016 年修订；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6、《中华人民共和国大气污染防治法》，2015 年修订；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7、《中华人民共和国环境噪声污染防治法》，1996 年；</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8、《中华人民共和国固体废物污染环境防治法》，2004 年修订；</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9、《中华人民共和国清洁生产促进法》，2012 年；</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10、《产业结构调整指导目录（2011 年本）》（2013 年修正）；</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11、《福建省环境保护条例》，2012 年3 月31 日实施。</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r>
              <w:rPr>
                <w:rFonts w:hint="eastAsia" w:ascii="Times New Roman" w:hAnsi="Times New Roman" w:eastAsia="宋体" w:cs="Times New Roman"/>
                <w:color w:val="auto"/>
                <w:sz w:val="21"/>
                <w:szCs w:val="21"/>
                <w:lang w:val="en-US" w:eastAsia="zh-CN"/>
              </w:rPr>
              <w:t>年产岩棉制品10000立方米和复合硅酸盐保温制品3000立方米建设项目</w:t>
            </w:r>
            <w:r>
              <w:rPr>
                <w:rFonts w:ascii="Times New Roman" w:hAnsi="Times New Roman" w:eastAsia="宋体" w:cs="Times New Roman"/>
                <w:color w:val="auto"/>
                <w:sz w:val="21"/>
                <w:szCs w:val="21"/>
              </w:rPr>
              <w:t>环境影响报告表》；</w:t>
            </w:r>
          </w:p>
          <w:p>
            <w:pPr>
              <w:ind w:left="420" w:hanging="420" w:hangingChars="20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w:t>
            </w:r>
            <w:r>
              <w:rPr>
                <w:rFonts w:hint="eastAsia" w:ascii="Times New Roman" w:hAnsi="Times New Roman" w:eastAsia="宋体" w:cs="Times New Roman"/>
                <w:color w:val="auto"/>
                <w:sz w:val="21"/>
                <w:szCs w:val="21"/>
                <w:lang w:val="en-US" w:eastAsia="zh-CN"/>
              </w:rPr>
              <w:t>漳州市长泰</w:t>
            </w:r>
            <w:r>
              <w:rPr>
                <w:rFonts w:hint="eastAsia" w:ascii="Times New Roman" w:hAnsi="Times New Roman" w:eastAsia="宋体" w:cs="Times New Roman"/>
                <w:color w:val="auto"/>
                <w:sz w:val="21"/>
                <w:szCs w:val="21"/>
              </w:rPr>
              <w:t>生态环境</w:t>
            </w:r>
            <w:r>
              <w:rPr>
                <w:rFonts w:ascii="Times New Roman" w:hAnsi="Times New Roman" w:eastAsia="宋体" w:cs="Times New Roman"/>
                <w:color w:val="auto"/>
                <w:sz w:val="21"/>
                <w:szCs w:val="21"/>
              </w:rPr>
              <w:t>局《</w:t>
            </w:r>
            <w:r>
              <w:rPr>
                <w:rFonts w:hint="eastAsia" w:ascii="Times New Roman" w:hAnsi="Times New Roman" w:eastAsia="宋体" w:cs="Times New Roman"/>
                <w:color w:val="auto"/>
                <w:sz w:val="21"/>
                <w:szCs w:val="21"/>
                <w:lang w:val="en-US" w:eastAsia="zh-CN"/>
              </w:rPr>
              <w:t>年产岩棉制品10000立方米和复合硅酸盐保温制品3000立方米建设项目</w:t>
            </w:r>
            <w:r>
              <w:rPr>
                <w:rFonts w:ascii="Times New Roman" w:hAnsi="Times New Roman" w:eastAsia="宋体" w:cs="Times New Roman"/>
                <w:color w:val="auto"/>
                <w:sz w:val="21"/>
                <w:szCs w:val="21"/>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4" w:hRule="atLeast"/>
        </w:trPr>
        <w:tc>
          <w:tcPr>
            <w:tcW w:w="2135" w:type="dxa"/>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验收监测评价标准、标号、级别、限值</w:t>
            </w:r>
          </w:p>
        </w:tc>
        <w:tc>
          <w:tcPr>
            <w:tcW w:w="6789" w:type="dxa"/>
            <w:gridSpan w:val="5"/>
            <w:vAlign w:val="center"/>
          </w:tcPr>
          <w:p>
            <w:pPr>
              <w:pStyle w:val="20"/>
              <w:numPr>
                <w:ilvl w:val="0"/>
                <w:numId w:val="1"/>
              </w:numPr>
              <w:spacing w:after="60" w:line="240" w:lineRule="auto"/>
              <w:ind w:firstLine="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GB12348-2008《工业企业厂界环境噪声排放标准》的</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类标准；</w:t>
            </w:r>
          </w:p>
          <w:p>
            <w:pPr>
              <w:pStyle w:val="20"/>
              <w:spacing w:after="60" w:line="240" w:lineRule="auto"/>
              <w:ind w:firstLine="0"/>
              <w:jc w:val="both"/>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即：昼间≤6</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dB（A），夜间≤5</w:t>
            </w:r>
            <w:r>
              <w:rPr>
                <w:rFonts w:hint="eastAsia" w:ascii="Times New Roman" w:hAnsi="Times New Roman" w:eastAsia="宋体" w:cs="Times New Roman"/>
                <w:color w:val="auto"/>
                <w:sz w:val="21"/>
                <w:szCs w:val="21"/>
                <w:lang w:val="en-US" w:eastAsia="zh-CN"/>
              </w:rPr>
              <w:t>5</w:t>
            </w:r>
            <w:r>
              <w:rPr>
                <w:rFonts w:ascii="Times New Roman" w:hAnsi="Times New Roman" w:eastAsia="宋体" w:cs="Times New Roman"/>
                <w:color w:val="auto"/>
                <w:sz w:val="21"/>
                <w:szCs w:val="21"/>
              </w:rPr>
              <w:t>dB（A）</w:t>
            </w:r>
          </w:p>
          <w:p>
            <w:pPr>
              <w:pStyle w:val="20"/>
              <w:numPr>
                <w:ilvl w:val="0"/>
                <w:numId w:val="1"/>
              </w:numPr>
              <w:spacing w:after="6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DB35/1782-2018《工业企业挥发性有机物排放标准》中的表1、表3标准；即：有组织非甲烷总烃≤100mg/m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vertAlign w:val="baseline"/>
                <w:lang w:val="en-US" w:eastAsia="zh-CN"/>
              </w:rPr>
              <w:t>，排放速率</w:t>
            </w:r>
            <w:r>
              <w:rPr>
                <w:rFonts w:hint="eastAsia" w:ascii="Times New Roman" w:hAnsi="Times New Roman" w:eastAsia="宋体" w:cs="Times New Roman"/>
                <w:color w:val="auto"/>
                <w:sz w:val="21"/>
                <w:szCs w:val="21"/>
                <w:lang w:val="en-US" w:eastAsia="zh-CN"/>
              </w:rPr>
              <w:t>≤1.8kg/h</w:t>
            </w:r>
            <w:r>
              <w:rPr>
                <w:rFonts w:hint="eastAsia" w:ascii="Times New Roman" w:hAnsi="Times New Roman" w:eastAsia="宋体" w:cs="Times New Roman"/>
                <w:color w:val="auto"/>
                <w:sz w:val="21"/>
                <w:szCs w:val="21"/>
                <w:vertAlign w:val="baseline"/>
                <w:lang w:val="en-US" w:eastAsia="zh-CN"/>
              </w:rPr>
              <w:t>；无组织</w:t>
            </w:r>
            <w:r>
              <w:rPr>
                <w:rFonts w:hint="eastAsia" w:ascii="Times New Roman" w:hAnsi="Times New Roman" w:eastAsia="宋体" w:cs="Times New Roman"/>
                <w:color w:val="auto"/>
                <w:sz w:val="21"/>
                <w:szCs w:val="21"/>
                <w:lang w:val="en-US" w:eastAsia="zh-CN"/>
              </w:rPr>
              <w:t>非甲烷总烃≤2.0mg/m</w:t>
            </w:r>
            <w:r>
              <w:rPr>
                <w:rFonts w:hint="eastAsia" w:ascii="Times New Roman" w:hAnsi="Times New Roman" w:eastAsia="宋体" w:cs="Times New Roman"/>
                <w:color w:val="auto"/>
                <w:sz w:val="21"/>
                <w:szCs w:val="21"/>
                <w:vertAlign w:val="superscript"/>
                <w:lang w:val="en-US" w:eastAsia="zh-CN"/>
              </w:rPr>
              <w:t>3</w:t>
            </w:r>
          </w:p>
          <w:p>
            <w:pPr>
              <w:pStyle w:val="20"/>
              <w:numPr>
                <w:ilvl w:val="0"/>
                <w:numId w:val="1"/>
              </w:numPr>
              <w:spacing w:after="60" w:line="240" w:lineRule="auto"/>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GB16297-1996《大气污染物综合排放标准》中表2无组织排放标准；即：颗粒物≤1.0mg/m</w:t>
            </w:r>
            <w:r>
              <w:rPr>
                <w:rFonts w:hint="eastAsia" w:ascii="Times New Roman" w:hAnsi="Times New Roman" w:eastAsia="宋体" w:cs="Times New Roman"/>
                <w:color w:val="auto"/>
                <w:sz w:val="21"/>
                <w:szCs w:val="21"/>
                <w:vertAlign w:val="superscript"/>
                <w:lang w:val="en-US" w:eastAsia="zh-CN"/>
              </w:rPr>
              <w:t>3</w:t>
            </w:r>
          </w:p>
        </w:tc>
      </w:tr>
    </w:tbl>
    <w:p>
      <w:pPr>
        <w:outlineLvl w:val="0"/>
        <w:rPr>
          <w:rFonts w:ascii="Times New Roman" w:hAnsi="Times New Roman" w:eastAsia="宋体" w:cs="Times New Roman"/>
          <w:color w:val="auto"/>
          <w:sz w:val="21"/>
          <w:szCs w:val="21"/>
        </w:rPr>
        <w:sectPr>
          <w:footerReference r:id="rId5" w:type="default"/>
          <w:pgSz w:w="11906" w:h="16838"/>
          <w:pgMar w:top="1440" w:right="1440" w:bottom="1440" w:left="1701" w:header="709" w:footer="709" w:gutter="0"/>
          <w:pgNumType w:start="1"/>
          <w:cols w:space="0" w:num="1"/>
          <w:docGrid w:linePitch="360" w:charSpace="0"/>
        </w:sectPr>
      </w:pPr>
      <w:r>
        <w:rPr>
          <w:rFonts w:ascii="Times New Roman" w:hAnsi="Times New Roman" w:eastAsia="宋体" w:cs="Times New Roman"/>
          <w:b/>
          <w:color w:val="auto"/>
          <w:sz w:val="21"/>
          <w:szCs w:val="21"/>
        </w:rPr>
        <w:t>表一</w:t>
      </w: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表二</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 xml:space="preserve">工程建设内容： </w:t>
            </w:r>
          </w:p>
          <w:p>
            <w:pPr>
              <w:widowControl/>
              <w:numPr>
                <w:ilvl w:val="0"/>
                <w:numId w:val="2"/>
              </w:numPr>
              <w:spacing w:line="360" w:lineRule="auto"/>
              <w:ind w:firstLine="482" w:firstLineChars="200"/>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项目概况</w:t>
            </w:r>
          </w:p>
          <w:p>
            <w:pPr>
              <w:pStyle w:val="20"/>
              <w:keepNext w:val="0"/>
              <w:keepLines w:val="0"/>
              <w:pageBreakBefore w:val="0"/>
              <w:widowControl/>
              <w:kinsoku/>
              <w:wordWrap/>
              <w:overflowPunct/>
              <w:topLinePunct w:val="0"/>
              <w:autoSpaceDE/>
              <w:autoSpaceDN/>
              <w:bidi w:val="0"/>
              <w:adjustRightInd w:val="0"/>
              <w:snapToGrid w:val="0"/>
              <w:spacing w:after="0" w:line="360" w:lineRule="auto"/>
              <w:ind w:firstLine="42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长泰中原保温材料有限公司年产岩棉制品10000立方米和复合硅酸盐保温制品3000立方米建设项目位于长泰古农农场银塘工业区，专门从事岩棉制品的生产。</w:t>
            </w:r>
            <w:r>
              <w:rPr>
                <w:rFonts w:hint="default" w:ascii="Times New Roman" w:hAnsi="Times New Roman" w:eastAsia="宋体" w:cs="Times New Roman"/>
                <w:color w:val="auto"/>
                <w:sz w:val="24"/>
                <w:szCs w:val="24"/>
                <w:vertAlign w:val="baseline"/>
                <w:lang w:val="en-US" w:eastAsia="zh-CN"/>
              </w:rPr>
              <w:t>本项目环评设计总投资为</w:t>
            </w:r>
            <w:r>
              <w:rPr>
                <w:rFonts w:hint="eastAsia" w:ascii="Times New Roman" w:hAnsi="Times New Roman" w:eastAsia="宋体" w:cs="Times New Roman"/>
                <w:color w:val="auto"/>
                <w:sz w:val="24"/>
                <w:szCs w:val="24"/>
                <w:vertAlign w:val="baseline"/>
                <w:lang w:val="en-US" w:eastAsia="zh-CN"/>
              </w:rPr>
              <w:t>200</w:t>
            </w:r>
            <w:r>
              <w:rPr>
                <w:rFonts w:hint="default" w:ascii="Times New Roman" w:hAnsi="Times New Roman" w:eastAsia="宋体" w:cs="Times New Roman"/>
                <w:color w:val="auto"/>
                <w:sz w:val="24"/>
                <w:szCs w:val="24"/>
                <w:vertAlign w:val="baseline"/>
                <w:lang w:val="zh-CN" w:eastAsia="zh-CN"/>
              </w:rPr>
              <w:t>万元</w:t>
            </w:r>
            <w:r>
              <w:rPr>
                <w:rFonts w:hint="default" w:ascii="Times New Roman" w:hAnsi="Times New Roman" w:eastAsia="宋体" w:cs="Times New Roman"/>
                <w:color w:val="auto"/>
                <w:sz w:val="24"/>
                <w:szCs w:val="24"/>
                <w:vertAlign w:val="baseline"/>
                <w:lang w:val="en-US" w:eastAsia="zh-CN"/>
              </w:rPr>
              <w:t>，环保投资</w:t>
            </w:r>
            <w:r>
              <w:rPr>
                <w:rFonts w:hint="eastAsia" w:ascii="Times New Roman" w:hAnsi="Times New Roman" w:eastAsia="宋体" w:cs="Times New Roman"/>
                <w:color w:val="auto"/>
                <w:sz w:val="24"/>
                <w:szCs w:val="24"/>
                <w:vertAlign w:val="baseline"/>
                <w:lang w:val="en-US" w:eastAsia="zh-CN"/>
              </w:rPr>
              <w:t>10</w:t>
            </w:r>
            <w:r>
              <w:rPr>
                <w:rFonts w:hint="default" w:ascii="Times New Roman" w:hAnsi="Times New Roman" w:eastAsia="宋体" w:cs="Times New Roman"/>
                <w:color w:val="auto"/>
                <w:sz w:val="24"/>
                <w:szCs w:val="24"/>
                <w:vertAlign w:val="baseline"/>
                <w:lang w:val="en-US" w:eastAsia="zh-CN"/>
              </w:rPr>
              <w:t>万元，生产规模为</w:t>
            </w:r>
            <w:r>
              <w:rPr>
                <w:rFonts w:hint="eastAsia" w:ascii="Times New Roman" w:hAnsi="Times New Roman" w:eastAsia="宋体" w:cs="Times New Roman"/>
                <w:color w:val="auto"/>
                <w:sz w:val="24"/>
                <w:szCs w:val="24"/>
                <w:vertAlign w:val="baseline"/>
                <w:lang w:val="en-US" w:eastAsia="zh-CN"/>
              </w:rPr>
              <w:t>年产岩棉制品10000立方米和复合硅酸盐保温制品3000立方米</w:t>
            </w:r>
            <w:r>
              <w:rPr>
                <w:rFonts w:hint="default" w:ascii="Times New Roman" w:hAnsi="Times New Roman" w:eastAsia="宋体" w:cs="Times New Roman"/>
                <w:color w:val="auto"/>
                <w:sz w:val="24"/>
                <w:szCs w:val="24"/>
                <w:vertAlign w:val="baseline"/>
                <w:lang w:val="en-US" w:eastAsia="zh-CN"/>
              </w:rPr>
              <w:t>。根据《中华人民共和国环境保护法》、《中华人民共和国环境影响评价法》、《建设项目环境保护管理条例》【（1998）国务院令第253号】等相关法律法规规定，项目应办理环境影响评价手续。故本公司于20</w:t>
            </w:r>
            <w:r>
              <w:rPr>
                <w:rFonts w:hint="eastAsia" w:ascii="Times New Roman" w:hAnsi="Times New Roman" w:eastAsia="宋体" w:cs="Times New Roman"/>
                <w:color w:val="auto"/>
                <w:sz w:val="24"/>
                <w:szCs w:val="24"/>
                <w:vertAlign w:val="baseline"/>
                <w:lang w:val="en-US" w:eastAsia="zh-CN"/>
              </w:rPr>
              <w:t>05</w:t>
            </w:r>
            <w:r>
              <w:rPr>
                <w:rFonts w:hint="default" w:ascii="Times New Roman" w:hAnsi="Times New Roman" w:eastAsia="宋体" w:cs="Times New Roman"/>
                <w:color w:val="auto"/>
                <w:sz w:val="24"/>
                <w:szCs w:val="24"/>
                <w:vertAlign w:val="baseline"/>
                <w:lang w:val="en-US" w:eastAsia="zh-CN"/>
              </w:rPr>
              <w:t>年</w:t>
            </w:r>
            <w:r>
              <w:rPr>
                <w:rFonts w:hint="eastAsia" w:ascii="Times New Roman" w:hAnsi="Times New Roman" w:eastAsia="宋体" w:cs="Times New Roman"/>
                <w:color w:val="auto"/>
                <w:sz w:val="24"/>
                <w:szCs w:val="24"/>
                <w:vertAlign w:val="baseline"/>
                <w:lang w:val="en-US" w:eastAsia="zh-CN"/>
              </w:rPr>
              <w:t>6</w:t>
            </w:r>
            <w:r>
              <w:rPr>
                <w:rFonts w:hint="default" w:ascii="Times New Roman" w:hAnsi="Times New Roman" w:eastAsia="宋体" w:cs="Times New Roman"/>
                <w:color w:val="auto"/>
                <w:sz w:val="24"/>
                <w:szCs w:val="24"/>
                <w:vertAlign w:val="baseline"/>
                <w:lang w:val="en-US" w:eastAsia="zh-CN"/>
              </w:rPr>
              <w:t>月委托</w:t>
            </w:r>
            <w:r>
              <w:rPr>
                <w:rFonts w:hint="eastAsia" w:ascii="Times New Roman" w:hAnsi="Times New Roman" w:eastAsia="宋体" w:cs="Times New Roman"/>
                <w:color w:val="auto"/>
                <w:sz w:val="24"/>
                <w:szCs w:val="24"/>
                <w:vertAlign w:val="baseline"/>
                <w:lang w:val="en-US" w:eastAsia="zh-CN"/>
              </w:rPr>
              <w:t>厦门新绿色环境发展</w:t>
            </w:r>
            <w:r>
              <w:rPr>
                <w:rFonts w:hint="default" w:ascii="Times New Roman" w:hAnsi="Times New Roman" w:eastAsia="宋体" w:cs="Times New Roman"/>
                <w:color w:val="auto"/>
                <w:sz w:val="24"/>
                <w:szCs w:val="24"/>
                <w:vertAlign w:val="baseline"/>
                <w:lang w:val="en-US" w:eastAsia="zh-CN"/>
              </w:rPr>
              <w:t>有限公司编制《</w:t>
            </w:r>
            <w:r>
              <w:rPr>
                <w:rFonts w:hint="eastAsia" w:ascii="Times New Roman" w:hAnsi="Times New Roman" w:eastAsia="宋体" w:cs="Times New Roman"/>
                <w:color w:val="auto"/>
                <w:sz w:val="24"/>
                <w:szCs w:val="24"/>
                <w:vertAlign w:val="baseline"/>
                <w:lang w:val="en-US" w:eastAsia="zh-CN"/>
              </w:rPr>
              <w:t>年产岩棉制品10000立方米和复合硅酸盐保温制品3000立方米建设项目</w:t>
            </w:r>
            <w:r>
              <w:rPr>
                <w:rFonts w:hint="default" w:ascii="Times New Roman" w:hAnsi="Times New Roman" w:eastAsia="宋体" w:cs="Times New Roman"/>
                <w:color w:val="auto"/>
                <w:sz w:val="24"/>
                <w:szCs w:val="24"/>
                <w:vertAlign w:val="baseline"/>
                <w:lang w:val="en-US" w:eastAsia="zh-CN"/>
              </w:rPr>
              <w:t>环境影响报告表》，并于20</w:t>
            </w:r>
            <w:r>
              <w:rPr>
                <w:rFonts w:hint="eastAsia" w:ascii="Times New Roman" w:hAnsi="Times New Roman" w:eastAsia="宋体" w:cs="Times New Roman"/>
                <w:color w:val="auto"/>
                <w:sz w:val="24"/>
                <w:szCs w:val="24"/>
                <w:vertAlign w:val="baseline"/>
                <w:lang w:val="en-US" w:eastAsia="zh-CN"/>
              </w:rPr>
              <w:t>05</w:t>
            </w:r>
            <w:r>
              <w:rPr>
                <w:rFonts w:hint="default" w:ascii="Times New Roman" w:hAnsi="Times New Roman" w:eastAsia="宋体" w:cs="Times New Roman"/>
                <w:color w:val="auto"/>
                <w:sz w:val="24"/>
                <w:szCs w:val="24"/>
                <w:vertAlign w:val="baseline"/>
                <w:lang w:val="en-US" w:eastAsia="zh-CN"/>
              </w:rPr>
              <w:t>年</w:t>
            </w:r>
            <w:r>
              <w:rPr>
                <w:rFonts w:hint="eastAsia" w:ascii="Times New Roman" w:hAnsi="Times New Roman" w:eastAsia="宋体" w:cs="Times New Roman"/>
                <w:color w:val="auto"/>
                <w:sz w:val="24"/>
                <w:szCs w:val="24"/>
                <w:vertAlign w:val="baseline"/>
                <w:lang w:val="en-US" w:eastAsia="zh-CN"/>
              </w:rPr>
              <w:t>6</w:t>
            </w:r>
            <w:r>
              <w:rPr>
                <w:rFonts w:hint="default" w:ascii="Times New Roman" w:hAnsi="Times New Roman" w:eastAsia="宋体" w:cs="Times New Roman"/>
                <w:color w:val="auto"/>
                <w:sz w:val="24"/>
                <w:szCs w:val="24"/>
                <w:vertAlign w:val="baseline"/>
                <w:lang w:val="en-US" w:eastAsia="zh-CN"/>
              </w:rPr>
              <w:t>月</w:t>
            </w:r>
            <w:r>
              <w:rPr>
                <w:rFonts w:hint="eastAsia" w:ascii="Times New Roman" w:hAnsi="Times New Roman" w:eastAsia="宋体" w:cs="Times New Roman"/>
                <w:color w:val="auto"/>
                <w:sz w:val="24"/>
                <w:szCs w:val="24"/>
                <w:vertAlign w:val="baseline"/>
                <w:lang w:val="en-US" w:eastAsia="zh-CN"/>
              </w:rPr>
              <w:t>27日</w:t>
            </w:r>
            <w:r>
              <w:rPr>
                <w:rFonts w:hint="default" w:ascii="Times New Roman" w:hAnsi="Times New Roman" w:eastAsia="宋体" w:cs="Times New Roman"/>
                <w:color w:val="auto"/>
                <w:sz w:val="24"/>
                <w:szCs w:val="24"/>
                <w:vertAlign w:val="baseline"/>
                <w:lang w:val="en-US" w:eastAsia="zh-CN"/>
              </w:rPr>
              <w:t>通过漳州市</w:t>
            </w:r>
            <w:r>
              <w:rPr>
                <w:rFonts w:hint="eastAsia" w:ascii="Times New Roman" w:hAnsi="Times New Roman" w:eastAsia="宋体" w:cs="Times New Roman"/>
                <w:color w:val="auto"/>
                <w:sz w:val="24"/>
                <w:szCs w:val="24"/>
                <w:vertAlign w:val="baseline"/>
                <w:lang w:val="en-US" w:eastAsia="zh-CN"/>
              </w:rPr>
              <w:t>长泰</w:t>
            </w:r>
            <w:r>
              <w:rPr>
                <w:rFonts w:hint="default" w:ascii="Times New Roman" w:hAnsi="Times New Roman" w:eastAsia="宋体" w:cs="Times New Roman"/>
                <w:color w:val="auto"/>
                <w:sz w:val="24"/>
                <w:szCs w:val="24"/>
                <w:vertAlign w:val="baseline"/>
                <w:lang w:val="en-US" w:eastAsia="zh-CN"/>
              </w:rPr>
              <w:t>生态环境局审批，批复编号为：</w:t>
            </w:r>
            <w:r>
              <w:rPr>
                <w:rFonts w:hint="eastAsia" w:ascii="Times New Roman" w:hAnsi="Times New Roman" w:eastAsia="宋体" w:cs="Times New Roman"/>
                <w:color w:val="auto"/>
                <w:sz w:val="24"/>
                <w:szCs w:val="24"/>
                <w:vertAlign w:val="baseline"/>
                <w:lang w:val="en-US" w:eastAsia="zh-CN"/>
              </w:rPr>
              <w:t>无文号</w:t>
            </w:r>
            <w:r>
              <w:rPr>
                <w:rFonts w:hint="default" w:ascii="Times New Roman" w:hAnsi="Times New Roman" w:eastAsia="宋体" w:cs="Times New Roman"/>
                <w:color w:val="auto"/>
                <w:sz w:val="24"/>
                <w:szCs w:val="24"/>
                <w:vertAlign w:val="baseline"/>
                <w:lang w:val="en-US" w:eastAsia="zh-CN"/>
              </w:rPr>
              <w:t>。</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除北面为空地外，四周均为他人厂房。</w:t>
            </w:r>
            <w:r>
              <w:rPr>
                <w:rFonts w:hint="eastAsia" w:ascii="Times New Roman" w:hAnsi="Times New Roman" w:eastAsia="宋体" w:cs="Times New Roman"/>
                <w:color w:val="auto"/>
                <w:sz w:val="24"/>
                <w:szCs w:val="24"/>
              </w:rPr>
              <w:t>目前</w:t>
            </w:r>
            <w:r>
              <w:rPr>
                <w:rFonts w:ascii="Times New Roman" w:hAnsi="Times New Roman" w:eastAsia="宋体" w:cs="Times New Roman"/>
                <w:color w:val="auto"/>
                <w:sz w:val="24"/>
                <w:szCs w:val="24"/>
              </w:rPr>
              <w:t>实际生产能力为</w:t>
            </w:r>
            <w:r>
              <w:rPr>
                <w:rFonts w:hint="eastAsia" w:ascii="Times New Roman" w:hAnsi="Times New Roman" w:eastAsia="宋体" w:cs="Times New Roman"/>
                <w:color w:val="auto"/>
                <w:sz w:val="24"/>
                <w:szCs w:val="24"/>
                <w:vertAlign w:val="baseline"/>
                <w:lang w:val="en-US" w:eastAsia="zh-CN"/>
              </w:rPr>
              <w:t>年产岩棉制品10000立方米和复合硅酸盐保温制品3000立方米</w:t>
            </w:r>
            <w:r>
              <w:rPr>
                <w:rFonts w:ascii="Times New Roman" w:hAnsi="Times New Roman" w:eastAsia="宋体" w:cs="Times New Roman"/>
                <w:color w:val="auto"/>
                <w:sz w:val="24"/>
                <w:szCs w:val="24"/>
              </w:rPr>
              <w:t>；职工人数</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rPr>
              <w:t>均</w:t>
            </w:r>
            <w:r>
              <w:rPr>
                <w:rFonts w:hint="eastAsia" w:ascii="Times New Roman" w:hAnsi="Times New Roman" w:eastAsia="宋体" w:cs="Times New Roman"/>
                <w:color w:val="auto"/>
                <w:sz w:val="24"/>
                <w:szCs w:val="24"/>
                <w:lang w:val="en-US" w:eastAsia="zh-CN"/>
              </w:rPr>
              <w:t>不</w:t>
            </w:r>
            <w:r>
              <w:rPr>
                <w:rFonts w:hint="eastAsia" w:ascii="Times New Roman" w:hAnsi="Times New Roman" w:eastAsia="宋体" w:cs="Times New Roman"/>
                <w:color w:val="auto"/>
                <w:sz w:val="24"/>
                <w:szCs w:val="24"/>
              </w:rPr>
              <w:t>在厂区食宿</w:t>
            </w:r>
            <w:r>
              <w:rPr>
                <w:rFonts w:ascii="Times New Roman" w:hAnsi="Times New Roman" w:eastAsia="宋体" w:cs="Times New Roman"/>
                <w:color w:val="auto"/>
                <w:sz w:val="24"/>
                <w:szCs w:val="24"/>
              </w:rPr>
              <w:t>，年工作天数</w:t>
            </w:r>
            <w:r>
              <w:rPr>
                <w:rFonts w:hint="eastAsia" w:ascii="Times New Roman" w:hAnsi="Times New Roman" w:eastAsia="宋体" w:cs="Times New Roman"/>
                <w:color w:val="auto"/>
                <w:sz w:val="24"/>
                <w:szCs w:val="24"/>
                <w:lang w:val="en-US" w:eastAsia="zh-CN"/>
              </w:rPr>
              <w:t>300</w:t>
            </w:r>
            <w:r>
              <w:rPr>
                <w:rFonts w:ascii="Times New Roman" w:hAnsi="Times New Roman" w:eastAsia="宋体" w:cs="Times New Roman"/>
                <w:color w:val="auto"/>
                <w:sz w:val="24"/>
                <w:szCs w:val="24"/>
              </w:rPr>
              <w:t>天</w:t>
            </w:r>
            <w:r>
              <w:rPr>
                <w:rFonts w:hint="eastAsia" w:ascii="Times New Roman" w:hAnsi="Times New Roman" w:eastAsia="宋体" w:cs="Times New Roman"/>
                <w:color w:val="auto"/>
                <w:sz w:val="24"/>
                <w:szCs w:val="24"/>
              </w:rPr>
              <w:t>，每天工作</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小时</w:t>
            </w:r>
            <w:r>
              <w:rPr>
                <w:rFonts w:ascii="Times New Roman" w:hAnsi="Times New Roman" w:eastAsia="宋体" w:cs="Times New Roman"/>
                <w:color w:val="auto"/>
                <w:sz w:val="24"/>
                <w:szCs w:val="24"/>
              </w:rPr>
              <w:t>。</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项目于20</w:t>
            </w:r>
            <w:r>
              <w:rPr>
                <w:rFonts w:hint="eastAsia" w:ascii="Times New Roman" w:hAnsi="Times New Roman" w:eastAsia="宋体" w:cs="Times New Roman"/>
                <w:color w:val="auto"/>
                <w:sz w:val="24"/>
                <w:szCs w:val="24"/>
                <w:lang w:val="en-US" w:eastAsia="zh-CN"/>
              </w:rPr>
              <w:t>05</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ascii="Times New Roman" w:hAnsi="Times New Roman" w:eastAsia="宋体" w:cs="Times New Roman"/>
                <w:color w:val="auto"/>
                <w:sz w:val="24"/>
                <w:szCs w:val="24"/>
              </w:rPr>
              <w:t>月开工建</w:t>
            </w:r>
            <w:r>
              <w:rPr>
                <w:rFonts w:hint="eastAsia" w:ascii="Times New Roman" w:hAnsi="Times New Roman" w:eastAsia="宋体" w:cs="Times New Roman"/>
                <w:color w:val="auto"/>
                <w:sz w:val="24"/>
                <w:szCs w:val="24"/>
              </w:rPr>
              <w:t>设，20</w:t>
            </w:r>
            <w:r>
              <w:rPr>
                <w:rFonts w:hint="eastAsia" w:ascii="Times New Roman" w:hAnsi="Times New Roman" w:eastAsia="宋体" w:cs="Times New Roman"/>
                <w:color w:val="auto"/>
                <w:sz w:val="24"/>
                <w:szCs w:val="24"/>
                <w:lang w:val="en-US" w:eastAsia="zh-CN"/>
              </w:rPr>
              <w:t>05</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月建成，20</w:t>
            </w:r>
            <w:r>
              <w:rPr>
                <w:rFonts w:hint="eastAsia" w:ascii="Times New Roman" w:hAnsi="Times New Roman" w:eastAsia="宋体" w:cs="Times New Roman"/>
                <w:color w:val="auto"/>
                <w:sz w:val="24"/>
                <w:szCs w:val="24"/>
                <w:lang w:val="en-US" w:eastAsia="zh-CN"/>
              </w:rPr>
              <w:t>06</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月进行试生产。目前本项目已全部建成投产，根据《建设项目环境保护管理条例》和《</w:t>
            </w:r>
            <w:r>
              <w:rPr>
                <w:rFonts w:ascii="Times New Roman" w:hAnsi="Times New Roman" w:eastAsia="宋体" w:cs="Times New Roman"/>
                <w:color w:val="auto"/>
                <w:sz w:val="24"/>
                <w:szCs w:val="24"/>
              </w:rPr>
              <w:t>建设项目竣工环境保护验收技术指南污染影响类》等法律法规文件的要求，公司依据国家有关法规文件、技术标准及经审批后的本项目环境影响报告表并结合现场实际情况制定了本项目的环境保护验收监测方案，并于2020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日至2020年</w:t>
            </w:r>
            <w:r>
              <w:rPr>
                <w:rFonts w:hint="eastAsia" w:ascii="Times New Roman" w:hAnsi="Times New Roman" w:eastAsia="宋体" w:cs="Times New Roman"/>
                <w:color w:val="auto"/>
                <w:sz w:val="24"/>
                <w:szCs w:val="24"/>
                <w:lang w:val="en-US" w:eastAsia="zh-CN"/>
              </w:rPr>
              <w:t>8</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日委托</w:t>
            </w:r>
            <w:r>
              <w:rPr>
                <w:rFonts w:hint="eastAsia" w:ascii="Times New Roman" w:hAnsi="Times New Roman" w:eastAsia="宋体" w:cs="Times New Roman"/>
                <w:color w:val="auto"/>
                <w:sz w:val="24"/>
                <w:szCs w:val="24"/>
                <w:lang w:val="en-US" w:eastAsia="zh-CN"/>
              </w:rPr>
              <w:t>厦门科仪检测技术有限公司</w:t>
            </w:r>
            <w:r>
              <w:rPr>
                <w:rFonts w:ascii="Times New Roman" w:hAnsi="Times New Roman" w:eastAsia="宋体" w:cs="Times New Roman"/>
                <w:color w:val="auto"/>
                <w:sz w:val="24"/>
                <w:szCs w:val="24"/>
              </w:rPr>
              <w:t>到本项目开展竣工环境保护验收监测，根据现场监测情况、样品监测分析结果及现场调查情况，编制本验收监测报告表。</w:t>
            </w: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color w:val="0000FF"/>
              </w:rPr>
            </w:pPr>
          </w:p>
          <w:p>
            <w:pPr>
              <w:pStyle w:val="28"/>
              <w:spacing w:line="360" w:lineRule="auto"/>
              <w:ind w:firstLine="480" w:firstLineChars="200"/>
              <w:jc w:val="both"/>
              <w:rPr>
                <w:rFonts w:ascii="Times New Roman" w:hAnsi="Times New Roman" w:cs="Times New Roman"/>
                <w:b/>
                <w:bCs/>
                <w:color w:val="auto"/>
              </w:rPr>
            </w:pPr>
            <w:r>
              <w:rPr>
                <w:rFonts w:ascii="Times New Roman" w:hAnsi="Times New Roman" w:cs="Times New Roman"/>
                <w:color w:val="auto"/>
              </w:rPr>
              <w:t>具体建设内容见下表</w:t>
            </w:r>
            <w:r>
              <w:rPr>
                <w:rFonts w:hint="eastAsia" w:ascii="Times New Roman" w:hAnsi="Times New Roman" w:cs="Times New Roman"/>
                <w:color w:val="auto"/>
              </w:rPr>
              <w:t>2-1</w:t>
            </w:r>
            <w:r>
              <w:rPr>
                <w:rFonts w:ascii="Times New Roman" w:hAnsi="Times New Roman" w:cs="Times New Roman"/>
                <w:color w:val="auto"/>
              </w:rPr>
              <w:t>：</w:t>
            </w:r>
          </w:p>
          <w:p>
            <w:pPr>
              <w:widowControl/>
              <w:numPr>
                <w:ilvl w:val="0"/>
                <w:numId w:val="2"/>
              </w:numPr>
              <w:spacing w:line="360" w:lineRule="auto"/>
              <w:ind w:firstLine="482" w:firstLineChars="200"/>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项目建设内容</w:t>
            </w:r>
          </w:p>
          <w:p>
            <w:pPr>
              <w:pStyle w:val="20"/>
              <w:widowControl w:val="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 xml:space="preserve">表2-1 </w:t>
            </w:r>
            <w:r>
              <w:rPr>
                <w:rFonts w:ascii="Times New Roman" w:hAnsi="Times New Roman" w:eastAsia="宋体" w:cs="Times New Roman"/>
                <w:b/>
                <w:bCs/>
                <w:color w:val="auto"/>
                <w:sz w:val="21"/>
                <w:szCs w:val="21"/>
              </w:rPr>
              <w:t>项目建设内容</w:t>
            </w:r>
            <w:r>
              <w:rPr>
                <w:rFonts w:hint="eastAsia" w:ascii="Times New Roman" w:hAnsi="Times New Roman" w:eastAsia="宋体" w:cs="Times New Roman"/>
                <w:b/>
                <w:bCs/>
                <w:color w:val="auto"/>
                <w:sz w:val="21"/>
                <w:szCs w:val="21"/>
              </w:rPr>
              <w:t>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1773"/>
              <w:gridCol w:w="3590"/>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工程类别</w:t>
                  </w: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项目名称</w:t>
                  </w:r>
                </w:p>
              </w:tc>
              <w:tc>
                <w:tcPr>
                  <w:tcW w:w="2051"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建设内容</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主体工程</w:t>
                  </w: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2051"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700m</w:t>
                  </w:r>
                  <w:r>
                    <w:rPr>
                      <w:rFonts w:hint="eastAsia" w:ascii="Times New Roman" w:hAnsi="Times New Roman" w:eastAsia="宋体" w:cs="Times New Roman"/>
                      <w:color w:val="auto"/>
                      <w:sz w:val="21"/>
                      <w:szCs w:val="21"/>
                      <w:vertAlign w:val="superscript"/>
                      <w:lang w:val="en-US" w:eastAsia="zh-CN"/>
                    </w:rPr>
                    <w:t>2</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continue"/>
                  <w:vAlign w:val="center"/>
                </w:tcPr>
                <w:p>
                  <w:pPr>
                    <w:widowControl w:val="0"/>
                    <w:autoSpaceDE w:val="0"/>
                    <w:autoSpaceDN w:val="0"/>
                    <w:snapToGrid/>
                    <w:jc w:val="center"/>
                    <w:rPr>
                      <w:rFonts w:hint="eastAsia"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烘干房</w:t>
                  </w:r>
                </w:p>
              </w:tc>
              <w:tc>
                <w:tcPr>
                  <w:tcW w:w="2051"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，以焦炭作为燃料</w:t>
                  </w:r>
                </w:p>
              </w:tc>
              <w:tc>
                <w:tcPr>
                  <w:tcW w:w="1307"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改为电烘干，更为环保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continue"/>
                  <w:vAlign w:val="center"/>
                </w:tcPr>
                <w:p>
                  <w:pPr>
                    <w:widowControl w:val="0"/>
                    <w:autoSpaceDE w:val="0"/>
                    <w:autoSpaceDN w:val="0"/>
                    <w:snapToGrid/>
                    <w:jc w:val="center"/>
                    <w:rPr>
                      <w:rFonts w:hint="eastAsia"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原料、成品仓库</w:t>
                  </w:r>
                </w:p>
              </w:tc>
              <w:tc>
                <w:tcPr>
                  <w:tcW w:w="2051"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2000m</w:t>
                  </w:r>
                  <w:r>
                    <w:rPr>
                      <w:rFonts w:hint="eastAsia" w:ascii="Times New Roman" w:hAnsi="Times New Roman" w:eastAsia="宋体" w:cs="Times New Roman"/>
                      <w:color w:val="auto"/>
                      <w:sz w:val="21"/>
                      <w:szCs w:val="21"/>
                      <w:vertAlign w:val="superscript"/>
                      <w:lang w:val="en-US" w:eastAsia="zh-CN"/>
                    </w:rPr>
                    <w:t>2</w:t>
                  </w:r>
                </w:p>
              </w:tc>
              <w:tc>
                <w:tcPr>
                  <w:tcW w:w="1307"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公用及辅助工程</w:t>
                  </w: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供水系统</w:t>
                  </w:r>
                </w:p>
              </w:tc>
              <w:tc>
                <w:tcPr>
                  <w:tcW w:w="2051"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市政自来水提供</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供电系统</w:t>
                  </w:r>
                </w:p>
              </w:tc>
              <w:tc>
                <w:tcPr>
                  <w:tcW w:w="2051"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由市政电网统一提供</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排水工程</w:t>
                  </w:r>
                </w:p>
              </w:tc>
              <w:tc>
                <w:tcPr>
                  <w:tcW w:w="2051" w:type="pct"/>
                  <w:vAlign w:val="center"/>
                </w:tcPr>
                <w:p>
                  <w:pPr>
                    <w:widowControl w:val="0"/>
                    <w:autoSpaceDE w:val="0"/>
                    <w:autoSpaceDN w:val="0"/>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雨污分流</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环保设施</w:t>
                  </w: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废气治理</w:t>
                  </w:r>
                </w:p>
              </w:tc>
              <w:tc>
                <w:tcPr>
                  <w:tcW w:w="2051"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水喷淋+活性炭+UV光解+15m排气筒</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28"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废水治理</w:t>
                  </w:r>
                </w:p>
              </w:tc>
              <w:tc>
                <w:tcPr>
                  <w:tcW w:w="2051"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无生产废水产生，生活污水经三级化粪池处理</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8"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噪声治理</w:t>
                  </w:r>
                </w:p>
              </w:tc>
              <w:tc>
                <w:tcPr>
                  <w:tcW w:w="2051"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采用低噪声设备，机械设备合理布局</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8"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Merge w:val="restart"/>
                  <w:vAlign w:val="center"/>
                </w:tcPr>
                <w:p>
                  <w:pPr>
                    <w:widowControl w:val="0"/>
                    <w:autoSpaceDE w:val="0"/>
                    <w:autoSpaceDN w:val="0"/>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固废处置</w:t>
                  </w:r>
                </w:p>
              </w:tc>
              <w:tc>
                <w:tcPr>
                  <w:tcW w:w="2051" w:type="pct"/>
                  <w:vAlign w:val="center"/>
                </w:tcPr>
                <w:p>
                  <w:pPr>
                    <w:widowControl w:val="0"/>
                    <w:autoSpaceDE w:val="0"/>
                    <w:autoSpaceDN w:val="0"/>
                    <w:snapToGrid/>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生产固废统一收集后回收综合利用</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28" w:type="pct"/>
                  <w:vMerge w:val="continue"/>
                  <w:vAlign w:val="center"/>
                </w:tcPr>
                <w:p>
                  <w:pPr>
                    <w:widowControl w:val="0"/>
                    <w:autoSpaceDE w:val="0"/>
                    <w:autoSpaceDN w:val="0"/>
                    <w:snapToGrid/>
                    <w:jc w:val="center"/>
                    <w:rPr>
                      <w:rFonts w:ascii="Times New Roman" w:hAnsi="Times New Roman" w:eastAsia="宋体" w:cs="Times New Roman"/>
                      <w:color w:val="auto"/>
                      <w:sz w:val="21"/>
                      <w:szCs w:val="21"/>
                    </w:rPr>
                  </w:pPr>
                </w:p>
              </w:tc>
              <w:tc>
                <w:tcPr>
                  <w:tcW w:w="1013" w:type="pct"/>
                  <w:vMerge w:val="continue"/>
                  <w:vAlign w:val="center"/>
                </w:tcPr>
                <w:p>
                  <w:pPr>
                    <w:widowControl w:val="0"/>
                    <w:autoSpaceDE w:val="0"/>
                    <w:autoSpaceDN w:val="0"/>
                    <w:snapToGrid/>
                    <w:jc w:val="center"/>
                    <w:rPr>
                      <w:rFonts w:hint="eastAsia" w:ascii="Times New Roman" w:hAnsi="Times New Roman" w:eastAsia="宋体" w:cs="Times New Roman"/>
                      <w:color w:val="auto"/>
                      <w:sz w:val="21"/>
                      <w:szCs w:val="21"/>
                    </w:rPr>
                  </w:pPr>
                </w:p>
              </w:tc>
              <w:tc>
                <w:tcPr>
                  <w:tcW w:w="2051" w:type="pct"/>
                  <w:vAlign w:val="center"/>
                </w:tcPr>
                <w:p>
                  <w:pPr>
                    <w:widowControl w:val="0"/>
                    <w:autoSpaceDE w:val="0"/>
                    <w:autoSpaceDN w:val="0"/>
                    <w:snapToGrid/>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设置生活垃圾桶，统一收集后，委托环卫部门每日清运处置。</w:t>
                  </w:r>
                </w:p>
              </w:tc>
              <w:tc>
                <w:tcPr>
                  <w:tcW w:w="1307" w:type="pct"/>
                  <w:vAlign w:val="center"/>
                </w:tcPr>
                <w:p>
                  <w:pPr>
                    <w:widowControl w:val="0"/>
                    <w:autoSpaceDE w:val="0"/>
                    <w:autoSpaceDN w:val="0"/>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与环评一致</w:t>
                  </w:r>
                </w:p>
              </w:tc>
            </w:tr>
          </w:tbl>
          <w:p>
            <w:pPr>
              <w:pStyle w:val="28"/>
              <w:jc w:val="center"/>
              <w:rPr>
                <w:rFonts w:ascii="Times New Roman" w:hAnsi="Times New Roman" w:cs="Times New Roman"/>
                <w:b/>
                <w:bCs/>
                <w:color w:val="0000FF"/>
                <w:sz w:val="21"/>
                <w:szCs w:val="21"/>
              </w:rPr>
            </w:pPr>
          </w:p>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 xml:space="preserve">表2-2 </w:t>
            </w:r>
            <w:r>
              <w:rPr>
                <w:rFonts w:ascii="Times New Roman" w:hAnsi="Times New Roman" w:cs="Times New Roman"/>
                <w:b/>
                <w:bCs/>
                <w:color w:val="auto"/>
                <w:sz w:val="21"/>
                <w:szCs w:val="21"/>
              </w:rPr>
              <w:t>项目</w:t>
            </w:r>
            <w:r>
              <w:rPr>
                <w:rFonts w:hint="eastAsia" w:ascii="Times New Roman" w:hAnsi="Times New Roman" w:cs="Times New Roman"/>
                <w:b/>
                <w:bCs/>
                <w:color w:val="auto"/>
                <w:sz w:val="21"/>
                <w:szCs w:val="21"/>
              </w:rPr>
              <w:t>产品方案</w:t>
            </w:r>
          </w:p>
          <w:tbl>
            <w:tblPr>
              <w:tblStyle w:val="22"/>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3440"/>
              <w:gridCol w:w="391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92"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产品</w:t>
                  </w:r>
                </w:p>
              </w:tc>
              <w:tc>
                <w:tcPr>
                  <w:tcW w:w="1966"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环评设计生产能力</w:t>
                  </w:r>
                </w:p>
              </w:tc>
              <w:tc>
                <w:tcPr>
                  <w:tcW w:w="2240"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实际生产能力</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9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岩棉制品</w:t>
                  </w:r>
                </w:p>
              </w:tc>
              <w:tc>
                <w:tcPr>
                  <w:tcW w:w="1966" w:type="pct"/>
                  <w:tcBorders>
                    <w:tl2br w:val="nil"/>
                    <w:tr2bl w:val="nil"/>
                  </w:tcBorders>
                  <w:vAlign w:val="center"/>
                </w:tcPr>
                <w:p>
                  <w:pPr>
                    <w:widowControl w:val="0"/>
                    <w:jc w:val="center"/>
                    <w:rPr>
                      <w:rFonts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年产岩棉制品10000立方米和复合硅酸盐保温制品3000立方米</w:t>
                  </w:r>
                </w:p>
              </w:tc>
              <w:tc>
                <w:tcPr>
                  <w:tcW w:w="2240" w:type="pct"/>
                  <w:tcBorders>
                    <w:tl2br w:val="nil"/>
                    <w:tr2bl w:val="nil"/>
                  </w:tcBorders>
                  <w:vAlign w:val="center"/>
                </w:tcPr>
                <w:p>
                  <w:pPr>
                    <w:widowControl w:val="0"/>
                    <w:jc w:val="center"/>
                    <w:rPr>
                      <w:rFonts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年产岩棉制品10000立方米和复合硅酸盐保温制品3000立方米</w:t>
                  </w:r>
                </w:p>
              </w:tc>
            </w:tr>
          </w:tbl>
          <w:p>
            <w:pPr>
              <w:pStyle w:val="28"/>
              <w:jc w:val="center"/>
              <w:rPr>
                <w:rFonts w:ascii="Times New Roman" w:hAnsi="Times New Roman" w:cs="Times New Roman"/>
                <w:b/>
                <w:bCs/>
                <w:color w:val="0000FF"/>
                <w:sz w:val="21"/>
                <w:szCs w:val="21"/>
              </w:rPr>
            </w:pPr>
          </w:p>
          <w:p>
            <w:pPr>
              <w:pStyle w:val="28"/>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表2-3 主要生产设备一览表</w:t>
            </w:r>
          </w:p>
          <w:tbl>
            <w:tblPr>
              <w:tblStyle w:val="21"/>
              <w:tblW w:w="4989"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790"/>
              <w:gridCol w:w="1864"/>
              <w:gridCol w:w="1111"/>
              <w:gridCol w:w="2175"/>
              <w:gridCol w:w="1113"/>
              <w:gridCol w:w="167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序号</w:t>
                  </w:r>
                </w:p>
              </w:tc>
              <w:tc>
                <w:tcPr>
                  <w:tcW w:w="1067"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设备名称</w:t>
                  </w:r>
                </w:p>
              </w:tc>
              <w:tc>
                <w:tcPr>
                  <w:tcW w:w="636"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环评数量</w:t>
                  </w:r>
                </w:p>
              </w:tc>
              <w:tc>
                <w:tcPr>
                  <w:tcW w:w="1245" w:type="pct"/>
                  <w:tcBorders>
                    <w:tl2br w:val="nil"/>
                    <w:tr2bl w:val="nil"/>
                  </w:tcBorders>
                  <w:vAlign w:val="center"/>
                </w:tcPr>
                <w:p>
                  <w:pPr>
                    <w:pStyle w:val="28"/>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型号</w:t>
                  </w:r>
                </w:p>
              </w:tc>
              <w:tc>
                <w:tcPr>
                  <w:tcW w:w="637" w:type="pct"/>
                  <w:tcBorders>
                    <w:tl2br w:val="nil"/>
                    <w:tr2bl w:val="nil"/>
                  </w:tcBorders>
                  <w:vAlign w:val="center"/>
                </w:tcPr>
                <w:p>
                  <w:pPr>
                    <w:pStyle w:val="28"/>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实际数量</w:t>
                  </w:r>
                </w:p>
              </w:tc>
              <w:tc>
                <w:tcPr>
                  <w:tcW w:w="960" w:type="pct"/>
                  <w:tcBorders>
                    <w:tl2br w:val="nil"/>
                    <w:tr2bl w:val="nil"/>
                  </w:tcBorders>
                  <w:vAlign w:val="center"/>
                </w:tcPr>
                <w:p>
                  <w:pPr>
                    <w:pStyle w:val="28"/>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烘干房</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1间</w:t>
                  </w:r>
                </w:p>
              </w:tc>
              <w:tc>
                <w:tcPr>
                  <w:tcW w:w="1245" w:type="pct"/>
                  <w:tcBorders>
                    <w:tl2br w:val="nil"/>
                    <w:tr2bl w:val="nil"/>
                  </w:tcBorders>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3"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1间</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2</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搅拌机</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1台</w:t>
                  </w:r>
                </w:p>
              </w:tc>
              <w:tc>
                <w:tcPr>
                  <w:tcW w:w="1245"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3"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1台</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452" w:type="pct"/>
                  <w:tcBorders>
                    <w:tl2br w:val="nil"/>
                    <w:tr2bl w:val="nil"/>
                  </w:tcBorders>
                  <w:vAlign w:val="center"/>
                </w:tcPr>
                <w:p>
                  <w:pPr>
                    <w:pStyle w:val="28"/>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3</w:t>
                  </w:r>
                </w:p>
              </w:tc>
              <w:tc>
                <w:tcPr>
                  <w:tcW w:w="1067"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成型机</w:t>
                  </w:r>
                </w:p>
              </w:tc>
              <w:tc>
                <w:tcPr>
                  <w:tcW w:w="636" w:type="pct"/>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2台</w:t>
                  </w:r>
                </w:p>
              </w:tc>
              <w:tc>
                <w:tcPr>
                  <w:tcW w:w="1245" w:type="pct"/>
                  <w:tcBorders>
                    <w:tl2br w:val="nil"/>
                    <w:tr2bl w:val="nil"/>
                  </w:tcBorders>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13" w:type="dxa"/>
                  <w:tcBorders>
                    <w:tl2br w:val="nil"/>
                    <w:tr2bl w:val="nil"/>
                  </w:tcBorders>
                  <w:vAlign w:val="center"/>
                </w:tcPr>
                <w:p>
                  <w:pPr>
                    <w:pStyle w:val="28"/>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2台</w:t>
                  </w:r>
                </w:p>
              </w:tc>
              <w:tc>
                <w:tcPr>
                  <w:tcW w:w="960" w:type="pct"/>
                  <w:tcBorders>
                    <w:tl2br w:val="nil"/>
                    <w:tr2bl w:val="nil"/>
                  </w:tcBorders>
                  <w:vAlign w:val="center"/>
                </w:tcPr>
                <w:p>
                  <w:pPr>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w:t>
                  </w:r>
                </w:p>
              </w:tc>
            </w:tr>
          </w:tbl>
          <w:p>
            <w:pPr>
              <w:pStyle w:val="28"/>
              <w:spacing w:before="200" w:line="360" w:lineRule="auto"/>
              <w:ind w:left="440" w:leftChars="200"/>
              <w:jc w:val="both"/>
              <w:rPr>
                <w:rFonts w:ascii="Times New Roman" w:hAnsi="Times New Roman" w:cs="Times New Roman"/>
                <w:b/>
                <w:bCs/>
                <w:color w:val="auto"/>
              </w:rPr>
            </w:pPr>
            <w:r>
              <w:rPr>
                <w:rFonts w:ascii="Times New Roman" w:hAnsi="Times New Roman" w:cs="Times New Roman"/>
                <w:b/>
                <w:bCs/>
                <w:color w:val="auto"/>
              </w:rPr>
              <w:t>3、验收范围</w:t>
            </w:r>
          </w:p>
          <w:p>
            <w:pPr>
              <w:pStyle w:val="28"/>
              <w:spacing w:line="360" w:lineRule="auto"/>
              <w:ind w:firstLine="480" w:firstLineChars="200"/>
              <w:jc w:val="both"/>
              <w:rPr>
                <w:rFonts w:ascii="Times New Roman" w:hAnsi="Times New Roman" w:cs="Times New Roman"/>
                <w:b/>
                <w:bCs/>
                <w:color w:val="auto"/>
              </w:rPr>
            </w:pPr>
            <w:r>
              <w:rPr>
                <w:rFonts w:hint="eastAsia" w:ascii="Times New Roman" w:hAnsi="Times New Roman" w:cs="Times New Roman"/>
                <w:color w:val="auto"/>
                <w:sz w:val="24"/>
                <w:szCs w:val="24"/>
                <w:vertAlign w:val="baseline"/>
                <w:lang w:val="en-US" w:eastAsia="zh-CN"/>
              </w:rPr>
              <w:t>长泰中原保温材料有限公司年产岩棉制品10000立方米和复合硅酸盐保温制品3000立方米建设项目选址于长泰古农农场银塘工业区</w:t>
            </w:r>
            <w:r>
              <w:rPr>
                <w:rFonts w:hint="default" w:ascii="Times New Roman" w:hAnsi="Times New Roman" w:cs="Times New Roman"/>
                <w:color w:val="auto"/>
                <w:sz w:val="24"/>
                <w:szCs w:val="24"/>
                <w:vertAlign w:val="baseline"/>
                <w:lang w:val="en-US" w:eastAsia="zh-CN"/>
              </w:rPr>
              <w:t>，目前项目已竣工并开始进行调试</w:t>
            </w:r>
            <w:r>
              <w:rPr>
                <w:rFonts w:hint="eastAsia" w:ascii="Times New Roman" w:hAnsi="Times New Roman" w:cs="Times New Roman"/>
                <w:color w:val="auto"/>
                <w:sz w:val="24"/>
                <w:szCs w:val="24"/>
                <w:vertAlign w:val="baseline"/>
                <w:lang w:val="en-US" w:eastAsia="zh-CN"/>
              </w:rPr>
              <w:t>经营</w:t>
            </w:r>
            <w:r>
              <w:rPr>
                <w:rFonts w:hint="default" w:ascii="Times New Roman" w:hAnsi="Times New Roman" w:cs="Times New Roman"/>
                <w:color w:val="auto"/>
                <w:sz w:val="24"/>
                <w:szCs w:val="24"/>
                <w:vertAlign w:val="baseline"/>
                <w:lang w:val="en-US" w:eastAsia="zh-CN"/>
              </w:rPr>
              <w:t>，本次验收范围为</w:t>
            </w:r>
            <w:r>
              <w:rPr>
                <w:rFonts w:hint="eastAsia" w:ascii="Times New Roman" w:hAnsi="Times New Roman" w:cs="Times New Roman"/>
                <w:color w:val="auto"/>
                <w:sz w:val="24"/>
                <w:szCs w:val="24"/>
                <w:vertAlign w:val="baseline"/>
                <w:lang w:val="en-US" w:eastAsia="zh-CN"/>
              </w:rPr>
              <w:t>长泰中原保温材料有限公司年产岩棉制品10000立方米和复合硅酸盐保温制品3000立方米建设项目</w:t>
            </w:r>
            <w:r>
              <w:rPr>
                <w:rFonts w:hint="default" w:ascii="Times New Roman" w:hAnsi="Times New Roman" w:cs="Times New Roman"/>
                <w:color w:val="auto"/>
                <w:sz w:val="24"/>
                <w:szCs w:val="24"/>
                <w:vertAlign w:val="baseline"/>
                <w:lang w:val="en-US" w:eastAsia="zh-CN"/>
              </w:rPr>
              <w:t>的性质、规模、地点、生产工艺设备及污染防治措施</w:t>
            </w:r>
            <w:r>
              <w:rPr>
                <w:rFonts w:hint="default" w:ascii="Times New Roman" w:hAnsi="Times New Roman" w:eastAsia="宋体" w:cs="Times New Roman"/>
                <w:color w:val="auto"/>
                <w:sz w:val="24"/>
                <w:szCs w:val="24"/>
                <w:vertAlign w:val="baseline"/>
                <w:lang w:val="en-US" w:eastAsia="zh-CN"/>
              </w:rPr>
              <w:t>。</w:t>
            </w:r>
          </w:p>
          <w:p>
            <w:pPr>
              <w:pStyle w:val="28"/>
              <w:spacing w:line="360" w:lineRule="auto"/>
              <w:ind w:firstLine="482" w:firstLineChars="200"/>
              <w:jc w:val="left"/>
              <w:rPr>
                <w:rFonts w:ascii="Times New Roman" w:hAnsi="Times New Roman" w:cs="Times New Roman"/>
                <w:b/>
                <w:bCs/>
                <w:color w:val="auto"/>
              </w:rPr>
            </w:pPr>
            <w:r>
              <w:rPr>
                <w:rFonts w:ascii="Times New Roman" w:hAnsi="Times New Roman" w:cs="Times New Roman"/>
                <w:b/>
                <w:bCs/>
                <w:color w:val="auto"/>
              </w:rPr>
              <w:t>4、工程变动情况</w:t>
            </w:r>
          </w:p>
          <w:p>
            <w:pPr>
              <w:widowControl w:val="0"/>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中华人民共和国环境影响评价法》和《建设项目环境保护管理条例》有关规定：“建设项目的环境影响评价文件经批准后，建设项目的性质、规模、地点、采用的生产工艺或者防治污染、防止生态破坏的措施发生重大变动的，建设单位应当重新报批建设项目的环境影响评价文件”。根据环境保护部办公厅文件《关于印发环评管理中部分行业建设项目重大变动清单的通知》（环办〔2015〕52号），建设项目的性质、规模、地点、生产工艺和环境保护措施五个因素中的一项或一项以上发生重大变动，且可能导致环境影响显著变化（特别是不利环境影响加重）的，界定为重大变动。</w:t>
            </w:r>
          </w:p>
          <w:p>
            <w:pPr>
              <w:widowControl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本项目实际性质、生产规模、建设地点、环保措施与环评设计基本一致</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燃焦炭烘干房改为通电烘干房，更为环保，故不属于重大变更。</w:t>
            </w:r>
          </w:p>
          <w:p>
            <w:pPr>
              <w:pStyle w:val="28"/>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14:textFill>
                  <w14:solidFill>
                    <w14:schemeClr w14:val="tx1"/>
                  </w14:solidFill>
                </w14:textFill>
              </w:rPr>
              <w:t>项目</w:t>
            </w:r>
            <w:r>
              <w:rPr>
                <w:rFonts w:hint="eastAsia" w:ascii="Times New Roman" w:hAnsi="Times New Roman" w:eastAsia="宋体" w:cs="Times New Roman"/>
                <w:color w:val="000000" w:themeColor="text1"/>
                <w:sz w:val="24"/>
                <w:lang w:val="en-US" w:eastAsia="zh-CN"/>
                <w14:textFill>
                  <w14:solidFill>
                    <w14:schemeClr w14:val="tx1"/>
                  </w14:solidFill>
                </w14:textFill>
              </w:rPr>
              <w:t>产生的废水主要有生活污水</w:t>
            </w:r>
            <w:r>
              <w:rPr>
                <w:rFonts w:hint="eastAsia" w:ascii="Times New Roman" w:hAnsi="Times New Roman" w:eastAsia="宋体" w:cs="Times New Roman"/>
                <w:color w:val="000000" w:themeColor="text1"/>
                <w:sz w:val="24"/>
                <w14:textFill>
                  <w14:solidFill>
                    <w14:schemeClr w14:val="tx1"/>
                  </w14:solidFill>
                </w14:textFill>
              </w:rPr>
              <w:t>。</w:t>
            </w:r>
          </w:p>
          <w:p>
            <w:pPr>
              <w:widowControl/>
              <w:spacing w:line="360" w:lineRule="auto"/>
              <w:ind w:firstLine="480" w:firstLineChars="200"/>
              <w:jc w:val="both"/>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14:textFill>
                  <w14:solidFill>
                    <w14:schemeClr w14:val="tx1"/>
                  </w14:solidFill>
                </w14:textFill>
              </w:rPr>
              <w:t>项目员工人数为</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eastAsia" w:ascii="Times New Roman" w:hAnsi="Times New Roman" w:eastAsia="宋体" w:cs="Times New Roman"/>
                <w:color w:val="000000" w:themeColor="text1"/>
                <w:sz w:val="24"/>
                <w14:textFill>
                  <w14:solidFill>
                    <w14:schemeClr w14:val="tx1"/>
                  </w14:solidFill>
                </w14:textFill>
              </w:rPr>
              <w:t>人，</w:t>
            </w:r>
            <w:r>
              <w:rPr>
                <w:rFonts w:hint="eastAsia" w:ascii="Times New Roman" w:hAnsi="Times New Roman" w:eastAsia="宋体" w:cs="Times New Roman"/>
                <w:color w:val="000000" w:themeColor="text1"/>
                <w:sz w:val="24"/>
                <w:lang w:val="en-US" w:eastAsia="zh-CN"/>
                <w14:textFill>
                  <w14:solidFill>
                    <w14:schemeClr w14:val="tx1"/>
                  </w14:solidFill>
                </w14:textFill>
              </w:rPr>
              <w:t>经核实，本项目生活用水量为500t/a</w:t>
            </w:r>
            <w:r>
              <w:rPr>
                <w:rFonts w:hint="eastAsia" w:ascii="Times New Roman" w:hAnsi="Times New Roman" w:eastAsia="宋体" w:cs="Times New Roman"/>
                <w:color w:val="000000" w:themeColor="text1"/>
                <w:sz w:val="24"/>
                <w14:textFill>
                  <w14:solidFill>
                    <w14:schemeClr w14:val="tx1"/>
                  </w14:solidFill>
                </w14:textFill>
              </w:rPr>
              <w:t>，生活污水产生量为</w:t>
            </w:r>
            <w:r>
              <w:rPr>
                <w:rFonts w:hint="eastAsia" w:ascii="Times New Roman" w:hAnsi="Times New Roman" w:eastAsia="宋体" w:cs="Times New Roman"/>
                <w:color w:val="000000" w:themeColor="text1"/>
                <w:sz w:val="24"/>
                <w:lang w:val="en-US" w:eastAsia="zh-CN"/>
                <w14:textFill>
                  <w14:solidFill>
                    <w14:schemeClr w14:val="tx1"/>
                  </w14:solidFill>
                </w14:textFill>
              </w:rPr>
              <w:t>400t/a，</w:t>
            </w:r>
            <w:r>
              <w:rPr>
                <w:rFonts w:hint="eastAsia" w:ascii="Times New Roman" w:hAnsi="Times New Roman" w:eastAsia="宋体" w:cs="Times New Roman"/>
                <w:color w:val="000000" w:themeColor="text1"/>
                <w:sz w:val="24"/>
                <w14:textFill>
                  <w14:solidFill>
                    <w14:schemeClr w14:val="tx1"/>
                  </w14:solidFill>
                </w14:textFill>
              </w:rPr>
              <w:t>生活污水经化粪池处理后</w:t>
            </w:r>
            <w:r>
              <w:rPr>
                <w:rFonts w:hint="eastAsia" w:ascii="Times New Roman" w:hAnsi="Times New Roman" w:eastAsia="宋体" w:cs="Times New Roman"/>
                <w:color w:val="000000" w:themeColor="text1"/>
                <w:sz w:val="24"/>
                <w:lang w:val="en-US" w:eastAsia="zh-CN"/>
                <w14:textFill>
                  <w14:solidFill>
                    <w14:schemeClr w14:val="tx1"/>
                  </w14:solidFill>
                </w14:textFill>
              </w:rPr>
              <w:t>通过市政污水管网排入长泰西区污水处理厂</w:t>
            </w:r>
            <w:r>
              <w:rPr>
                <w:rFonts w:hint="eastAsia" w:ascii="Times New Roman" w:hAnsi="Times New Roman" w:eastAsia="宋体" w:cs="Times New Roman"/>
                <w:color w:val="000000" w:themeColor="text1"/>
                <w:sz w:val="24"/>
                <w14:textFill>
                  <w14:solidFill>
                    <w14:schemeClr w14:val="tx1"/>
                  </w14:solidFill>
                </w14:textFill>
              </w:rPr>
              <w:t>。</w:t>
            </w:r>
          </w:p>
          <w:p>
            <w:pPr>
              <w:widowControl/>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工程水平衡图见图</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1。</w:t>
            </w:r>
          </w:p>
          <w:p>
            <w:pPr>
              <w:widowControl/>
              <w:spacing w:line="360" w:lineRule="auto"/>
              <w:jc w:val="both"/>
              <w:rPr>
                <w:rFonts w:hint="eastAsia" w:ascii="Times New Roman" w:hAnsi="Times New Roman" w:eastAsia="宋体" w:cs="Times New Roman"/>
                <w:color w:val="0000FF"/>
                <w:sz w:val="24"/>
                <w:szCs w:val="24"/>
                <w:lang w:eastAsia="zh-CN"/>
              </w:rPr>
            </w:pPr>
            <w:r>
              <w:rPr>
                <w:sz w:val="24"/>
              </w:rPr>
              <mc:AlternateContent>
                <mc:Choice Requires="wps">
                  <w:drawing>
                    <wp:anchor distT="0" distB="0" distL="114300" distR="114300" simplePos="0" relativeHeight="3300083712" behindDoc="0" locked="0" layoutInCell="1" allowOverlap="1">
                      <wp:simplePos x="0" y="0"/>
                      <wp:positionH relativeFrom="column">
                        <wp:posOffset>1169035</wp:posOffset>
                      </wp:positionH>
                      <wp:positionV relativeFrom="paragraph">
                        <wp:posOffset>313055</wp:posOffset>
                      </wp:positionV>
                      <wp:extent cx="361950" cy="0"/>
                      <wp:effectExtent l="0" t="38100" r="0" b="38100"/>
                      <wp:wrapNone/>
                      <wp:docPr id="14" name="直接箭头连接符 14"/>
                      <wp:cNvGraphicFramePr/>
                      <a:graphic xmlns:a="http://schemas.openxmlformats.org/drawingml/2006/main">
                        <a:graphicData uri="http://schemas.microsoft.com/office/word/2010/wordprocessingShape">
                          <wps:wsp>
                            <wps:cNvCnPr/>
                            <wps:spPr>
                              <a:xfrm>
                                <a:off x="1601470" y="5275580"/>
                                <a:ext cx="3619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2.05pt;margin-top:24.65pt;height:0pt;width:28.5pt;z-index:-994883584;mso-width-relative:page;mso-height-relative:page;" filled="f" stroked="t" coordsize="21600,21600" o:gfxdata="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Y8SZ1AAAAAkBAAAPAAAAAAAAAAEAIAAAACIAAABk&#10;cnMvZG93bnJldi54bWxQSwECFAAUAAAACACHTuJAf+naxAoCAADKAwAADgAAAAAAAAABACAAAAAj&#10;AQAAZHJzL2Uyb0RvYy54bWxQSwUGAAAAAAYABgBZAQAAnwUAAAAA&#10;">
                      <v:fill on="f" focussize="0,0"/>
                      <v:stroke weight="0.5pt" color="#000000 [3213]" miterlimit="8" joinstyle="miter" endarrow="block"/>
                      <v:imagedata o:title=""/>
                      <o:lock v:ext="edit" aspectratio="f"/>
                    </v:shape>
                  </w:pict>
                </mc:Fallback>
              </mc:AlternateContent>
            </w:r>
            <w:r>
              <w:rPr>
                <w:sz w:val="24"/>
              </w:rPr>
              <mc:AlternateContent>
                <mc:Choice Requires="wpc">
                  <w:drawing>
                    <wp:inline distT="0" distB="0" distL="114300" distR="114300">
                      <wp:extent cx="5486400" cy="624840"/>
                      <wp:effectExtent l="6350" t="0" r="12700" b="22860"/>
                      <wp:docPr id="12" name="画布 12"/>
                      <wp:cNvGraphicFramePr/>
                      <a:graphic xmlns:a="http://schemas.openxmlformats.org/drawingml/2006/main">
                        <a:graphicData uri="http://schemas.microsoft.com/office/word/2010/wordprocessingCanvas">
                          <wpc:wpc>
                            <wpc:bg/>
                            <wpc:whole/>
                            <wps:wsp>
                              <wps:cNvPr id="13" name="矩形 13"/>
                              <wps:cNvSpPr/>
                              <wps:spPr>
                                <a:xfrm>
                                  <a:off x="0" y="141605"/>
                                  <a:ext cx="115316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新鲜水</w:t>
                                    </w:r>
                                    <w:r>
                                      <w:rPr>
                                        <w:rFonts w:hint="eastAsia" w:ascii="Times New Roman" w:hAnsi="Times New Roman" w:eastAsia="宋体" w:cs="Times New Roman"/>
                                        <w:color w:val="000000" w:themeColor="text1"/>
                                        <w:lang w:val="en-US" w:eastAsia="zh-CN"/>
                                        <w14:textFill>
                                          <w14:solidFill>
                                            <w14:schemeClr w14:val="tx1"/>
                                          </w14:solidFill>
                                        </w14:textFill>
                                      </w:rPr>
                                      <w:t xml:space="preserve"> 500t/a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1551305" y="151130"/>
                                  <a:ext cx="755015"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17"/>
                              <wps:cNvCnPr/>
                              <wps:spPr>
                                <a:xfrm>
                                  <a:off x="2313305" y="313055"/>
                                  <a:ext cx="3619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矩形 18"/>
                              <wps:cNvSpPr/>
                              <wps:spPr>
                                <a:xfrm>
                                  <a:off x="2703830" y="84455"/>
                                  <a:ext cx="716915"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生活污水400t/a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直接箭头连接符 19"/>
                              <wps:cNvCnPr/>
                              <wps:spPr>
                                <a:xfrm>
                                  <a:off x="3418205" y="313055"/>
                                  <a:ext cx="3619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矩形 20"/>
                              <wps:cNvSpPr/>
                              <wps:spPr>
                                <a:xfrm>
                                  <a:off x="3780155" y="65405"/>
                                  <a:ext cx="621665"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市政污水管网水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21"/>
                              <wps:cNvSpPr/>
                              <wps:spPr>
                                <a:xfrm>
                                  <a:off x="4769485" y="9525"/>
                                  <a:ext cx="716915" cy="619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长泰西区污水处理厂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22"/>
                              <wps:cNvCnPr/>
                              <wps:spPr>
                                <a:xfrm>
                                  <a:off x="4399280" y="313055"/>
                                  <a:ext cx="3619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9.2pt;width:432pt;" coordsize="5486400,624840" editas="canvas" o:gfxdata="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FXICNtUAAAAEAQAADwAAAAAAAAABACAA&#10;AAAiAAAAZHJzL2Rvd25yZXYueG1sUEsBAhQAFAAAAAgAh07iQMqzrttKBAAAdxgAAA4AAAAAAAAA&#10;AQAgAAAAJAEAAGRycy9lMm9Eb2MueG1sUEsFBgAAAAAGAAYAWQEAAOAHAAAAAA==&#10;">
                      <o:lock v:ext="edit" aspectratio="f"/>
                      <v:shape id="_x0000_s1026" o:spid="_x0000_s1026" style="position:absolute;left:0;top:0;height:624840;width:5486400;" filled="f" stroked="f" coordsize="21600,21600" o:gfxdata="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BVyAjbVAAAABAEAAA8AAAAAAAAAAQAgAAAAIgAAAGRycy9kb3ducmV2Lnht&#10;bFBLAQIUABQAAAAIAIdO4kC0RDLO/QMAAL4XAAAOAAAAAAAAAAEAIAAAACQBAABkcnMvZTJvRG9j&#10;LnhtbFBLBQYAAAAABgAGAFkBAACTBwAAAAA=&#10;">
                        <v:fill on="f" focussize="0,0"/>
                        <v:stroke on="f"/>
                        <v:imagedata o:title=""/>
                        <o:lock v:ext="edit" aspectratio="f"/>
                      </v:shape>
                      <v:rect id="_x0000_s1026" o:spid="_x0000_s1026" o:spt="1" style="position:absolute;left:0;top:141605;height:333375;width:1153160;v-text-anchor:middle;" filled="f" stroked="t" coordsize="21600,21600" o:gfxdata="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yhh65NQAAAAEAQAA&#10;DwAAAAAAAAABACAAAAAiAAAAZHJzL2Rvd25yZXYueG1sUEsBAhQAFAAAAAgAh07iQFsmLntWAgAA&#10;jwQAAA4AAAAAAAAAAQAgAAAAIwEAAGRycy9lMm9Eb2MueG1sUEsFBgAAAAAGAAYAWQEAAOsFAAAA&#10;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新鲜水</w:t>
                              </w:r>
                              <w:r>
                                <w:rPr>
                                  <w:rFonts w:hint="eastAsia" w:ascii="Times New Roman" w:hAnsi="Times New Roman" w:eastAsia="宋体" w:cs="Times New Roman"/>
                                  <w:color w:val="000000" w:themeColor="text1"/>
                                  <w:lang w:val="en-US" w:eastAsia="zh-CN"/>
                                  <w14:textFill>
                                    <w14:solidFill>
                                      <w14:schemeClr w14:val="tx1"/>
                                    </w14:solidFill>
                                  </w14:textFill>
                                </w:rPr>
                                <w:t xml:space="preserve"> 500t/a</w:t>
                              </w:r>
                            </w:p>
                          </w:txbxContent>
                        </v:textbox>
                      </v:rect>
                      <v:rect id="_x0000_s1026" o:spid="_x0000_s1026" o:spt="1" style="position:absolute;left:1551305;top:151130;height:333375;width:755015;v-text-anchor:middle;" filled="f" stroked="t" coordsize="21600,21600" o:gfxdata="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oYeuTUAAAA&#10;BAEAAA8AAAAAAAAAAQAgAAAAIgAAAGRycy9kb3ducmV2LnhtbFBLAQIUABQAAAAIAIdO4kCHrPZM&#10;WgIAAJQEAAAOAAAAAAAAAAEAIAAAACMBAABkcnMvZTJvRG9jLnhtbFBLBQYAAAAABgAGAFkBAADv&#10;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生活用水</w:t>
                              </w:r>
                            </w:p>
                          </w:txbxContent>
                        </v:textbox>
                      </v:rect>
                      <v:shape id="_x0000_s1026" o:spid="_x0000_s1026" o:spt="32" type="#_x0000_t32" style="position:absolute;left:2313305;top:313055;height:0;width:361950;" filled="f" stroked="t" coordsize="21600,21600" o:gfxdata="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Vzt30gAAAAQBAAAPAAAAAAAAAAEAIAAAACIAAABkcnMv&#10;ZG93bnJldi54bWxQSwECFAAUAAAACACHTuJAZRhpvQkCAADJAwAADgAAAAAAAAABACAAAAAhAQAA&#10;ZHJzL2Uyb0RvYy54bWxQSwUGAAAAAAYABgBZAQAAnAUAAAAA&#10;">
                        <v:fill on="f" focussize="0,0"/>
                        <v:stroke weight="0.5pt" color="#000000 [3213]" miterlimit="8" joinstyle="miter" endarrow="block"/>
                        <v:imagedata o:title=""/>
                        <o:lock v:ext="edit" aspectratio="f"/>
                      </v:shape>
                      <v:rect id="_x0000_s1026" o:spid="_x0000_s1026" o:spt="1" style="position:absolute;left:2703830;top:84455;height:447675;width:716915;v-text-anchor:middle;" filled="f" stroked="t" coordsize="21600,21600" o:gfxdata="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GHrk&#10;1AAAAAQBAAAPAAAAAAAAAAEAIAAAACIAAABkcnMvZG93bnJldi54bWxQSwECFAAUAAAACACHTuJA&#10;WRpTe14CAACTBAAADgAAAAAAAAABACAAAAAjAQAAZHJzL2Uyb0RvYy54bWxQSwUGAAAAAAYABgBZ&#10;AQAA8wU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生活污水400t/a</w:t>
                              </w:r>
                            </w:p>
                          </w:txbxContent>
                        </v:textbox>
                      </v:rect>
                      <v:shape id="_x0000_s1026" o:spid="_x0000_s1026" o:spt="32" type="#_x0000_t32" style="position:absolute;left:3418205;top:313055;height:0;width:361950;" filled="f" stroked="t" coordsize="21600,21600" o:gfxdata="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ZXO3fSAAAABAEAAA8AAAAAAAAAAQAgAAAAIgAAAGRycy9k&#10;b3ducmV2LnhtbFBLAQIUABQAAAAIAIdO4kCH6ixqCAIAAMkDAAAOAAAAAAAAAAEAIAAAACEBAABk&#10;cnMvZTJvRG9jLnhtbFBLBQYAAAAABgAGAFkBAACbBQAAAAA=&#10;">
                        <v:fill on="f" focussize="0,0"/>
                        <v:stroke weight="0.5pt" color="#000000 [3213]" miterlimit="8" joinstyle="miter" endarrow="block"/>
                        <v:imagedata o:title=""/>
                        <o:lock v:ext="edit" aspectratio="f"/>
                      </v:shape>
                      <v:rect id="_x0000_s1026" o:spid="_x0000_s1026" o:spt="1" style="position:absolute;left:3780155;top:65405;height:485775;width:621665;v-text-anchor:middle;" filled="f" stroked="t" coordsize="21600,21600" o:gfxdata="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GHrk&#10;1AAAAAQBAAAPAAAAAAAAAAEAIAAAACIAAABkcnMvZG93bnJldi54bWxQSwECFAAUAAAACACHTuJA&#10;Mn5PLF4CAACTBAAADgAAAAAAAAABACAAAAAjAQAAZHJzL2Uyb0RvYy54bWxQSwUGAAAAAAYABgBZ&#10;AQAA8wU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市政污水管网水</w:t>
                              </w:r>
                            </w:p>
                          </w:txbxContent>
                        </v:textbox>
                      </v:rect>
                      <v:rect id="_x0000_s1026" o:spid="_x0000_s1026" o:spt="1" style="position:absolute;left:4769485;top:9525;height:619125;width:716915;v-text-anchor:middle;" filled="f" stroked="t" coordsize="21600,21600" o:gfxdata="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oYeuTU&#10;AAAABAEAAA8AAAAAAAAAAQAgAAAAIgAAAGRycy9kb3ducmV2LnhtbFBLAQIUABQAAAAIAIdO4kCH&#10;c8TSXQIAAJIEAAAOAAAAAAAAAAEAIAAAACMBAABkcnMvZTJvRG9jLnhtbFBLBQYAAAAABgAGAFkB&#10;AADy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长泰西区污水处理厂</w:t>
                              </w:r>
                            </w:p>
                          </w:txbxContent>
                        </v:textbox>
                      </v:rect>
                      <v:shape id="_x0000_s1026" o:spid="_x0000_s1026" o:spt="32" type="#_x0000_t32" style="position:absolute;left:4399280;top:313055;height:0;width:361950;" filled="f" stroked="t" coordsize="21600,21600" o:gfxdata="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c7d9IAAAAEAQAADwAAAAAAAAABACAAAAAiAAAAZHJz&#10;L2Rvd25yZXYueG1sUEsBAhQAFAAAAAgAh07iQF5kHsgKAgAAyQMAAA4AAAAAAAAAAQAgAAAAIQEA&#10;AGRycy9lMm9Eb2MueG1sUEsFBgAAAAAGAAYAWQEAAJ0FAAAAAA==&#10;">
                        <v:fill on="f" focussize="0,0"/>
                        <v:stroke weight="0.5pt" color="#000000 [3213]" miterlimit="8" joinstyle="miter" endarrow="block"/>
                        <v:imagedata o:title=""/>
                        <o:lock v:ext="edit" aspectratio="f"/>
                      </v:shape>
                      <w10:wrap type="none"/>
                      <w10:anchorlock/>
                    </v:group>
                  </w:pict>
                </mc:Fallback>
              </mc:AlternateContent>
            </w:r>
          </w:p>
          <w:p>
            <w:pPr>
              <w:widowControl w:val="0"/>
              <w:numPr>
                <w:ilvl w:val="255"/>
                <w:numId w:val="0"/>
              </w:numPr>
              <w:spacing w:line="360" w:lineRule="auto"/>
              <w:jc w:val="center"/>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1"/>
                <w:szCs w:val="21"/>
                <w14:textFill>
                  <w14:solidFill>
                    <w14:schemeClr w14:val="tx1"/>
                  </w14:solidFill>
                </w14:textFill>
              </w:rPr>
              <w:t>图</w:t>
            </w:r>
            <w:r>
              <w:rPr>
                <w:rFonts w:hint="eastAsia" w:ascii="Times New Roman" w:hAnsi="Times New Roman" w:eastAsia="宋体" w:cs="Times New Roman"/>
                <w:b/>
                <w:bCs/>
                <w:color w:val="000000" w:themeColor="text1"/>
                <w:sz w:val="21"/>
                <w:szCs w:val="21"/>
                <w14:textFill>
                  <w14:solidFill>
                    <w14:schemeClr w14:val="tx1"/>
                  </w14:solidFill>
                </w14:textFill>
              </w:rPr>
              <w:t>2-</w:t>
            </w:r>
            <w:r>
              <w:rPr>
                <w:rFonts w:ascii="Times New Roman" w:hAnsi="Times New Roman" w:eastAsia="宋体" w:cs="Times New Roman"/>
                <w:b/>
                <w:bCs/>
                <w:color w:val="000000" w:themeColor="text1"/>
                <w:sz w:val="21"/>
                <w:szCs w:val="21"/>
                <w14:textFill>
                  <w14:solidFill>
                    <w14:schemeClr w14:val="tx1"/>
                  </w14:solidFill>
                </w14:textFill>
              </w:rPr>
              <w:t>1 项目水平衡图</w:t>
            </w:r>
          </w:p>
          <w:p>
            <w:pPr>
              <w:pStyle w:val="2"/>
              <w:widowControl w:val="0"/>
              <w:ind w:firstLine="450" w:firstLineChars="200"/>
              <w:jc w:val="both"/>
              <w:rPr>
                <w:rFonts w:ascii="Times New Roman" w:hAnsi="Times New Roman" w:eastAsia="宋体" w:cs="Times New Roman"/>
                <w:b/>
                <w:bCs/>
                <w:color w:val="0000FF"/>
                <w:sz w:val="24"/>
                <w:szCs w:val="24"/>
              </w:rPr>
            </w:pPr>
          </w:p>
          <w:p>
            <w:pPr>
              <w:pStyle w:val="2"/>
              <w:widowControl w:val="0"/>
              <w:ind w:firstLine="450" w:firstLineChars="200"/>
              <w:jc w:val="both"/>
              <w:rPr>
                <w:rFonts w:ascii="Times New Roman" w:hAnsi="Times New Roman" w:eastAsia="宋体" w:cs="Times New Roman"/>
                <w:b/>
                <w:bCs/>
                <w:color w:val="auto"/>
                <w:sz w:val="21"/>
                <w:szCs w:val="21"/>
              </w:rPr>
            </w:pPr>
            <w:r>
              <w:rPr>
                <w:rFonts w:ascii="Times New Roman" w:hAnsi="Times New Roman" w:eastAsia="宋体" w:cs="Times New Roman"/>
                <w:b/>
                <w:bCs/>
                <w:color w:val="auto"/>
                <w:sz w:val="24"/>
                <w:szCs w:val="24"/>
              </w:rPr>
              <w:t>6、主要工艺流程及产污环节</w:t>
            </w:r>
          </w:p>
          <w:p>
            <w:pPr>
              <w:pStyle w:val="2"/>
              <w:widowControl w:val="0"/>
              <w:ind w:firstLine="0" w:firstLineChars="0"/>
              <w:jc w:val="left"/>
              <w:rPr>
                <w:rFonts w:ascii="Times New Roman" w:hAnsi="Times New Roman" w:eastAsia="宋体" w:cs="Times New Roman"/>
                <w:b/>
                <w:bCs/>
                <w:color w:val="auto"/>
                <w:sz w:val="21"/>
                <w:szCs w:val="21"/>
              </w:rPr>
            </w:pPr>
            <w:r>
              <w:rPr>
                <w:color w:val="auto"/>
              </w:rPr>
              <w:drawing>
                <wp:anchor distT="0" distB="0" distL="114935" distR="114935" simplePos="0" relativeHeight="251670528" behindDoc="0" locked="0" layoutInCell="1" allowOverlap="1">
                  <wp:simplePos x="0" y="0"/>
                  <wp:positionH relativeFrom="column">
                    <wp:posOffset>148590</wp:posOffset>
                  </wp:positionH>
                  <wp:positionV relativeFrom="paragraph">
                    <wp:posOffset>10160</wp:posOffset>
                  </wp:positionV>
                  <wp:extent cx="2647950" cy="85725"/>
                  <wp:effectExtent l="0" t="0" r="0" b="952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647950" cy="85725"/>
                          </a:xfrm>
                          <a:prstGeom prst="rect">
                            <a:avLst/>
                          </a:prstGeom>
                          <a:noFill/>
                          <a:ln>
                            <a:noFill/>
                          </a:ln>
                        </pic:spPr>
                      </pic:pic>
                    </a:graphicData>
                  </a:graphic>
                </wp:anchor>
              </w:drawing>
            </w:r>
          </w:p>
          <w:p>
            <w:pPr>
              <w:pStyle w:val="2"/>
              <w:widowControl w:val="0"/>
              <w:ind w:left="0" w:leftChars="0" w:firstLine="0" w:firstLineChars="0"/>
              <w:jc w:val="center"/>
              <w:rPr>
                <w:rFonts w:ascii="Times New Roman" w:hAnsi="Times New Roman" w:eastAsia="宋体" w:cs="Times New Roman"/>
                <w:b/>
                <w:bCs/>
                <w:color w:val="auto"/>
                <w:sz w:val="21"/>
                <w:szCs w:val="21"/>
              </w:rPr>
            </w:pPr>
            <w:r>
              <w:rPr>
                <w:color w:val="auto"/>
              </w:rPr>
              <w:drawing>
                <wp:inline distT="0" distB="0" distL="114300" distR="114300">
                  <wp:extent cx="5565140" cy="959485"/>
                  <wp:effectExtent l="0" t="0" r="165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565140" cy="959485"/>
                          </a:xfrm>
                          <a:prstGeom prst="rect">
                            <a:avLst/>
                          </a:prstGeom>
                          <a:noFill/>
                          <a:ln>
                            <a:noFill/>
                          </a:ln>
                        </pic:spPr>
                      </pic:pic>
                    </a:graphicData>
                  </a:graphic>
                </wp:inline>
              </w:drawing>
            </w:r>
            <w:r>
              <w:rPr>
                <w:rFonts w:hint="eastAsia" w:ascii="Times New Roman" w:hAnsi="Times New Roman" w:eastAsia="宋体" w:cs="Times New Roman"/>
                <w:b/>
                <w:bCs/>
                <w:color w:val="auto"/>
                <w:sz w:val="21"/>
                <w:szCs w:val="21"/>
              </w:rPr>
              <w:t>图2-2</w:t>
            </w:r>
            <w:r>
              <w:rPr>
                <w:rFonts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生产工艺流程及产污环节图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2"/>
                <w:lang w:val="zh-CN" w:eastAsia="zh-CN" w:bidi="ar-SA"/>
              </w:rPr>
            </w:pPr>
            <w:r>
              <w:rPr>
                <w:rFonts w:hint="default" w:ascii="Times New Roman" w:hAnsi="Times New Roman" w:eastAsia="宋体" w:cs="Times New Roman"/>
                <w:b/>
                <w:bCs/>
                <w:color w:val="auto"/>
                <w:sz w:val="24"/>
                <w:szCs w:val="22"/>
                <w:lang w:val="zh-CN" w:eastAsia="zh-CN" w:bidi="ar-SA"/>
              </w:rPr>
              <w:t>工艺流程说明：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eastAsia" w:ascii="Times New Roman" w:hAnsi="Times New Roman" w:eastAsia="宋体" w:cs="Times New Roman"/>
                <w:b w:val="0"/>
                <w:color w:val="auto"/>
                <w:sz w:val="24"/>
                <w:szCs w:val="22"/>
                <w:lang w:val="en-US" w:eastAsia="zh-CN" w:bidi="ar-SA"/>
              </w:rPr>
              <w:t xml:space="preserve">本项目先将半成品用手工进行加工，然后进入烤房进行烘干定型，再进行整形，接着对成品进行包装，最后成品出厂。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eastAsia" w:ascii="Times New Roman" w:hAnsi="Times New Roman" w:eastAsia="宋体" w:cs="Times New Roman"/>
                <w:b w:val="0"/>
                <w:color w:val="auto"/>
                <w:sz w:val="24"/>
                <w:szCs w:val="22"/>
                <w:lang w:val="en-US" w:eastAsia="zh-CN" w:bidi="ar-SA"/>
              </w:rPr>
              <w:t xml:space="preserve">根据生产工艺和产污节点可知，本项目主要产污环节为：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①</w:t>
            </w:r>
            <w:r>
              <w:rPr>
                <w:rFonts w:hint="eastAsia" w:ascii="Times New Roman" w:hAnsi="Times New Roman" w:eastAsia="宋体" w:cs="Times New Roman"/>
                <w:b w:val="0"/>
                <w:color w:val="auto"/>
                <w:sz w:val="24"/>
                <w:szCs w:val="22"/>
                <w:lang w:val="en-US" w:eastAsia="zh-CN" w:bidi="ar-SA"/>
              </w:rPr>
              <w:t>模具加工过程中产生的噪声和固废。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②</w:t>
            </w:r>
            <w:r>
              <w:rPr>
                <w:rFonts w:hint="eastAsia" w:ascii="Times New Roman" w:hAnsi="Times New Roman" w:eastAsia="宋体" w:cs="Times New Roman"/>
                <w:b w:val="0"/>
                <w:color w:val="auto"/>
                <w:sz w:val="24"/>
                <w:szCs w:val="22"/>
                <w:lang w:val="en-US" w:eastAsia="zh-CN" w:bidi="ar-SA"/>
              </w:rPr>
              <w:t>烘干过程中产生的废气和固废。</w:t>
            </w:r>
            <w:r>
              <w:rPr>
                <w:rFonts w:hint="default" w:ascii="Times New Roman" w:hAnsi="Times New Roman" w:eastAsia="宋体" w:cs="Times New Roman"/>
                <w:b w:val="0"/>
                <w:color w:val="auto"/>
                <w:sz w:val="24"/>
                <w:szCs w:val="22"/>
                <w:lang w:val="en-US" w:eastAsia="zh-CN" w:bidi="ar-SA"/>
              </w:rPr>
              <w:t xml:space="preserve"> </w:t>
            </w:r>
            <w:r>
              <w:rPr>
                <w:rFonts w:hint="eastAsia" w:ascii="Times New Roman" w:hAnsi="Times New Roman" w:eastAsia="宋体" w:cs="Times New Roman"/>
                <w:b w:val="0"/>
                <w:color w:val="auto"/>
                <w:sz w:val="24"/>
                <w:szCs w:val="22"/>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color w:val="auto"/>
                <w:sz w:val="24"/>
                <w:szCs w:val="22"/>
                <w:lang w:val="en-US" w:eastAsia="zh-CN" w:bidi="ar-SA"/>
              </w:rPr>
            </w:pPr>
            <w:r>
              <w:rPr>
                <w:rFonts w:hint="default" w:ascii="Times New Roman" w:hAnsi="Times New Roman" w:eastAsia="宋体" w:cs="Times New Roman"/>
                <w:b w:val="0"/>
                <w:color w:val="auto"/>
                <w:sz w:val="24"/>
                <w:szCs w:val="22"/>
                <w:lang w:val="en-US" w:eastAsia="zh-CN" w:bidi="ar-SA"/>
              </w:rPr>
              <w:t>③</w:t>
            </w:r>
            <w:r>
              <w:rPr>
                <w:rFonts w:hint="eastAsia" w:ascii="Times New Roman" w:hAnsi="Times New Roman" w:eastAsia="宋体" w:cs="Times New Roman"/>
                <w:b w:val="0"/>
                <w:color w:val="auto"/>
                <w:sz w:val="24"/>
                <w:szCs w:val="22"/>
                <w:lang w:val="en-US" w:eastAsia="zh-CN" w:bidi="ar-SA"/>
              </w:rPr>
              <w:t>员工产的生活垃圾和生活废水。</w:t>
            </w:r>
            <w:r>
              <w:rPr>
                <w:rFonts w:hint="default" w:ascii="Times New Roman" w:hAnsi="Times New Roman" w:eastAsia="宋体" w:cs="Times New Roman"/>
                <w:b w:val="0"/>
                <w:color w:val="auto"/>
                <w:sz w:val="24"/>
                <w:szCs w:val="22"/>
                <w:lang w:val="en-US" w:eastAsia="zh-CN" w:bidi="ar-SA"/>
              </w:rPr>
              <w:t xml:space="preserve"> </w:t>
            </w:r>
            <w:r>
              <w:rPr>
                <w:rFonts w:hint="eastAsia" w:ascii="Times New Roman" w:hAnsi="Times New Roman" w:eastAsia="宋体" w:cs="Times New Roman"/>
                <w:b w:val="0"/>
                <w:color w:val="auto"/>
                <w:sz w:val="24"/>
                <w:szCs w:val="22"/>
                <w:lang w:val="en-US" w:eastAsia="zh-CN" w:bidi="ar-SA"/>
              </w:rPr>
              <w:t xml:space="preserve"> </w:t>
            </w:r>
          </w:p>
          <w:p>
            <w:pPr>
              <w:pStyle w:val="5"/>
              <w:widowControl w:val="0"/>
              <w:spacing w:line="415" w:lineRule="auto"/>
              <w:ind w:firstLine="450" w:firstLineChars="200"/>
              <w:jc w:val="both"/>
              <w:outlineLvl w:val="1"/>
              <w:rPr>
                <w:rFonts w:cs="Times New Roman"/>
                <w:color w:val="auto"/>
              </w:rPr>
            </w:pPr>
            <w:bookmarkStart w:id="0" w:name="_Toc29387767"/>
            <w:r>
              <w:rPr>
                <w:rFonts w:hint="eastAsia" w:ascii="Times New Roman" w:hAnsi="Times New Roman" w:eastAsia="宋体" w:cs="Times New Roman"/>
                <w:color w:val="auto"/>
                <w:spacing w:val="-8"/>
                <w:kern w:val="0"/>
                <w:sz w:val="24"/>
                <w:szCs w:val="24"/>
              </w:rPr>
              <w:t>7、</w:t>
            </w:r>
            <w:r>
              <w:rPr>
                <w:rFonts w:ascii="Times New Roman" w:hAnsi="Times New Roman" w:eastAsia="宋体" w:cs="Times New Roman"/>
                <w:color w:val="auto"/>
                <w:spacing w:val="-8"/>
                <w:kern w:val="0"/>
                <w:sz w:val="24"/>
                <w:szCs w:val="24"/>
              </w:rPr>
              <w:t>不符合验收情形统计</w:t>
            </w:r>
            <w:bookmarkEnd w:id="0"/>
          </w:p>
          <w:p>
            <w:pPr>
              <w:widowControl/>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4</w:t>
            </w:r>
            <w:r>
              <w:rPr>
                <w:rFonts w:ascii="Times New Roman" w:hAnsi="Times New Roman" w:eastAsia="宋体" w:cs="Times New Roman"/>
                <w:color w:val="auto"/>
                <w:sz w:val="24"/>
              </w:rPr>
              <w:t>。</w:t>
            </w:r>
          </w:p>
          <w:p>
            <w:pPr>
              <w:pStyle w:val="44"/>
              <w:widowControl w:val="0"/>
              <w:spacing w:beforeLines="0" w:afterLines="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 xml:space="preserve"> 项目与《建设项目竣工环境保护验收暂行办法》第八条规定对照情况一览表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729"/>
              <w:gridCol w:w="3075"/>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2129"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《办法》规定不得提出验收合格意见的情形</w:t>
                  </w:r>
                </w:p>
              </w:tc>
              <w:tc>
                <w:tcPr>
                  <w:tcW w:w="1756"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未按环境影响报告书（表）及其审批部门审批决定要求建成环境保护设施，或者环境保护设施不能与主体工程同时投产或者使用的；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项目按照建设项目环评及环评批复同时设计和建设了生活污水、废气、噪声、固废等污染防治设施，并同时投入试生产；</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污染物排放不符合国家和地方相关标准、环境影响报告书（表）及其审批部门审批决定或者重点污染物排放总量控制指标要求的；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根据监测</w:t>
                  </w:r>
                  <w:r>
                    <w:rPr>
                      <w:rFonts w:hint="eastAsia" w:ascii="Times New Roman" w:hAnsi="Times New Roman" w:eastAsia="宋体" w:cs="Times New Roman"/>
                      <w:color w:val="auto"/>
                      <w:sz w:val="21"/>
                      <w:szCs w:val="21"/>
                    </w:rPr>
                    <w:t>结果</w:t>
                  </w:r>
                  <w:r>
                    <w:rPr>
                      <w:rFonts w:ascii="Times New Roman" w:hAnsi="Times New Roman" w:eastAsia="宋体"/>
                      <w:color w:val="auto"/>
                      <w:sz w:val="21"/>
                      <w:szCs w:val="21"/>
                    </w:rPr>
                    <w:t>，项目生活污水、废气、噪声监测结果均符合相关标准要求</w:t>
                  </w:r>
                  <w:r>
                    <w:rPr>
                      <w:rFonts w:ascii="Times New Roman" w:hAnsi="Times New Roman" w:eastAsia="宋体" w:cs="Times New Roman"/>
                      <w:color w:val="auto"/>
                      <w:sz w:val="21"/>
                      <w:szCs w:val="21"/>
                    </w:rPr>
                    <w:t>；</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1756" w:type="pct"/>
                </w:tcPr>
                <w:p>
                  <w:pPr>
                    <w:spacing w:line="240" w:lineRule="auto"/>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本项目性质、规模、地点、采用的生产工艺和防治污染、防止生态破坏的措施均未发生重大变动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燃焦炭烘干房改为通电烘干房，更为环保，故不属于重大变更。</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建设过程中造成重大环境污染未治理完成，或者造成重大生态破坏未恢复的；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项目建设过程中未造成重大环境污染，未造成重大生态破坏；</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纳入排污许可管理的建设项目，无证排污或者不按证排污的；</w:t>
                  </w:r>
                </w:p>
              </w:tc>
              <w:tc>
                <w:tcPr>
                  <w:tcW w:w="1756" w:type="pct"/>
                </w:tcPr>
                <w:p>
                  <w:pPr>
                    <w:spacing w:line="240" w:lineRule="auto"/>
                    <w:rPr>
                      <w:rFonts w:ascii="Times New Roman" w:hAnsi="Times New Roman" w:eastAsia="宋体" w:cs="Times New Roman"/>
                      <w:color w:val="auto"/>
                      <w:sz w:val="21"/>
                      <w:szCs w:val="21"/>
                    </w:rPr>
                  </w:pPr>
                  <w:r>
                    <w:rPr>
                      <w:rFonts w:hint="eastAsia" w:ascii="Times New Roman" w:hAnsi="Times New Roman" w:eastAsia="宋体"/>
                      <w:color w:val="auto"/>
                      <w:sz w:val="21"/>
                      <w:szCs w:val="21"/>
                    </w:rPr>
                    <w:t>排污许可证已在办理中</w:t>
                  </w:r>
                  <w:r>
                    <w:rPr>
                      <w:rFonts w:ascii="Times New Roman" w:hAnsi="Times New Roman" w:eastAsia="宋体" w:cs="Times New Roman"/>
                      <w:color w:val="auto"/>
                      <w:sz w:val="21"/>
                      <w:szCs w:val="21"/>
                    </w:rPr>
                    <w:t>；</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根据验收监测结果，项目配套建设的环境保护设施防治环境污染和生态破坏的能力可以满足主体工程需要；</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建设单位因该建设项目违反国家和地方环境保护法律法规受到处罚，被责令改正，尚未改正完成的；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该建设项目未违反国家和地方环境保护法律法规，未受到处罚；</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w:t>
                  </w:r>
                </w:p>
              </w:tc>
              <w:tc>
                <w:tcPr>
                  <w:tcW w:w="2129" w:type="pct"/>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验收报告的基础资料数据明显不实，内容存在重大缺项、遗漏，或者验收结论不明确、不合理的；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验收报告的基础资料来自企业提供以及</w:t>
                  </w:r>
                  <w:r>
                    <w:rPr>
                      <w:rFonts w:hint="eastAsia" w:ascii="Times New Roman" w:hAnsi="Times New Roman" w:eastAsia="宋体"/>
                      <w:color w:val="auto"/>
                      <w:sz w:val="21"/>
                      <w:szCs w:val="21"/>
                      <w:lang w:eastAsia="zh-CN"/>
                    </w:rPr>
                    <w:t>厦门科仪检测技术有限公司</w:t>
                  </w:r>
                  <w:r>
                    <w:rPr>
                      <w:rFonts w:ascii="Times New Roman" w:hAnsi="Times New Roman" w:eastAsia="宋体" w:cs="Times New Roman"/>
                      <w:color w:val="auto"/>
                      <w:sz w:val="21"/>
                      <w:szCs w:val="21"/>
                    </w:rPr>
                    <w:t>采样检测所得数据，报告内容无重大缺项或遗漏，验收结论明确、合理；</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w:t>
                  </w:r>
                </w:p>
              </w:tc>
              <w:tc>
                <w:tcPr>
                  <w:tcW w:w="2129"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其他环境保护法律法规规章等规定不得通过环境保护验收的。</w:t>
                  </w:r>
                </w:p>
              </w:tc>
              <w:tc>
                <w:tcPr>
                  <w:tcW w:w="1756"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项目不存在其他环境保护法律法规规章等规定不得通过环境保护验收的。</w:t>
                  </w:r>
                </w:p>
              </w:tc>
              <w:tc>
                <w:tcPr>
                  <w:tcW w:w="87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bl>
          <w:p>
            <w:pPr>
              <w:pStyle w:val="20"/>
              <w:widowControl w:val="0"/>
              <w:ind w:left="0" w:leftChars="0" w:firstLine="0" w:firstLineChars="0"/>
              <w:jc w:val="left"/>
              <w:rPr>
                <w:color w:val="0000FF"/>
              </w:rPr>
            </w:pPr>
          </w:p>
        </w:tc>
      </w:tr>
    </w:tbl>
    <w:p>
      <w:pPr>
        <w:spacing w:line="360" w:lineRule="auto"/>
        <w:outlineLvl w:val="0"/>
        <w:rPr>
          <w:rFonts w:ascii="Times New Roman" w:hAnsi="Times New Roman" w:eastAsia="宋体" w:cs="Times New Roman"/>
          <w:b/>
          <w:color w:val="auto"/>
          <w:sz w:val="21"/>
          <w:szCs w:val="21"/>
        </w:r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表三</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auto"/>
                <w:sz w:val="24"/>
                <w:szCs w:val="24"/>
              </w:rPr>
            </w:pPr>
            <w:r>
              <w:rPr>
                <w:rFonts w:ascii="Times New Roman" w:hAnsi="Times New Roman" w:eastAsia="宋体" w:cs="Times New Roman"/>
                <w:b/>
                <w:bCs/>
                <w:color w:val="auto"/>
                <w:sz w:val="24"/>
                <w:szCs w:val="24"/>
              </w:rPr>
              <w:t>主要污染源、污染物处理和排放：</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1、废水：本项目产生的废水主要有生活废水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生产过程中没有废水产生</w:t>
            </w:r>
            <w:r>
              <w:rPr>
                <w:rFonts w:ascii="Times New Roman" w:hAnsi="Times New Roman" w:eastAsia="宋体" w:cs="Times New Roman"/>
                <w:color w:val="auto"/>
                <w:sz w:val="24"/>
              </w:rPr>
              <w:t>。</w:t>
            </w:r>
          </w:p>
          <w:p>
            <w:pPr>
              <w:widowControl/>
              <w:spacing w:line="360" w:lineRule="auto"/>
              <w:ind w:firstLine="480" w:firstLineChars="200"/>
              <w:jc w:val="both"/>
              <w:rPr>
                <w:rFonts w:ascii="Times New Roman" w:hAnsi="Times New Roman" w:eastAsia="宋体" w:cs="Times New Roman"/>
                <w:color w:val="auto"/>
                <w:sz w:val="24"/>
              </w:rPr>
            </w:pPr>
            <w:r>
              <w:rPr>
                <w:rFonts w:hint="eastAsia" w:ascii="Times New Roman" w:hAnsi="Times New Roman" w:eastAsia="宋体" w:cs="Times New Roman"/>
                <w:color w:val="auto"/>
                <w:sz w:val="24"/>
              </w:rPr>
              <w:t>生活污水：生活污水经三级化粪池处理后</w:t>
            </w:r>
            <w:r>
              <w:rPr>
                <w:rFonts w:hint="eastAsia" w:ascii="Times New Roman" w:hAnsi="Times New Roman" w:eastAsia="宋体" w:cs="Times New Roman"/>
                <w:color w:val="auto"/>
                <w:sz w:val="24"/>
                <w:lang w:val="en-US" w:eastAsia="zh-CN"/>
              </w:rPr>
              <w:t>通过市政污水管网排入长泰西区污水处理厂处理。</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2、废气：本项目产生的废水</w:t>
            </w:r>
            <w:r>
              <w:rPr>
                <w:rFonts w:hint="eastAsia" w:ascii="Times New Roman" w:hAnsi="Times New Roman" w:eastAsia="宋体" w:cs="Times New Roman"/>
                <w:color w:val="auto"/>
                <w:sz w:val="24"/>
                <w:lang w:val="en-US" w:eastAsia="zh-CN"/>
              </w:rPr>
              <w:t>主要为烘干房产生的有机废气、以及搬运和拆包过程中产生的纤维废气。</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有机废气：本项目烘干房产生的废气通过水喷淋+活性炭+UV光解处理设施处理后通过15m高排气筒进行高空排放；</w:t>
            </w:r>
          </w:p>
          <w:p>
            <w:pPr>
              <w:widowControl/>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搬运和拆包过程中产生的纤维废气：主要通过加强车间通风，安装通风排气设施进行防治。</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噪声：本项目主要噪声污染源主要来自各机械设备运营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4、固（液）体废物：本项目主要固体废物为生产固废、生活垃圾以及废润滑油、油桶。</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 生活垃圾：项目运营期生活垃圾产生量为3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 xml:space="preserve">。生活垃圾集中收集后统一由环卫部门处置，对项目周边影响小。 </w:t>
            </w:r>
          </w:p>
          <w:p>
            <w:pPr>
              <w:widowControl/>
              <w:spacing w:line="360" w:lineRule="auto"/>
              <w:ind w:firstLine="480" w:firstLineChars="200"/>
              <w:jc w:val="both"/>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② </w:t>
            </w:r>
            <w:r>
              <w:rPr>
                <w:rFonts w:hint="eastAsia" w:ascii="Times New Roman" w:hAnsi="Times New Roman" w:eastAsia="宋体" w:cs="Times New Roman"/>
                <w:color w:val="auto"/>
                <w:sz w:val="24"/>
                <w:lang w:val="en-US" w:eastAsia="zh-CN"/>
              </w:rPr>
              <w:t>生产固废：本项目生产过程中产生的固体废物量为，分类收集后，大部分直接回用于吸塑工序，无法回用于生产的则出售给相关废品回收单位。</w:t>
            </w:r>
          </w:p>
          <w:p>
            <w:pPr>
              <w:widowControl/>
              <w:spacing w:line="360" w:lineRule="auto"/>
              <w:ind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③废润滑油、油桶：本项目产品烘干工序前需要在表面涂抹一层润滑油，产生的废润滑油、油桶属于危险废物，集中收集暂存于危废间，待一定量后委托有资质的处置。</w:t>
            </w: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ind w:firstLine="0"/>
              <w:rPr>
                <w:rFonts w:hint="eastAsia" w:ascii="Times New Roman" w:hAnsi="Times New Roman" w:eastAsia="宋体" w:cs="Times New Roman"/>
                <w:b/>
                <w:bCs/>
                <w:color w:val="0000FF"/>
                <w:sz w:val="21"/>
                <w:szCs w:val="21"/>
              </w:rPr>
            </w:pPr>
          </w:p>
          <w:p>
            <w:pPr>
              <w:pStyle w:val="20"/>
              <w:widowControl w:val="0"/>
              <w:spacing w:line="360" w:lineRule="auto"/>
              <w:ind w:firstLine="0"/>
              <w:jc w:val="left"/>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5、环保设施投资及“三同时”落实情况</w:t>
            </w:r>
          </w:p>
          <w:p>
            <w:pPr>
              <w:pStyle w:val="20"/>
              <w:widowControl w:val="0"/>
              <w:spacing w:line="360" w:lineRule="auto"/>
              <w:ind w:firstLine="0"/>
              <w:rPr>
                <w:rFonts w:ascii="Times New Roman" w:hAnsi="Times New Roman" w:eastAsia="宋体" w:cs="Times New Roman"/>
                <w:bCs/>
                <w:color w:val="auto"/>
                <w:szCs w:val="24"/>
              </w:rPr>
            </w:pPr>
            <w:r>
              <w:rPr>
                <w:rFonts w:hint="eastAsia" w:ascii="Times New Roman" w:hAnsi="Times New Roman" w:eastAsia="宋体" w:cs="Times New Roman"/>
                <w:bCs/>
                <w:color w:val="auto"/>
                <w:szCs w:val="24"/>
              </w:rPr>
              <w:t>本项目实际投资</w:t>
            </w:r>
            <w:r>
              <w:rPr>
                <w:rFonts w:hint="eastAsia" w:ascii="Times New Roman" w:hAnsi="Times New Roman" w:eastAsia="宋体" w:cs="Times New Roman"/>
                <w:bCs/>
                <w:color w:val="auto"/>
                <w:szCs w:val="24"/>
                <w:lang w:val="en-US" w:eastAsia="zh-CN"/>
              </w:rPr>
              <w:t>200</w:t>
            </w:r>
            <w:r>
              <w:rPr>
                <w:rFonts w:hint="eastAsia" w:ascii="Times New Roman" w:hAnsi="Times New Roman" w:eastAsia="宋体" w:cs="Times New Roman"/>
                <w:bCs/>
                <w:color w:val="auto"/>
                <w:szCs w:val="24"/>
              </w:rPr>
              <w:t>万元，其中环保投资</w:t>
            </w:r>
            <w:r>
              <w:rPr>
                <w:rFonts w:hint="eastAsia" w:ascii="Times New Roman" w:hAnsi="Times New Roman" w:eastAsia="宋体" w:cs="Times New Roman"/>
                <w:bCs/>
                <w:color w:val="auto"/>
                <w:szCs w:val="24"/>
                <w:lang w:val="en-US" w:eastAsia="zh-CN"/>
              </w:rPr>
              <w:t>10</w:t>
            </w:r>
            <w:r>
              <w:rPr>
                <w:rFonts w:hint="eastAsia" w:ascii="Times New Roman" w:hAnsi="Times New Roman" w:eastAsia="宋体" w:cs="Times New Roman"/>
                <w:bCs/>
                <w:color w:val="auto"/>
                <w:szCs w:val="24"/>
              </w:rPr>
              <w:t>万元，占项目总投资的</w:t>
            </w:r>
            <w:r>
              <w:rPr>
                <w:rFonts w:hint="eastAsia" w:ascii="Times New Roman" w:hAnsi="Times New Roman" w:eastAsia="宋体" w:cs="Times New Roman"/>
                <w:bCs/>
                <w:color w:val="auto"/>
                <w:szCs w:val="24"/>
                <w:lang w:val="en-US" w:eastAsia="zh-CN"/>
              </w:rPr>
              <w:t>5</w:t>
            </w:r>
            <w:r>
              <w:rPr>
                <w:rFonts w:hint="eastAsia" w:ascii="Times New Roman" w:hAnsi="Times New Roman" w:eastAsia="宋体" w:cs="Times New Roman"/>
                <w:bCs/>
                <w:color w:val="auto"/>
                <w:szCs w:val="24"/>
              </w:rPr>
              <w:t>%。</w:t>
            </w:r>
          </w:p>
          <w:p>
            <w:pPr>
              <w:pStyle w:val="20"/>
              <w:widowControl w:val="0"/>
              <w:ind w:firstLine="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表3-1本项目实际环保设施投资一览表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49"/>
              <w:gridCol w:w="890"/>
              <w:gridCol w:w="1309"/>
              <w:gridCol w:w="1766"/>
              <w:gridCol w:w="1875"/>
              <w:gridCol w:w="1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75" w:type="dxa"/>
                  <w:gridSpan w:val="2"/>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污染源</w:t>
                  </w:r>
                </w:p>
              </w:tc>
              <w:tc>
                <w:tcPr>
                  <w:tcW w:w="890"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污染源位置</w:t>
                  </w:r>
                </w:p>
              </w:tc>
              <w:tc>
                <w:tcPr>
                  <w:tcW w:w="130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治理措施</w:t>
                  </w:r>
                </w:p>
              </w:tc>
              <w:tc>
                <w:tcPr>
                  <w:tcW w:w="1766"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验收要求</w:t>
                  </w:r>
                </w:p>
              </w:tc>
              <w:tc>
                <w:tcPr>
                  <w:tcW w:w="1875"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环保设备</w:t>
                  </w:r>
                </w:p>
              </w:tc>
              <w:tc>
                <w:tcPr>
                  <w:tcW w:w="1091"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0"/>
                    <w:widowControl w:val="0"/>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废水</w:t>
                  </w:r>
                </w:p>
              </w:tc>
              <w:tc>
                <w:tcPr>
                  <w:tcW w:w="94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生浩污水</w:t>
                  </w:r>
                </w:p>
              </w:tc>
              <w:tc>
                <w:tcPr>
                  <w:tcW w:w="890"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员工生活</w:t>
                  </w:r>
                </w:p>
              </w:tc>
              <w:tc>
                <w:tcPr>
                  <w:tcW w:w="130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三级化粪池</w:t>
                  </w:r>
                </w:p>
              </w:tc>
              <w:tc>
                <w:tcPr>
                  <w:tcW w:w="1766" w:type="dxa"/>
                  <w:vAlign w:val="center"/>
                </w:tcPr>
                <w:p>
                  <w:pPr>
                    <w:pStyle w:val="20"/>
                    <w:widowControl w:val="0"/>
                    <w:ind w:firstLine="0"/>
                    <w:jc w:val="center"/>
                    <w:rPr>
                      <w:rFonts w:hint="eastAsia" w:ascii="Times New Roman" w:hAnsi="Times New Roman" w:cs="Times New Roman" w:eastAsiaTheme="minorEastAsia"/>
                      <w:color w:val="auto"/>
                      <w:sz w:val="21"/>
                      <w:szCs w:val="21"/>
                      <w:lang w:eastAsia="zh-CN"/>
                    </w:rPr>
                  </w:pPr>
                  <w:r>
                    <w:rPr>
                      <w:rFonts w:ascii="Times New Roman" w:cs="Times New Roman" w:hAnsiTheme="minorEastAsia" w:eastAsiaTheme="minorEastAsia"/>
                      <w:color w:val="auto"/>
                      <w:sz w:val="21"/>
                      <w:szCs w:val="21"/>
                    </w:rPr>
                    <w:t>达标</w:t>
                  </w:r>
                  <w:r>
                    <w:rPr>
                      <w:rFonts w:hint="eastAsia" w:ascii="Times New Roman" w:cs="Times New Roman" w:hAnsiTheme="minorEastAsia" w:eastAsiaTheme="minorEastAsia"/>
                      <w:color w:val="auto"/>
                      <w:sz w:val="21"/>
                      <w:szCs w:val="21"/>
                      <w:lang w:val="en-US" w:eastAsia="zh-CN"/>
                    </w:rPr>
                    <w:t>排放</w:t>
                  </w:r>
                </w:p>
              </w:tc>
              <w:tc>
                <w:tcPr>
                  <w:tcW w:w="1875"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三级化粪池</w:t>
                  </w:r>
                </w:p>
              </w:tc>
              <w:tc>
                <w:tcPr>
                  <w:tcW w:w="1091"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0" w:type="auto"/>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废气</w:t>
                  </w:r>
                </w:p>
              </w:tc>
              <w:tc>
                <w:tcPr>
                  <w:tcW w:w="949"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有机废气、颗粒物</w:t>
                  </w:r>
                </w:p>
              </w:tc>
              <w:tc>
                <w:tcPr>
                  <w:tcW w:w="890"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烘干房、厂界</w:t>
                  </w:r>
                </w:p>
              </w:tc>
              <w:tc>
                <w:tcPr>
                  <w:tcW w:w="1309" w:type="dxa"/>
                  <w:vAlign w:val="center"/>
                </w:tcPr>
                <w:p>
                  <w:pPr>
                    <w:pStyle w:val="20"/>
                    <w:widowControl w:val="0"/>
                    <w:ind w:firstLine="0" w:firstLineChars="0"/>
                    <w:jc w:val="center"/>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cs="Times New Roman" w:eastAsiaTheme="minorEastAsia"/>
                      <w:color w:val="auto"/>
                      <w:sz w:val="21"/>
                      <w:szCs w:val="21"/>
                      <w:lang w:val="en-US" w:eastAsia="zh-CN" w:bidi="ar-SA"/>
                    </w:rPr>
                    <w:t>收集处理、通风</w:t>
                  </w:r>
                </w:p>
              </w:tc>
              <w:tc>
                <w:tcPr>
                  <w:tcW w:w="1766"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废气达标排放</w:t>
                  </w:r>
                </w:p>
              </w:tc>
              <w:tc>
                <w:tcPr>
                  <w:tcW w:w="1875"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UV光解+活性炭</w:t>
                  </w:r>
                </w:p>
              </w:tc>
              <w:tc>
                <w:tcPr>
                  <w:tcW w:w="1091"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噪声</w:t>
                  </w:r>
                </w:p>
              </w:tc>
              <w:tc>
                <w:tcPr>
                  <w:tcW w:w="94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噪声</w:t>
                  </w:r>
                </w:p>
              </w:tc>
              <w:tc>
                <w:tcPr>
                  <w:tcW w:w="890"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设备机器</w:t>
                  </w:r>
                </w:p>
              </w:tc>
              <w:tc>
                <w:tcPr>
                  <w:tcW w:w="130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合理布局，隔声减震</w:t>
                  </w:r>
                </w:p>
              </w:tc>
              <w:tc>
                <w:tcPr>
                  <w:tcW w:w="1766"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噪声达标排放</w:t>
                  </w:r>
                </w:p>
              </w:tc>
              <w:tc>
                <w:tcPr>
                  <w:tcW w:w="1875"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设备</w:t>
                  </w:r>
                  <w:r>
                    <w:rPr>
                      <w:rFonts w:hint="eastAsia" w:ascii="Times New Roman" w:cs="Times New Roman" w:hAnsiTheme="minorEastAsia" w:eastAsiaTheme="minorEastAsia"/>
                      <w:color w:val="auto"/>
                      <w:sz w:val="21"/>
                      <w:szCs w:val="21"/>
                    </w:rPr>
                    <w:t>围挡、</w:t>
                  </w:r>
                  <w:r>
                    <w:rPr>
                      <w:rFonts w:ascii="Times New Roman" w:cs="Times New Roman" w:hAnsiTheme="minorEastAsia" w:eastAsiaTheme="minorEastAsia"/>
                      <w:color w:val="auto"/>
                      <w:sz w:val="21"/>
                      <w:szCs w:val="21"/>
                    </w:rPr>
                    <w:t>保养、减震</w:t>
                  </w:r>
                </w:p>
              </w:tc>
              <w:tc>
                <w:tcPr>
                  <w:tcW w:w="1091"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固废</w:t>
                  </w:r>
                </w:p>
              </w:tc>
              <w:tc>
                <w:tcPr>
                  <w:tcW w:w="949"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一般固废</w:t>
                  </w:r>
                </w:p>
              </w:tc>
              <w:tc>
                <w:tcPr>
                  <w:tcW w:w="890" w:type="dxa"/>
                  <w:vAlign w:val="center"/>
                </w:tcPr>
                <w:p>
                  <w:pPr>
                    <w:pStyle w:val="20"/>
                    <w:widowControl w:val="0"/>
                    <w:ind w:firstLine="0"/>
                    <w:jc w:val="center"/>
                    <w:rPr>
                      <w:rFonts w:hint="eastAsia" w:ascii="Times New Roman" w:hAnsi="Times New Roman" w:cs="Times New Roman" w:eastAsiaTheme="minorEastAsia"/>
                      <w:color w:val="auto"/>
                      <w:sz w:val="21"/>
                      <w:szCs w:val="21"/>
                      <w:lang w:eastAsia="zh-CN"/>
                    </w:rPr>
                  </w:pPr>
                  <w:r>
                    <w:rPr>
                      <w:rFonts w:hint="eastAsia" w:ascii="Times New Roman" w:cs="Times New Roman" w:hAnsiTheme="minorEastAsia" w:eastAsiaTheme="minorEastAsia"/>
                      <w:color w:val="auto"/>
                      <w:sz w:val="21"/>
                      <w:szCs w:val="21"/>
                      <w:lang w:val="en-US" w:eastAsia="zh-CN"/>
                    </w:rPr>
                    <w:t>车间</w:t>
                  </w:r>
                </w:p>
              </w:tc>
              <w:tc>
                <w:tcPr>
                  <w:tcW w:w="1309" w:type="dxa"/>
                  <w:vAlign w:val="center"/>
                </w:tcPr>
                <w:p>
                  <w:pPr>
                    <w:pStyle w:val="20"/>
                    <w:widowControl w:val="0"/>
                    <w:ind w:firstLine="0"/>
                    <w:jc w:val="center"/>
                    <w:rPr>
                      <w:rFonts w:hint="default"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综合利用</w:t>
                  </w:r>
                </w:p>
              </w:tc>
              <w:tc>
                <w:tcPr>
                  <w:tcW w:w="1766" w:type="dxa"/>
                  <w:vAlign w:val="center"/>
                </w:tcPr>
                <w:p>
                  <w:pPr>
                    <w:pStyle w:val="20"/>
                    <w:widowControl w:val="0"/>
                    <w:ind w:firstLine="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综合利用</w:t>
                  </w:r>
                </w:p>
              </w:tc>
              <w:tc>
                <w:tcPr>
                  <w:tcW w:w="1875"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原料区、暂存区</w:t>
                  </w:r>
                </w:p>
              </w:tc>
              <w:tc>
                <w:tcPr>
                  <w:tcW w:w="1091" w:type="dxa"/>
                  <w:vMerge w:val="restart"/>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0"/>
                    <w:widowControl w:val="0"/>
                    <w:ind w:firstLine="0"/>
                    <w:jc w:val="center"/>
                    <w:rPr>
                      <w:rFonts w:ascii="Times New Roman" w:cs="Times New Roman" w:hAnsiTheme="minorEastAsia" w:eastAsiaTheme="minorEastAsia"/>
                      <w:color w:val="auto"/>
                      <w:sz w:val="21"/>
                      <w:szCs w:val="21"/>
                    </w:rPr>
                  </w:pPr>
                </w:p>
              </w:tc>
              <w:tc>
                <w:tcPr>
                  <w:tcW w:w="949" w:type="dxa"/>
                  <w:vAlign w:val="center"/>
                </w:tcPr>
                <w:p>
                  <w:pPr>
                    <w:pStyle w:val="20"/>
                    <w:widowControl w:val="0"/>
                    <w:ind w:firstLine="0"/>
                    <w:jc w:val="center"/>
                    <w:rPr>
                      <w:rFonts w:hint="default"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危险废物</w:t>
                  </w:r>
                </w:p>
              </w:tc>
              <w:tc>
                <w:tcPr>
                  <w:tcW w:w="890" w:type="dxa"/>
                  <w:vAlign w:val="center"/>
                </w:tcPr>
                <w:p>
                  <w:pPr>
                    <w:pStyle w:val="20"/>
                    <w:widowControl w:val="0"/>
                    <w:ind w:firstLine="0"/>
                    <w:jc w:val="center"/>
                    <w:rPr>
                      <w:rFonts w:hint="default"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车间</w:t>
                  </w:r>
                </w:p>
              </w:tc>
              <w:tc>
                <w:tcPr>
                  <w:tcW w:w="1309" w:type="dxa"/>
                  <w:vAlign w:val="center"/>
                </w:tcPr>
                <w:p>
                  <w:pPr>
                    <w:pStyle w:val="20"/>
                    <w:widowControl w:val="0"/>
                    <w:ind w:firstLine="0"/>
                    <w:jc w:val="center"/>
                    <w:rPr>
                      <w:rFonts w:hint="default"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委托处置</w:t>
                  </w:r>
                </w:p>
              </w:tc>
              <w:tc>
                <w:tcPr>
                  <w:tcW w:w="1766" w:type="dxa"/>
                  <w:vAlign w:val="center"/>
                </w:tcPr>
                <w:p>
                  <w:pPr>
                    <w:pStyle w:val="20"/>
                    <w:widowControl w:val="0"/>
                    <w:ind w:firstLine="0"/>
                    <w:jc w:val="center"/>
                    <w:rPr>
                      <w:rFonts w:hint="default" w:ascii="Times New Roman" w:cs="Times New Roman" w:hAnsiTheme="minorEastAsia" w:eastAsiaTheme="minorEastAsia"/>
                      <w:color w:val="auto"/>
                      <w:sz w:val="21"/>
                      <w:szCs w:val="21"/>
                      <w:lang w:val="en-US" w:eastAsia="zh-CN"/>
                    </w:rPr>
                  </w:pPr>
                  <w:r>
                    <w:rPr>
                      <w:rFonts w:hint="eastAsia" w:ascii="Times New Roman" w:cs="Times New Roman" w:hAnsiTheme="minorEastAsia" w:eastAsiaTheme="minorEastAsia"/>
                      <w:color w:val="auto"/>
                      <w:sz w:val="21"/>
                      <w:szCs w:val="21"/>
                      <w:lang w:val="en-US" w:eastAsia="zh-CN"/>
                    </w:rPr>
                    <w:t>/</w:t>
                  </w:r>
                </w:p>
              </w:tc>
              <w:tc>
                <w:tcPr>
                  <w:tcW w:w="1875"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危废暂存区、委托处置</w:t>
                  </w:r>
                </w:p>
              </w:tc>
              <w:tc>
                <w:tcPr>
                  <w:tcW w:w="1091" w:type="dxa"/>
                  <w:vMerge w:val="continue"/>
                  <w:vAlign w:val="center"/>
                </w:tcPr>
                <w:p>
                  <w:pPr>
                    <w:pStyle w:val="20"/>
                    <w:widowControl w:val="0"/>
                    <w:ind w:firstLine="0"/>
                    <w:jc w:val="center"/>
                    <w:rPr>
                      <w:rFonts w:hint="eastAsia" w:ascii="Times New Roman" w:hAnsi="Times New Roman" w:cs="Times New Roman" w:eastAsiaTheme="minorEastAsia"/>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0"/>
                    <w:widowControl w:val="0"/>
                    <w:ind w:firstLine="0"/>
                    <w:jc w:val="center"/>
                    <w:rPr>
                      <w:rFonts w:ascii="Times New Roman" w:hAnsi="Times New Roman" w:cs="Times New Roman" w:eastAsiaTheme="minorEastAsia"/>
                      <w:color w:val="auto"/>
                      <w:sz w:val="21"/>
                      <w:szCs w:val="21"/>
                    </w:rPr>
                  </w:pPr>
                </w:p>
              </w:tc>
              <w:tc>
                <w:tcPr>
                  <w:tcW w:w="94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生活垃圾</w:t>
                  </w:r>
                </w:p>
              </w:tc>
              <w:tc>
                <w:tcPr>
                  <w:tcW w:w="890"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员工生活</w:t>
                  </w:r>
                </w:p>
              </w:tc>
              <w:tc>
                <w:tcPr>
                  <w:tcW w:w="1309"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收集由环卫部门统一处理</w:t>
                  </w:r>
                </w:p>
              </w:tc>
              <w:tc>
                <w:tcPr>
                  <w:tcW w:w="1766"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不外排</w:t>
                  </w:r>
                </w:p>
              </w:tc>
              <w:tc>
                <w:tcPr>
                  <w:tcW w:w="1875" w:type="dxa"/>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垃圾桶</w:t>
                  </w:r>
                </w:p>
              </w:tc>
              <w:tc>
                <w:tcPr>
                  <w:tcW w:w="1091" w:type="dxa"/>
                  <w:vMerge w:val="continue"/>
                  <w:vAlign w:val="center"/>
                </w:tcPr>
                <w:p>
                  <w:pPr>
                    <w:pStyle w:val="20"/>
                    <w:widowControl w:val="0"/>
                    <w:ind w:firstLine="0"/>
                    <w:jc w:val="center"/>
                    <w:rPr>
                      <w:rFonts w:ascii="Times New Roman" w:hAnsi="Times New Roman" w:cs="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15" w:type="dxa"/>
                  <w:gridSpan w:val="6"/>
                  <w:vAlign w:val="center"/>
                </w:tcPr>
                <w:p>
                  <w:pPr>
                    <w:pStyle w:val="20"/>
                    <w:widowControl w:val="0"/>
                    <w:ind w:firstLine="0"/>
                    <w:jc w:val="center"/>
                    <w:rPr>
                      <w:rFonts w:ascii="Times New Roman" w:hAnsi="Times New Roman" w:cs="Times New Roman" w:eastAsiaTheme="minorEastAsia"/>
                      <w:color w:val="auto"/>
                      <w:sz w:val="21"/>
                      <w:szCs w:val="21"/>
                    </w:rPr>
                  </w:pPr>
                  <w:r>
                    <w:rPr>
                      <w:rFonts w:ascii="Times New Roman" w:cs="Times New Roman" w:hAnsiTheme="minorEastAsia" w:eastAsiaTheme="minorEastAsia"/>
                      <w:color w:val="auto"/>
                      <w:sz w:val="21"/>
                      <w:szCs w:val="21"/>
                    </w:rPr>
                    <w:t>合计</w:t>
                  </w:r>
                </w:p>
              </w:tc>
              <w:tc>
                <w:tcPr>
                  <w:tcW w:w="1091" w:type="dxa"/>
                  <w:vAlign w:val="center"/>
                </w:tcPr>
                <w:p>
                  <w:pPr>
                    <w:pStyle w:val="20"/>
                    <w:widowControl w:val="0"/>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w:t>
                  </w:r>
                </w:p>
              </w:tc>
            </w:tr>
          </w:tbl>
          <w:p>
            <w:pPr>
              <w:pStyle w:val="20"/>
              <w:widowControl w:val="0"/>
              <w:rPr>
                <w:color w:val="0000FF"/>
              </w:rPr>
            </w:pPr>
          </w:p>
        </w:tc>
      </w:tr>
    </w:tbl>
    <w:p>
      <w:pPr>
        <w:spacing w:line="360" w:lineRule="auto"/>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FF"/>
          <w:sz w:val="21"/>
          <w:szCs w:val="21"/>
        </w:rPr>
        <w:sectPr>
          <w:footerReference r:id="rId6" w:type="default"/>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表四</w:t>
      </w:r>
    </w:p>
    <w:tbl>
      <w:tblPr>
        <w:tblStyle w:val="22"/>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ascii="Times New Roman" w:hAnsi="Times New Roman" w:eastAsia="宋体" w:cs="Times New Roman"/>
                <w:b/>
                <w:bCs/>
                <w:color w:val="auto"/>
                <w:sz w:val="24"/>
                <w:szCs w:val="24"/>
              </w:rPr>
              <w:t>建设项目环境影响报告表主要结论</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通过以上分析，我们认为，长泰中原保温材料有限公司的年产岩棉制品10000立方米和复合硅酸盐保温制品3000立方米建设项目的生产符合国家的产业政策，该厂现有的选址可行，区域环境现状符合规划要求。只要项目严格遵守国家和地方有关环保法规，落实本评价所提出的环保措施，做到各项污染物达标排放，且污染物排放总量控制在允许排放总量范围内，并积极采用清洁生产技术方法，则项目正常建设运营对周围环境产生的影响较小。从环保角度分析，年产岩棉制品10000立方米和复合硅酸盐保温制品3000立方米建设项目现有选址可行的。</w:t>
            </w:r>
          </w:p>
          <w:p>
            <w:pPr>
              <w:widowControl/>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w:t>
            </w:r>
            <w:r>
              <w:rPr>
                <w:rFonts w:ascii="Times New Roman" w:hAnsi="Times New Roman" w:eastAsia="宋体" w:cs="Times New Roman"/>
                <w:b/>
                <w:bCs/>
                <w:color w:val="auto"/>
                <w:sz w:val="24"/>
                <w:szCs w:val="24"/>
              </w:rPr>
              <w:t>审批部门审批决定</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局务会研究，原则上同意年产岩棉制品10000立方米和复合硅酸盐保温制品3000立方米建设项目在落实好报告表提出的各项污染防治措施和建议，做到废水、废气、噪声长期稳定达标，固体废物依法处理处置的前提下，进行该项目的建设及建设规模。要求长泰中原保温材料有限公司必须着重做好以下工作:</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1、严格执行环保“三同时”制度。</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2、厂区合理布置，车间通风，并根据生产工序特点，针对性治理（特别是生产过程中的纤维粉尘）以确保工人的身心健康。</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3、项目建设中，要做好水土保持工作，及时还土植被。</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项目竣工试产，必须向长泰县环保局申请试产，并在法定时间内，申请环保“三同时”验收，验收合格后，才可正式生产。</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项目污染物排放执行标准：</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1、污水排放执行《污水综合排放标准》GB8978-1996表4一级。项目生产废水不对外排放。</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2.、度气排放执行《大气污染物综合排放标准》GB16297-1996表2二级。</w:t>
            </w:r>
          </w:p>
          <w:p>
            <w:pPr>
              <w:widowControl/>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3、厂界噪声执行《工业企业厂界噪声标准》GB12348-1990Ⅲ类标准。</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4、固体废物分类收集，依法处理处置，不外排。</w:t>
            </w:r>
          </w:p>
          <w:p>
            <w:pPr>
              <w:widowControl/>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5、同时执行报告表的其它要求。</w:t>
            </w:r>
          </w:p>
          <w:p>
            <w:pPr>
              <w:widowControl/>
              <w:spacing w:line="360" w:lineRule="auto"/>
              <w:ind w:firstLine="480" w:firstLineChars="200"/>
              <w:jc w:val="both"/>
              <w:rPr>
                <w:rFonts w:hint="eastAsia" w:ascii="Times New Roman" w:hAnsi="Times New Roman" w:eastAsia="宋体" w:cs="Times New Roman"/>
                <w:color w:val="0000FF"/>
                <w:sz w:val="24"/>
                <w:szCs w:val="24"/>
                <w:lang w:val="en-US" w:eastAsia="zh-CN"/>
              </w:rPr>
            </w:pPr>
          </w:p>
          <w:p>
            <w:pPr>
              <w:pStyle w:val="2"/>
              <w:widowControl w:val="0"/>
              <w:jc w:val="both"/>
              <w:rPr>
                <w:rFonts w:hint="eastAsia"/>
                <w:lang w:val="en-US" w:eastAsia="zh-CN"/>
              </w:rPr>
            </w:pPr>
          </w:p>
          <w:p>
            <w:pPr>
              <w:pStyle w:val="28"/>
              <w:spacing w:line="360" w:lineRule="auto"/>
              <w:ind w:firstLine="482" w:firstLineChars="200"/>
              <w:jc w:val="both"/>
              <w:rPr>
                <w:rFonts w:ascii="Times New Roman" w:hAnsi="Times New Roman" w:cs="Times New Roman"/>
                <w:b/>
                <w:bCs/>
                <w:color w:val="auto"/>
              </w:rPr>
            </w:pPr>
            <w:r>
              <w:rPr>
                <w:rFonts w:hint="eastAsia" w:ascii="Times New Roman" w:hAnsi="Times New Roman" w:cs="Times New Roman"/>
                <w:b/>
                <w:bCs/>
                <w:color w:val="auto"/>
              </w:rPr>
              <w:t>3</w:t>
            </w:r>
            <w:r>
              <w:rPr>
                <w:rFonts w:ascii="Times New Roman" w:hAnsi="Times New Roman" w:cs="Times New Roman"/>
                <w:b/>
                <w:bCs/>
                <w:color w:val="auto"/>
              </w:rPr>
              <w:t>、环境影响报告表及批复意见落实情况调查</w:t>
            </w:r>
          </w:p>
          <w:p>
            <w:pPr>
              <w:pStyle w:val="28"/>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表4-1 环境影响报告表批复意见落实一览表</w:t>
            </w:r>
          </w:p>
          <w:tbl>
            <w:tblPr>
              <w:tblStyle w:val="22"/>
              <w:tblW w:w="86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2585"/>
              <w:gridCol w:w="57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03" w:type="pct"/>
                  <w:tcBorders>
                    <w:tl2br w:val="nil"/>
                    <w:tr2bl w:val="nil"/>
                  </w:tcBorders>
                  <w:vAlign w:val="center"/>
                </w:tcPr>
                <w:p>
                  <w:pPr>
                    <w:pStyle w:val="28"/>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序号</w:t>
                  </w:r>
                </w:p>
              </w:tc>
              <w:tc>
                <w:tcPr>
                  <w:tcW w:w="1491" w:type="pct"/>
                  <w:tcBorders>
                    <w:tl2br w:val="nil"/>
                    <w:tr2bl w:val="nil"/>
                  </w:tcBorders>
                  <w:vAlign w:val="center"/>
                </w:tcPr>
                <w:p>
                  <w:pPr>
                    <w:pStyle w:val="28"/>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批复情况</w:t>
                  </w:r>
                </w:p>
              </w:tc>
              <w:tc>
                <w:tcPr>
                  <w:tcW w:w="3304"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203" w:type="pct"/>
                  <w:tcBorders>
                    <w:tl2br w:val="nil"/>
                    <w:tr2bl w:val="nil"/>
                  </w:tcBorders>
                  <w:vAlign w:val="center"/>
                </w:tcPr>
                <w:p>
                  <w:pPr>
                    <w:pStyle w:val="28"/>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w:t>
                  </w:r>
                </w:p>
              </w:tc>
              <w:tc>
                <w:tcPr>
                  <w:tcW w:w="1491" w:type="pct"/>
                  <w:tcBorders>
                    <w:tl2br w:val="nil"/>
                    <w:tr2bl w:val="nil"/>
                  </w:tcBorders>
                  <w:vAlign w:val="center"/>
                </w:tcPr>
                <w:p>
                  <w:pPr>
                    <w:pStyle w:val="28"/>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污水排放执行《污水综合排放标准》GB8978-1996表4一级。项目生产废水不对外排放。</w:t>
                  </w:r>
                </w:p>
              </w:tc>
              <w:tc>
                <w:tcPr>
                  <w:tcW w:w="3304" w:type="pct"/>
                  <w:tcBorders>
                    <w:tl2br w:val="nil"/>
                    <w:tr2bl w:val="nil"/>
                  </w:tcBorders>
                  <w:vAlign w:val="center"/>
                </w:tcPr>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本项目产生的废水主要有生活废水；生产过程中没有废水产生。</w:t>
                  </w:r>
                </w:p>
                <w:p>
                  <w:pPr>
                    <w:keepNext w:val="0"/>
                    <w:keepLines w:val="0"/>
                    <w:pageBreakBefore w:val="0"/>
                    <w:widowControl/>
                    <w:kinsoku/>
                    <w:wordWrap/>
                    <w:overflowPunct/>
                    <w:topLinePunct w:val="0"/>
                    <w:bidi w:val="0"/>
                    <w:adjustRightIn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生活污水：生活污水经三级化粪池处理后通过市政污水管网排入长泰西区污水处理厂处理。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203" w:type="pct"/>
                  <w:tcBorders>
                    <w:tl2br w:val="nil"/>
                    <w:tr2bl w:val="nil"/>
                  </w:tcBorders>
                  <w:vAlign w:val="center"/>
                </w:tcPr>
                <w:p>
                  <w:pPr>
                    <w:pStyle w:val="28"/>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w:t>
                  </w:r>
                </w:p>
              </w:tc>
              <w:tc>
                <w:tcPr>
                  <w:tcW w:w="1491" w:type="pct"/>
                  <w:tcBorders>
                    <w:tl2br w:val="nil"/>
                    <w:tr2bl w:val="nil"/>
                  </w:tcBorders>
                  <w:vAlign w:val="center"/>
                </w:tcPr>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度气排放执行《大气污染物综合排放标准》GB16297-1996表2二级。</w:t>
                  </w:r>
                </w:p>
              </w:tc>
              <w:tc>
                <w:tcPr>
                  <w:tcW w:w="3304" w:type="pct"/>
                  <w:tcBorders>
                    <w:tl2br w:val="nil"/>
                    <w:tr2bl w:val="nil"/>
                  </w:tcBorders>
                  <w:vAlign w:val="center"/>
                </w:tcPr>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本项目产生的废水主要为烘干房产生的有机废气、以及搬运和拆包过程中产生的纤维废气。</w:t>
                  </w:r>
                </w:p>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有机废气：本项目烘干房产生的废气通过UV光解+活性炭处理设施处理后通过15m高排气筒进行高空排放；</w:t>
                  </w:r>
                </w:p>
                <w:p>
                  <w:pPr>
                    <w:pStyle w:val="28"/>
                    <w:keepNext w:val="0"/>
                    <w:keepLines w:val="0"/>
                    <w:pageBreakBefore w:val="0"/>
                    <w:kinsoku/>
                    <w:wordWrap/>
                    <w:overflowPunct/>
                    <w:topLinePunct w:val="0"/>
                    <w:bidi w:val="0"/>
                    <w:adjustRightIn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搬运和拆包过程中产生的纤维</w:t>
                  </w:r>
                  <w:r>
                    <w:rPr>
                      <w:rFonts w:hint="eastAsia" w:ascii="Times New Roman" w:hAnsi="Times New Roman" w:cs="Times New Roman"/>
                      <w:color w:val="auto"/>
                      <w:sz w:val="21"/>
                      <w:szCs w:val="21"/>
                      <w:lang w:val="en-US" w:eastAsia="zh-CN" w:bidi="ar-SA"/>
                    </w:rPr>
                    <w:t>废气</w:t>
                  </w:r>
                  <w:r>
                    <w:rPr>
                      <w:rFonts w:hint="eastAsia" w:ascii="Times New Roman" w:hAnsi="Times New Roman" w:eastAsia="宋体" w:cs="Times New Roman"/>
                      <w:color w:val="auto"/>
                      <w:sz w:val="21"/>
                      <w:szCs w:val="21"/>
                      <w:lang w:val="en-US" w:eastAsia="zh-CN" w:bidi="ar-SA"/>
                    </w:rPr>
                    <w:t>：主要通过加强车间通风，安装通风排气设施进行防治。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3" w:type="pct"/>
                  <w:tcBorders>
                    <w:tl2br w:val="nil"/>
                    <w:tr2bl w:val="nil"/>
                  </w:tcBorders>
                  <w:vAlign w:val="center"/>
                </w:tcPr>
                <w:p>
                  <w:pPr>
                    <w:pStyle w:val="28"/>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w:t>
                  </w:r>
                </w:p>
              </w:tc>
              <w:tc>
                <w:tcPr>
                  <w:tcW w:w="1491" w:type="pct"/>
                  <w:tcBorders>
                    <w:tl2br w:val="nil"/>
                    <w:tr2bl w:val="nil"/>
                  </w:tcBorders>
                  <w:vAlign w:val="center"/>
                </w:tcPr>
                <w:p>
                  <w:pPr>
                    <w:pStyle w:val="28"/>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厂界噪声执行《工业企业厂界噪声标准》GB12348-1990Ⅲ类标准。</w:t>
                  </w:r>
                </w:p>
              </w:tc>
              <w:tc>
                <w:tcPr>
                  <w:tcW w:w="3304" w:type="pct"/>
                  <w:tcBorders>
                    <w:tl2br w:val="nil"/>
                    <w:tr2bl w:val="nil"/>
                  </w:tcBorders>
                  <w:vAlign w:val="center"/>
                </w:tcPr>
                <w:p>
                  <w:pPr>
                    <w:pStyle w:val="28"/>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主要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03" w:type="pct"/>
                  <w:tcBorders>
                    <w:tl2br w:val="nil"/>
                    <w:tr2bl w:val="nil"/>
                  </w:tcBorders>
                  <w:vAlign w:val="center"/>
                </w:tcPr>
                <w:p>
                  <w:pPr>
                    <w:pStyle w:val="28"/>
                    <w:spacing w:line="240" w:lineRule="auto"/>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w:t>
                  </w:r>
                </w:p>
              </w:tc>
              <w:tc>
                <w:tcPr>
                  <w:tcW w:w="1491" w:type="pct"/>
                  <w:tcBorders>
                    <w:tl2br w:val="nil"/>
                    <w:tr2bl w:val="nil"/>
                  </w:tcBorders>
                  <w:vAlign w:val="center"/>
                </w:tcPr>
                <w:p>
                  <w:pPr>
                    <w:pStyle w:val="28"/>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固体废物分类收集，依法处理处置，不外排。</w:t>
                  </w:r>
                </w:p>
              </w:tc>
              <w:tc>
                <w:tcPr>
                  <w:tcW w:w="3304" w:type="pct"/>
                  <w:tcBorders>
                    <w:tl2br w:val="nil"/>
                    <w:tr2bl w:val="nil"/>
                  </w:tcBorders>
                  <w:vAlign w:val="center"/>
                </w:tcPr>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本项目主要固体废物为生产固废、生活垃圾以及废润滑油、油桶。</w:t>
                  </w:r>
                </w:p>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① 生活垃圾：项目运营期生活垃圾产生量为3</w:t>
                  </w:r>
                  <w:r>
                    <w:rPr>
                      <w:rFonts w:hint="default" w:ascii="Times New Roman" w:hAnsi="Times New Roman" w:eastAsia="宋体" w:cs="Times New Roman"/>
                      <w:color w:val="auto"/>
                      <w:sz w:val="21"/>
                      <w:szCs w:val="21"/>
                      <w:lang w:val="en-US" w:eastAsia="zh-CN" w:bidi="ar-SA"/>
                    </w:rPr>
                    <w:t>t/a</w:t>
                  </w:r>
                  <w:r>
                    <w:rPr>
                      <w:rFonts w:hint="eastAsia" w:ascii="Times New Roman" w:hAnsi="Times New Roman" w:eastAsia="宋体" w:cs="Times New Roman"/>
                      <w:color w:val="auto"/>
                      <w:sz w:val="21"/>
                      <w:szCs w:val="21"/>
                      <w:lang w:val="en-US" w:eastAsia="zh-CN" w:bidi="ar-SA"/>
                    </w:rPr>
                    <w:t>。生活垃圾集中收集后统一由环卫部门处置，对项目周边影响小。</w:t>
                  </w:r>
                </w:p>
                <w:p>
                  <w:pPr>
                    <w:widowControl/>
                    <w:spacing w:line="240" w:lineRule="auto"/>
                    <w:jc w:val="left"/>
                    <w:rPr>
                      <w:rFonts w:hint="eastAsia"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 xml:space="preserve">② </w:t>
                  </w:r>
                  <w:r>
                    <w:rPr>
                      <w:rFonts w:hint="eastAsia" w:ascii="Times New Roman" w:hAnsi="Times New Roman" w:eastAsia="宋体" w:cs="Times New Roman"/>
                      <w:color w:val="auto"/>
                      <w:sz w:val="21"/>
                      <w:szCs w:val="21"/>
                      <w:lang w:val="en-US" w:eastAsia="zh-CN" w:bidi="ar-SA"/>
                    </w:rPr>
                    <w:t>生产固废：本项目生产过程中产生的固体废物量为，分类收集后，大部分直接回用于吸塑工序，无法回用于生产的则出售给相关废品回收单位。</w:t>
                  </w:r>
                </w:p>
                <w:p>
                  <w:pPr>
                    <w:keepNext w:val="0"/>
                    <w:keepLines w:val="0"/>
                    <w:pageBreakBefore w:val="0"/>
                    <w:widowControl/>
                    <w:kinsoku/>
                    <w:wordWrap/>
                    <w:overflowPunct/>
                    <w:topLinePunct w:val="0"/>
                    <w:bidi w:val="0"/>
                    <w:adjustRightInd w:val="0"/>
                    <w:spacing w:line="240" w:lineRule="auto"/>
                    <w:ind w:firstLine="0" w:firstLineChars="0"/>
                    <w:jc w:val="left"/>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③废润滑油、油桶：本项目产品烘干工序前需要在表面涂抹一层润滑油，产生的废润滑油、油桶属于危险废物，集中收集暂存于危废间，待一定量后委托有资质的处置。</w:t>
                  </w:r>
                </w:p>
              </w:tc>
            </w:tr>
          </w:tbl>
          <w:p>
            <w:pPr>
              <w:pStyle w:val="28"/>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表五</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widowControl/>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1、监测分析方法</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此次验收监测的分析方法按环境要素说明各项监测因子监测分析方法名称、方法标准号或方法来源、分析方法的最低检出限，详见下表。</w:t>
            </w:r>
          </w:p>
          <w:p>
            <w:pPr>
              <w:widowControl w:val="0"/>
              <w:adjustRightInd/>
              <w:spacing w:line="360" w:lineRule="auto"/>
              <w:ind w:firstLine="422" w:firstLineChars="200"/>
              <w:jc w:val="center"/>
              <w:rPr>
                <w:rFonts w:ascii="Times New Roman" w:hAnsi="Times New Roman" w:eastAsia="宋体" w:cs="Times New Roman"/>
                <w:b/>
                <w:bCs/>
                <w:color w:val="auto"/>
                <w:sz w:val="21"/>
                <w:szCs w:val="21"/>
              </w:rPr>
            </w:pPr>
            <w:bookmarkStart w:id="1" w:name="_Toc1961"/>
            <w:r>
              <w:rPr>
                <w:rFonts w:ascii="Times New Roman" w:hAnsi="Times New Roman" w:eastAsia="宋体" w:cs="Times New Roman"/>
                <w:b/>
                <w:bCs/>
                <w:color w:val="auto"/>
                <w:sz w:val="21"/>
                <w:szCs w:val="21"/>
              </w:rPr>
              <w:t>表5-1 监测分析方法</w:t>
            </w:r>
            <w:bookmarkEnd w:id="1"/>
            <w:r>
              <w:rPr>
                <w:rFonts w:ascii="Times New Roman" w:hAnsi="Times New Roman" w:eastAsia="宋体" w:cs="Times New Roman"/>
                <w:b/>
                <w:bCs/>
                <w:color w:val="auto"/>
                <w:sz w:val="21"/>
                <w:szCs w:val="21"/>
              </w:rPr>
              <w:t>表</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392"/>
              <w:gridCol w:w="4190"/>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3" w:type="dxa"/>
                  <w:noWrap w:val="0"/>
                  <w:vAlign w:val="center"/>
                </w:tcPr>
                <w:p>
                  <w:pPr>
                    <w:pStyle w:val="42"/>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检测类别</w:t>
                  </w:r>
                </w:p>
              </w:tc>
              <w:tc>
                <w:tcPr>
                  <w:tcW w:w="1392" w:type="dxa"/>
                  <w:noWrap w:val="0"/>
                  <w:vAlign w:val="center"/>
                </w:tcPr>
                <w:p>
                  <w:pPr>
                    <w:pStyle w:val="42"/>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分析项目</w:t>
                  </w:r>
                </w:p>
              </w:tc>
              <w:tc>
                <w:tcPr>
                  <w:tcW w:w="4190" w:type="dxa"/>
                  <w:noWrap w:val="0"/>
                  <w:vAlign w:val="center"/>
                </w:tcPr>
                <w:p>
                  <w:pPr>
                    <w:pStyle w:val="42"/>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依据方法</w:t>
                  </w:r>
                </w:p>
              </w:tc>
              <w:tc>
                <w:tcPr>
                  <w:tcW w:w="1262" w:type="dxa"/>
                  <w:noWrap w:val="0"/>
                  <w:vAlign w:val="center"/>
                </w:tcPr>
                <w:p>
                  <w:pPr>
                    <w:pStyle w:val="42"/>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最低</w:t>
                  </w:r>
                </w:p>
                <w:p>
                  <w:pPr>
                    <w:pStyle w:val="42"/>
                    <w:widowControl/>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物理因素</w:t>
                  </w:r>
                </w:p>
              </w:tc>
              <w:tc>
                <w:tcPr>
                  <w:tcW w:w="1392" w:type="dxa"/>
                  <w:noWrap w:val="0"/>
                  <w:vAlign w:val="center"/>
                </w:tcPr>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厂界噪声</w:t>
                  </w:r>
                </w:p>
              </w:tc>
              <w:tc>
                <w:tcPr>
                  <w:tcW w:w="4190" w:type="dxa"/>
                  <w:noWrap w:val="0"/>
                  <w:vAlign w:val="center"/>
                </w:tcPr>
                <w:p>
                  <w:pPr>
                    <w:pStyle w:val="54"/>
                    <w:spacing w:line="240" w:lineRule="auto"/>
                    <w:ind w:firstLine="630" w:firstLineChars="3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p>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 12348-2008</w:t>
                  </w:r>
                </w:p>
              </w:tc>
              <w:tc>
                <w:tcPr>
                  <w:tcW w:w="1262" w:type="dxa"/>
                  <w:noWrap w:val="0"/>
                  <w:vAlign w:val="center"/>
                </w:tcPr>
                <w:p>
                  <w:pPr>
                    <w:spacing w:line="240" w:lineRule="auto"/>
                    <w:jc w:val="center"/>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sz w:val="21"/>
                      <w:szCs w:val="21"/>
                    </w:rPr>
                    <w:t>35dB</w:t>
                  </w:r>
                  <w:r>
                    <w:rPr>
                      <w:rFonts w:hint="default" w:ascii="Times New Roman" w:hAnsi="Times New Roman" w:eastAsia="宋体" w:cs="Times New Roman"/>
                      <w:color w:val="auto"/>
                      <w:sz w:val="21"/>
                      <w:szCs w:val="21"/>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093" w:type="dxa"/>
                  <w:vMerge w:val="restar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bookmarkStart w:id="2" w:name="OLE_LINK1" w:colFirst="1" w:colLast="2"/>
                  <w:r>
                    <w:rPr>
                      <w:rFonts w:hint="default" w:ascii="Times New Roman" w:hAnsi="Times New Roman" w:eastAsia="宋体" w:cs="Times New Roman"/>
                      <w:color w:val="auto"/>
                      <w:sz w:val="21"/>
                      <w:szCs w:val="21"/>
                      <w:lang w:val="en-US" w:eastAsia="zh-CN"/>
                    </w:rPr>
                    <w:t>废气</w:t>
                  </w:r>
                </w:p>
              </w:tc>
              <w:tc>
                <w:tcPr>
                  <w:tcW w:w="139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颗粒物</w:t>
                  </w:r>
                </w:p>
              </w:tc>
              <w:tc>
                <w:tcPr>
                  <w:tcW w:w="419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环境空气 总悬浮颗粒物的测定 重量法 GB/T 15432-1995</w:t>
                  </w:r>
                  <w:r>
                    <w:rPr>
                      <w:rFonts w:hint="default" w:ascii="Times New Roman" w:hAnsi="Times New Roman" w:eastAsia="宋体" w:cs="Times New Roman"/>
                      <w:color w:val="auto"/>
                      <w:sz w:val="21"/>
                      <w:szCs w:val="21"/>
                      <w:lang w:eastAsia="zh-CN"/>
                    </w:rPr>
                    <w:t>及其修改单</w:t>
                  </w:r>
                </w:p>
              </w:tc>
              <w:tc>
                <w:tcPr>
                  <w:tcW w:w="1262" w:type="dxa"/>
                  <w:noWrap w:val="0"/>
                  <w:vAlign w:val="center"/>
                </w:tcPr>
                <w:p>
                  <w:pPr>
                    <w:pStyle w:val="13"/>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0.001mg/m</w:t>
                  </w:r>
                  <w:r>
                    <w:rPr>
                      <w:rFonts w:hint="default" w:ascii="Times New Roman" w:hAnsi="Times New Roman" w:eastAsia="宋体" w:cs="Times New Roman"/>
                      <w:color w:val="auto"/>
                      <w:kern w:val="2"/>
                      <w:sz w:val="21"/>
                      <w:szCs w:val="21"/>
                      <w:vertAlign w:val="superscript"/>
                      <w:lang w:val="en-US" w:eastAsia="zh-CN"/>
                    </w:rPr>
                    <w:t>3</w:t>
                  </w:r>
                </w:p>
              </w:tc>
            </w:tr>
            <w:bookmarkEnd w:id="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093"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392" w:type="dxa"/>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c>
                <w:tcPr>
                  <w:tcW w:w="419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环境空气 总烃、甲烷和非甲烷总烃的测定                    直接进样-气相色谱法 HJ/T 604-2017</w:t>
                  </w:r>
                </w:p>
              </w:tc>
              <w:tc>
                <w:tcPr>
                  <w:tcW w:w="1262" w:type="dxa"/>
                  <w:noWrap w:val="0"/>
                  <w:vAlign w:val="center"/>
                </w:tcPr>
                <w:p>
                  <w:pPr>
                    <w:pStyle w:val="13"/>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0.07mg/m</w:t>
                  </w:r>
                  <w:r>
                    <w:rPr>
                      <w:rFonts w:hint="default" w:ascii="Times New Roman" w:hAnsi="Times New Roman" w:eastAsia="宋体" w:cs="Times New Roman"/>
                      <w:color w:val="auto"/>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1392" w:type="dxa"/>
                  <w:noWrap w:val="0"/>
                  <w:vAlign w:val="center"/>
                </w:tcPr>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p>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（固定源）</w:t>
                  </w:r>
                </w:p>
              </w:tc>
              <w:tc>
                <w:tcPr>
                  <w:tcW w:w="4190"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固定污染源废气 总烃、甲烷和非甲烷总烃的测定 气相色谱法HJ 38-2017</w:t>
                  </w:r>
                </w:p>
              </w:tc>
              <w:tc>
                <w:tcPr>
                  <w:tcW w:w="1262" w:type="dxa"/>
                  <w:noWrap w:val="0"/>
                  <w:vAlign w:val="center"/>
                </w:tcPr>
                <w:p>
                  <w:pPr>
                    <w:pStyle w:val="13"/>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jc w:val="center"/>
                    <w:textAlignment w:val="auto"/>
                    <w:outlineLvl w:val="9"/>
                    <w:rPr>
                      <w:rFonts w:hint="default" w:ascii="Times New Roman" w:hAnsi="Times New Roman" w:eastAsia="宋体" w:cs="Times New Roman"/>
                      <w:color w:val="auto"/>
                      <w:kern w:val="2"/>
                      <w:sz w:val="21"/>
                      <w:szCs w:val="21"/>
                      <w:vertAlign w:val="superscript"/>
                      <w:lang w:val="en-US" w:eastAsia="zh-CN" w:bidi="ar-SA"/>
                    </w:rPr>
                  </w:pPr>
                  <w:r>
                    <w:rPr>
                      <w:rFonts w:hint="default" w:ascii="Times New Roman" w:hAnsi="Times New Roman" w:eastAsia="宋体" w:cs="Times New Roman"/>
                      <w:color w:val="auto"/>
                      <w:kern w:val="2"/>
                      <w:sz w:val="21"/>
                      <w:szCs w:val="21"/>
                      <w:lang w:val="en-US" w:eastAsia="zh-CN"/>
                    </w:rPr>
                    <w:t>0.07mg/m</w:t>
                  </w:r>
                  <w:r>
                    <w:rPr>
                      <w:rFonts w:hint="default" w:ascii="Times New Roman" w:hAnsi="Times New Roman" w:eastAsia="宋体" w:cs="Times New Roman"/>
                      <w:color w:val="auto"/>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Merge w:val="continue"/>
                  <w:shd w:val="clear" w:color="auto" w:fill="auto"/>
                  <w:noWrap w:val="0"/>
                  <w:vAlign w:val="center"/>
                </w:tcPr>
                <w:p>
                  <w:pPr>
                    <w:spacing w:line="240" w:lineRule="auto"/>
                    <w:jc w:val="center"/>
                    <w:rPr>
                      <w:rFonts w:hint="default" w:ascii="Times New Roman" w:hAnsi="Times New Roman" w:eastAsia="宋体" w:cs="Times New Roman"/>
                      <w:color w:val="auto"/>
                      <w:sz w:val="21"/>
                      <w:szCs w:val="21"/>
                    </w:rPr>
                  </w:pPr>
                </w:p>
              </w:tc>
              <w:tc>
                <w:tcPr>
                  <w:tcW w:w="1392" w:type="dxa"/>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采样方法</w:t>
                  </w:r>
                </w:p>
              </w:tc>
              <w:tc>
                <w:tcPr>
                  <w:tcW w:w="4190" w:type="dxa"/>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大气污染物无组织排放监测技术导则</w:t>
                  </w:r>
                  <w:r>
                    <w:rPr>
                      <w:rFonts w:hint="default" w:ascii="Times New Roman" w:hAnsi="Times New Roman" w:eastAsia="宋体" w:cs="Times New Roman"/>
                      <w:i w:val="0"/>
                      <w:color w:val="auto"/>
                      <w:kern w:val="0"/>
                      <w:sz w:val="21"/>
                      <w:szCs w:val="21"/>
                      <w:u w:val="none"/>
                      <w:lang w:val="en-US" w:eastAsia="zh-CN" w:bidi="ar"/>
                    </w:rPr>
                    <w:br w:type="textWrapping"/>
                  </w:r>
                  <w:r>
                    <w:rPr>
                      <w:rFonts w:hint="default" w:ascii="Times New Roman" w:hAnsi="Times New Roman" w:eastAsia="宋体" w:cs="Times New Roman"/>
                      <w:i w:val="0"/>
                      <w:color w:val="auto"/>
                      <w:kern w:val="0"/>
                      <w:sz w:val="21"/>
                      <w:szCs w:val="21"/>
                      <w:u w:val="none"/>
                      <w:lang w:val="en-US" w:eastAsia="zh-CN" w:bidi="ar"/>
                    </w:rPr>
                    <w:t xml:space="preserve"> HJ/T55-2000</w:t>
                  </w:r>
                </w:p>
              </w:tc>
              <w:tc>
                <w:tcPr>
                  <w:tcW w:w="126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Merge w:val="continue"/>
                  <w:shd w:val="clear" w:color="auto" w:fill="auto"/>
                  <w:noWrap w:val="0"/>
                  <w:vAlign w:val="center"/>
                </w:tcPr>
                <w:p>
                  <w:pPr>
                    <w:spacing w:line="240" w:lineRule="auto"/>
                    <w:jc w:val="center"/>
                    <w:rPr>
                      <w:rFonts w:hint="default" w:ascii="Times New Roman" w:hAnsi="Times New Roman" w:eastAsia="宋体" w:cs="Times New Roman"/>
                      <w:color w:val="auto"/>
                      <w:sz w:val="21"/>
                      <w:szCs w:val="21"/>
                    </w:rPr>
                  </w:pPr>
                </w:p>
              </w:tc>
              <w:tc>
                <w:tcPr>
                  <w:tcW w:w="1392" w:type="dxa"/>
                  <w:shd w:val="clear" w:color="auto" w:fill="auto"/>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采样方法</w:t>
                  </w:r>
                </w:p>
              </w:tc>
              <w:tc>
                <w:tcPr>
                  <w:tcW w:w="4190" w:type="dxa"/>
                  <w:shd w:val="clear" w:color="auto" w:fill="FFFFFF"/>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固定源废气监测技术规范 HJ/T 397-2007</w:t>
                  </w:r>
                </w:p>
              </w:tc>
              <w:tc>
                <w:tcPr>
                  <w:tcW w:w="1262" w:type="dxa"/>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w:t>
                  </w:r>
                </w:p>
              </w:tc>
            </w:tr>
          </w:tbl>
          <w:p>
            <w:pPr>
              <w:widowControl w:val="0"/>
              <w:adjustRightInd/>
              <w:spacing w:line="360" w:lineRule="auto"/>
              <w:ind w:firstLine="422" w:firstLineChars="200"/>
              <w:jc w:val="center"/>
              <w:rPr>
                <w:rFonts w:ascii="Times New Roman" w:hAnsi="Times New Roman" w:eastAsia="宋体" w:cs="Times New Roman"/>
                <w:b/>
                <w:bCs/>
                <w:color w:val="auto"/>
                <w:sz w:val="21"/>
                <w:szCs w:val="21"/>
              </w:rPr>
            </w:pP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2、质控措施</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（1）人员：承担监测任务的环境监测站通过资质认定，监测人员持证上岗。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spacing w:line="360" w:lineRule="auto"/>
              <w:ind w:firstLine="480" w:firstLineChars="200"/>
              <w:jc w:val="both"/>
              <w:rPr>
                <w:color w:val="auto"/>
              </w:rPr>
            </w:pPr>
            <w:r>
              <w:rPr>
                <w:rFonts w:ascii="Times New Roman" w:hAnsi="Times New Roman" w:eastAsia="宋体" w:cs="Times New Roman"/>
                <w:color w:val="auto"/>
                <w:sz w:val="24"/>
                <w:szCs w:val="24"/>
              </w:rPr>
              <w:t>（7）采样记录、分析结果、监测方案及报告均严格执行三级审核制度。</w:t>
            </w:r>
            <w:r>
              <w:rPr>
                <w:rFonts w:hint="eastAsia" w:ascii="Times New Roman" w:hAnsi="Times New Roman" w:eastAsia="宋体" w:cs="Times New Roman"/>
                <w:color w:val="auto"/>
                <w:sz w:val="24"/>
                <w:szCs w:val="24"/>
              </w:rPr>
              <w:t>即所在检测科室的室主任、质控负责人和技术负责人逐级审核，发现问题及时解决，不得进入下一环节。</w:t>
            </w:r>
          </w:p>
          <w:p>
            <w:pPr>
              <w:pStyle w:val="20"/>
              <w:widowControl w:val="0"/>
              <w:rPr>
                <w:color w:val="auto"/>
              </w:rPr>
            </w:pPr>
          </w:p>
          <w:p>
            <w:pPr>
              <w:pStyle w:val="20"/>
              <w:widowControl w:val="0"/>
              <w:rPr>
                <w:color w:val="auto"/>
              </w:rPr>
            </w:pPr>
          </w:p>
        </w:tc>
      </w:tr>
    </w:tbl>
    <w:p>
      <w:pPr>
        <w:spacing w:line="360" w:lineRule="auto"/>
        <w:rPr>
          <w:rFonts w:ascii="Times New Roman" w:hAnsi="Times New Roman" w:eastAsia="宋体" w:cs="Times New Roman"/>
          <w:color w:val="0000FF"/>
          <w:sz w:val="21"/>
          <w:szCs w:val="21"/>
        </w:rPr>
      </w:pPr>
    </w:p>
    <w:p>
      <w:pPr>
        <w:spacing w:line="360" w:lineRule="auto"/>
        <w:rPr>
          <w:rFonts w:ascii="Times New Roman" w:hAnsi="Times New Roman" w:eastAsia="宋体" w:cs="Times New Roman"/>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表六</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auto"/>
                <w:sz w:val="24"/>
                <w:szCs w:val="24"/>
              </w:rPr>
            </w:pPr>
            <w:bookmarkStart w:id="3" w:name="_Toc24246"/>
            <w:bookmarkStart w:id="4" w:name="_Toc4084"/>
            <w:r>
              <w:rPr>
                <w:rFonts w:ascii="Times New Roman" w:hAnsi="Times New Roman" w:eastAsia="宋体" w:cs="Times New Roman"/>
                <w:bCs/>
                <w:color w:val="auto"/>
                <w:sz w:val="24"/>
                <w:szCs w:val="24"/>
              </w:rPr>
              <w:t>1、环境保护设施调试效果</w:t>
            </w:r>
            <w:bookmarkEnd w:id="3"/>
            <w:bookmarkEnd w:id="4"/>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通过对各类污染物达标排放排放及各类污染治理设施去除效率的监测，来说明环境保护设施调试效果，具体监测内容如下：</w:t>
            </w:r>
          </w:p>
          <w:p>
            <w:pPr>
              <w:widowControl w:val="0"/>
              <w:numPr>
                <w:ilvl w:val="0"/>
                <w:numId w:val="3"/>
              </w:numPr>
              <w:adjustRightInd/>
              <w:snapToGri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废水</w:t>
            </w:r>
          </w:p>
          <w:p>
            <w:pPr>
              <w:widowControl/>
              <w:spacing w:line="360" w:lineRule="auto"/>
              <w:ind w:firstLine="480" w:firstLineChars="200"/>
              <w:jc w:val="both"/>
              <w:rPr>
                <w:rFonts w:hint="default" w:ascii="Times New Roman" w:hAnsi="Times New Roman" w:eastAsia="宋体" w:cs="Times New Roman"/>
                <w:bCs/>
                <w:color w:val="auto"/>
                <w:sz w:val="24"/>
                <w:szCs w:val="24"/>
                <w:lang w:val="en-US"/>
              </w:rPr>
            </w:pPr>
            <w:r>
              <w:rPr>
                <w:rFonts w:hint="eastAsia" w:ascii="Times New Roman" w:hAnsi="Times New Roman" w:eastAsia="宋体" w:cs="Times New Roman"/>
                <w:color w:val="auto"/>
                <w:sz w:val="24"/>
              </w:rPr>
              <w:t>本项目产生的废水主要有生活废水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生产过程中没有废水产生</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本项目生活用水量为1.67t/d，生活污水产生量为1.34t/d，</w:t>
            </w:r>
            <w:r>
              <w:rPr>
                <w:rFonts w:hint="eastAsia" w:ascii="Times New Roman" w:hAnsi="Times New Roman" w:eastAsia="宋体" w:cs="Times New Roman"/>
                <w:color w:val="auto"/>
                <w:sz w:val="24"/>
              </w:rPr>
              <w:t>生活污水经三级化粪池处理后</w:t>
            </w:r>
            <w:r>
              <w:rPr>
                <w:rFonts w:hint="eastAsia" w:ascii="Times New Roman" w:hAnsi="Times New Roman" w:eastAsia="宋体" w:cs="Times New Roman"/>
                <w:color w:val="auto"/>
                <w:sz w:val="24"/>
                <w:lang w:val="en-US" w:eastAsia="zh-CN"/>
              </w:rPr>
              <w:t>通过市政污水管网排入长泰西区污水处理厂处理。</w:t>
            </w:r>
            <w:r>
              <w:rPr>
                <w:rFonts w:hint="eastAsia" w:ascii="Times New Roman" w:hAnsi="Times New Roman" w:eastAsia="宋体" w:cs="Times New Roman"/>
                <w:bCs/>
                <w:color w:val="auto"/>
                <w:sz w:val="24"/>
                <w:szCs w:val="24"/>
                <w:lang w:val="en-US" w:eastAsia="zh-CN"/>
              </w:rPr>
              <w:t>鉴于生活污水排放量较少，</w:t>
            </w:r>
            <w:r>
              <w:rPr>
                <w:rFonts w:hint="eastAsia" w:ascii="Times New Roman" w:hAnsi="Times New Roman" w:eastAsia="宋体" w:cs="Times New Roman"/>
                <w:bCs/>
                <w:color w:val="auto"/>
                <w:sz w:val="24"/>
                <w:szCs w:val="24"/>
                <w:lang w:eastAsia="zh-CN"/>
              </w:rPr>
              <w:t>根据漳州市环境保护局专题会议纪要【2010】1号“关于加快建设项目竣工环保验收有关问题会议纪要”。</w:t>
            </w:r>
            <w:r>
              <w:rPr>
                <w:rFonts w:hint="eastAsia" w:ascii="Times New Roman" w:hAnsi="Times New Roman" w:eastAsia="宋体" w:cs="Times New Roman"/>
                <w:bCs/>
                <w:color w:val="auto"/>
                <w:sz w:val="24"/>
                <w:szCs w:val="24"/>
                <w:lang w:val="en-US" w:eastAsia="zh-CN"/>
              </w:rPr>
              <w:t>污水排放量小于10t/d，且经过三级化粪池处理，视为符合验收要求故本次验收不对生活污水进行检测。</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（2）废气</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本次验收废气监测内容明细表见下表。</w:t>
            </w: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1有组织</w:t>
            </w:r>
            <w:r>
              <w:rPr>
                <w:rFonts w:ascii="Times New Roman" w:hAnsi="Times New Roman" w:eastAsia="宋体" w:cs="Times New Roman"/>
                <w:b/>
                <w:color w:val="auto"/>
                <w:sz w:val="21"/>
                <w:szCs w:val="21"/>
              </w:rPr>
              <w:t>废气监测明内容细</w:t>
            </w:r>
          </w:p>
          <w:tbl>
            <w:tblPr>
              <w:tblStyle w:val="22"/>
              <w:tblW w:w="794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2236"/>
              <w:gridCol w:w="2002"/>
              <w:gridCol w:w="16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236"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2002"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02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sz w:val="21"/>
                      <w:szCs w:val="21"/>
                      <w:lang w:val="en-US" w:eastAsia="zh-CN"/>
                    </w:rPr>
                    <w:t>颗粒物、非甲烷总烃</w:t>
                  </w:r>
                </w:p>
              </w:tc>
              <w:tc>
                <w:tcPr>
                  <w:tcW w:w="2236"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废气处理设施进出口2个点</w:t>
                  </w:r>
                </w:p>
              </w:tc>
              <w:tc>
                <w:tcPr>
                  <w:tcW w:w="2002"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水喷淋+活性炭+UV光解</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3</w:t>
                  </w:r>
                  <w:r>
                    <w:rPr>
                      <w:rFonts w:ascii="Times New Roman" w:hAnsi="Times New Roman" w:eastAsia="宋体" w:cs="Times New Roman"/>
                      <w:bCs/>
                      <w:color w:val="auto"/>
                      <w:sz w:val="21"/>
                      <w:szCs w:val="21"/>
                    </w:rPr>
                    <w:t>次/天，2天</w:t>
                  </w:r>
                </w:p>
              </w:tc>
            </w:tr>
          </w:tbl>
          <w:p>
            <w:pPr>
              <w:pStyle w:val="2"/>
              <w:widowControl w:val="0"/>
              <w:jc w:val="both"/>
              <w:rPr>
                <w:color w:val="auto"/>
              </w:rPr>
            </w:pP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2</w:t>
            </w:r>
            <w:r>
              <w:rPr>
                <w:rFonts w:hint="eastAsia" w:ascii="Times New Roman" w:hAnsi="Times New Roman" w:eastAsia="宋体" w:cs="Times New Roman"/>
                <w:b/>
                <w:color w:val="auto"/>
                <w:sz w:val="21"/>
                <w:szCs w:val="21"/>
              </w:rPr>
              <w:t>无组织</w:t>
            </w:r>
            <w:r>
              <w:rPr>
                <w:rFonts w:ascii="Times New Roman" w:hAnsi="Times New Roman" w:eastAsia="宋体" w:cs="Times New Roman"/>
                <w:b/>
                <w:color w:val="auto"/>
                <w:sz w:val="21"/>
                <w:szCs w:val="21"/>
              </w:rPr>
              <w:t>废气监测明内容细</w:t>
            </w:r>
          </w:p>
          <w:tbl>
            <w:tblPr>
              <w:tblStyle w:val="22"/>
              <w:tblW w:w="7941"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2868"/>
              <w:gridCol w:w="1370"/>
              <w:gridCol w:w="168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2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86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37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02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sz w:val="21"/>
                      <w:szCs w:val="21"/>
                      <w:lang w:val="en-US" w:eastAsia="zh-CN"/>
                    </w:rPr>
                    <w:t>颗粒物、非甲烷总烃</w:t>
                  </w:r>
                </w:p>
              </w:tc>
              <w:tc>
                <w:tcPr>
                  <w:tcW w:w="286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上风向1</w:t>
                  </w:r>
                  <w:r>
                    <w:rPr>
                      <w:rFonts w:hint="eastAsia" w:ascii="Times New Roman" w:hAnsi="Times New Roman" w:eastAsia="宋体" w:cs="Times New Roman"/>
                      <w:bCs/>
                      <w:color w:val="auto"/>
                      <w:sz w:val="21"/>
                      <w:szCs w:val="21"/>
                    </w:rPr>
                    <w:t>个</w:t>
                  </w:r>
                  <w:r>
                    <w:rPr>
                      <w:rFonts w:ascii="Times New Roman" w:hAnsi="Times New Roman" w:eastAsia="宋体" w:cs="Times New Roman"/>
                      <w:bCs/>
                      <w:color w:val="auto"/>
                      <w:sz w:val="21"/>
                      <w:szCs w:val="21"/>
                    </w:rPr>
                    <w:t>点、下风向3</w:t>
                  </w:r>
                  <w:r>
                    <w:rPr>
                      <w:rFonts w:hint="eastAsia" w:ascii="Times New Roman" w:hAnsi="Times New Roman" w:eastAsia="宋体" w:cs="Times New Roman"/>
                      <w:bCs/>
                      <w:color w:val="auto"/>
                      <w:sz w:val="21"/>
                      <w:szCs w:val="21"/>
                    </w:rPr>
                    <w:t>个</w:t>
                  </w:r>
                  <w:r>
                    <w:rPr>
                      <w:rFonts w:ascii="Times New Roman" w:hAnsi="Times New Roman" w:eastAsia="宋体" w:cs="Times New Roman"/>
                      <w:bCs/>
                      <w:color w:val="auto"/>
                      <w:sz w:val="21"/>
                      <w:szCs w:val="21"/>
                    </w:rPr>
                    <w:t>点</w:t>
                  </w:r>
                </w:p>
              </w:tc>
              <w:tc>
                <w:tcPr>
                  <w:tcW w:w="137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w:t>
                  </w:r>
                </w:p>
              </w:tc>
              <w:tc>
                <w:tcPr>
                  <w:tcW w:w="168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3</w:t>
                  </w:r>
                  <w:r>
                    <w:rPr>
                      <w:rFonts w:ascii="Times New Roman" w:hAnsi="Times New Roman" w:eastAsia="宋体" w:cs="Times New Roman"/>
                      <w:bCs/>
                      <w:color w:val="auto"/>
                      <w:sz w:val="21"/>
                      <w:szCs w:val="21"/>
                    </w:rPr>
                    <w:t>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p>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（3）厂界噪声监测</w:t>
            </w:r>
          </w:p>
          <w:p>
            <w:pPr>
              <w:widowControl w:val="0"/>
              <w:adjustRightIn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本次验收厂界噪声监测明细表见下表。</w:t>
            </w:r>
          </w:p>
          <w:p>
            <w:pPr>
              <w:widowControl w:val="0"/>
              <w:adjustRightInd/>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3</w:t>
            </w:r>
            <w:r>
              <w:rPr>
                <w:rFonts w:ascii="Times New Roman" w:hAnsi="Times New Roman" w:eastAsia="宋体" w:cs="Times New Roman"/>
                <w:b/>
                <w:color w:val="auto"/>
                <w:sz w:val="21"/>
                <w:szCs w:val="21"/>
              </w:rPr>
              <w:t xml:space="preserve"> 厂界噪声监测内容明细</w:t>
            </w:r>
          </w:p>
          <w:tbl>
            <w:tblPr>
              <w:tblStyle w:val="22"/>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隔声</w:t>
                  </w:r>
                  <w:r>
                    <w:rPr>
                      <w:rFonts w:hint="eastAsia" w:ascii="Times New Roman" w:hAnsi="Times New Roman" w:eastAsia="宋体" w:cs="Times New Roman"/>
                      <w:bCs/>
                      <w:color w:val="auto"/>
                      <w:sz w:val="21"/>
                      <w:szCs w:val="21"/>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昼</w:t>
                  </w:r>
                  <w:r>
                    <w:rPr>
                      <w:rFonts w:hint="eastAsia" w:ascii="Times New Roman" w:hAnsi="Times New Roman" w:eastAsia="宋体" w:cs="Times New Roman"/>
                      <w:bCs/>
                      <w:color w:val="auto"/>
                      <w:sz w:val="21"/>
                      <w:szCs w:val="21"/>
                    </w:rPr>
                    <w:t>间</w:t>
                  </w:r>
                  <w:r>
                    <w:rPr>
                      <w:rFonts w:ascii="Times New Roman" w:hAnsi="Times New Roman" w:eastAsia="宋体" w:cs="Times New Roman"/>
                      <w:bCs/>
                      <w:color w:val="auto"/>
                      <w:sz w:val="21"/>
                      <w:szCs w:val="21"/>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bl>
          <w:p>
            <w:pPr>
              <w:widowControl w:val="0"/>
              <w:spacing w:line="360" w:lineRule="auto"/>
              <w:jc w:val="both"/>
              <w:rPr>
                <w:rFonts w:ascii="Times New Roman" w:hAnsi="Times New Roman" w:eastAsia="宋体" w:cs="Times New Roman"/>
                <w:color w:val="auto"/>
                <w:sz w:val="21"/>
                <w:szCs w:val="21"/>
              </w:rPr>
            </w:pPr>
          </w:p>
          <w:p>
            <w:pPr>
              <w:widowControl w:val="0"/>
              <w:spacing w:line="360" w:lineRule="auto"/>
              <w:ind w:firstLine="480" w:firstLineChars="200"/>
              <w:jc w:val="both"/>
              <w:rPr>
                <w:rFonts w:hint="eastAsia" w:ascii="Times New Roman" w:hAnsi="Times New Roman" w:eastAsia="宋体" w:cs="Times New Roman"/>
                <w:color w:val="auto"/>
                <w:sz w:val="24"/>
                <w:szCs w:val="24"/>
              </w:rPr>
            </w:pPr>
          </w:p>
          <w:p>
            <w:pPr>
              <w:widowControl w:val="0"/>
              <w:spacing w:line="360" w:lineRule="auto"/>
              <w:ind w:firstLine="480" w:firstLineChars="200"/>
              <w:jc w:val="both"/>
              <w:rPr>
                <w:rFonts w:hint="eastAsia" w:ascii="Times New Roman" w:hAnsi="Times New Roman" w:eastAsia="宋体" w:cs="Times New Roman"/>
                <w:color w:val="auto"/>
                <w:sz w:val="24"/>
                <w:szCs w:val="24"/>
              </w:rPr>
            </w:pPr>
          </w:p>
          <w:p>
            <w:pPr>
              <w:widowControl w:val="0"/>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具体监测点位见下图6-1：</w:t>
            </w:r>
          </w:p>
          <w:p>
            <w:pPr>
              <w:pStyle w:val="20"/>
              <w:widowControl w:val="0"/>
              <w:ind w:left="0" w:leftChars="0" w:firstLine="0" w:firstLineChars="0"/>
              <w:jc w:val="both"/>
              <w:rPr>
                <w:color w:val="0000FF"/>
              </w:rPr>
            </w:pPr>
            <w:r>
              <w:drawing>
                <wp:inline distT="0" distB="0" distL="114300" distR="114300">
                  <wp:extent cx="5162550" cy="63150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rcRect b="301"/>
                          <a:stretch>
                            <a:fillRect/>
                          </a:stretch>
                        </pic:blipFill>
                        <pic:spPr>
                          <a:xfrm>
                            <a:off x="0" y="0"/>
                            <a:ext cx="5162550" cy="6315075"/>
                          </a:xfrm>
                          <a:prstGeom prst="rect">
                            <a:avLst/>
                          </a:prstGeom>
                          <a:noFill/>
                          <a:ln>
                            <a:noFill/>
                          </a:ln>
                        </pic:spPr>
                      </pic:pic>
                    </a:graphicData>
                  </a:graphic>
                </wp:inline>
              </w:drawing>
            </w:r>
          </w:p>
          <w:p>
            <w:pPr>
              <w:pStyle w:val="20"/>
              <w:widowControl w:val="0"/>
              <w:rPr>
                <w:color w:val="0000FF"/>
              </w:rPr>
            </w:pPr>
            <w:r>
              <w:rPr>
                <w:rFonts w:hint="eastAsia" w:ascii="Times New Roman" w:hAnsi="Times New Roman" w:eastAsia="宋体" w:cs="Times New Roman"/>
                <w:b/>
                <w:bCs/>
                <w:color w:val="auto"/>
                <w:sz w:val="21"/>
                <w:szCs w:val="21"/>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表七</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5"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bookmarkStart w:id="5" w:name="_Toc23720"/>
            <w:bookmarkStart w:id="6" w:name="_Toc8105"/>
            <w:r>
              <w:rPr>
                <w:rFonts w:ascii="Times New Roman" w:hAnsi="Times New Roman" w:eastAsia="宋体" w:cs="Times New Roman"/>
                <w:color w:val="auto"/>
                <w:sz w:val="24"/>
                <w:szCs w:val="24"/>
              </w:rPr>
              <w:t>1、生产工况</w:t>
            </w:r>
            <w:bookmarkEnd w:id="5"/>
            <w:bookmarkEnd w:id="6"/>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厦门科仪检测技术</w:t>
            </w:r>
            <w:r>
              <w:rPr>
                <w:rFonts w:hint="eastAsia" w:ascii="Times New Roman" w:hAnsi="Times New Roman" w:eastAsia="宋体" w:cs="Times New Roman"/>
                <w:color w:val="auto"/>
                <w:sz w:val="24"/>
                <w:szCs w:val="24"/>
              </w:rPr>
              <w:t>有限公司于2020年</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月5日—</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月6日到</w:t>
            </w:r>
            <w:r>
              <w:rPr>
                <w:rFonts w:hint="eastAsia" w:ascii="Times New Roman" w:hAnsi="Times New Roman" w:eastAsia="宋体" w:cs="Times New Roman"/>
                <w:color w:val="auto"/>
                <w:sz w:val="24"/>
                <w:szCs w:val="24"/>
                <w:lang w:val="en-US" w:eastAsia="zh-CN"/>
              </w:rPr>
              <w:t>长泰中原保温材料有限公司</w:t>
            </w:r>
            <w:r>
              <w:rPr>
                <w:rFonts w:hint="eastAsia" w:ascii="Times New Roman" w:hAnsi="Times New Roman" w:eastAsia="宋体" w:cs="Times New Roman"/>
                <w:color w:val="auto"/>
                <w:sz w:val="24"/>
                <w:szCs w:val="24"/>
              </w:rPr>
              <w:t>进行现场监测，项目环评设计</w:t>
            </w:r>
            <w:r>
              <w:rPr>
                <w:rFonts w:hint="eastAsia" w:ascii="Times New Roman" w:hAnsi="Times New Roman" w:eastAsia="宋体" w:cs="Times New Roman"/>
                <w:color w:val="auto"/>
                <w:sz w:val="24"/>
                <w:szCs w:val="24"/>
                <w:lang w:val="en-US" w:eastAsia="zh-CN"/>
              </w:rPr>
              <w:t>年产岩棉制品10000立方米和复合硅酸盐保温制品3000立方米</w:t>
            </w:r>
            <w:r>
              <w:rPr>
                <w:rFonts w:hint="eastAsia" w:ascii="Times New Roman" w:hAnsi="Times New Roman" w:eastAsia="宋体" w:cs="Times New Roman"/>
                <w:color w:val="auto"/>
                <w:sz w:val="24"/>
                <w:szCs w:val="24"/>
              </w:rPr>
              <w:t>，目前项目实际生产能力为</w:t>
            </w:r>
            <w:r>
              <w:rPr>
                <w:rFonts w:hint="eastAsia" w:ascii="Times New Roman" w:hAnsi="Times New Roman" w:eastAsia="宋体" w:cs="Times New Roman"/>
                <w:color w:val="auto"/>
                <w:sz w:val="24"/>
                <w:szCs w:val="24"/>
                <w:lang w:val="en-US" w:eastAsia="zh-CN"/>
              </w:rPr>
              <w:t>年产岩棉制品10000立方米和复合硅酸盐保温制品3000立方米</w:t>
            </w:r>
            <w:r>
              <w:rPr>
                <w:rFonts w:hint="eastAsia" w:ascii="Times New Roman" w:hAnsi="Times New Roman" w:eastAsia="宋体" w:cs="Times New Roman"/>
                <w:color w:val="auto"/>
                <w:sz w:val="24"/>
                <w:szCs w:val="24"/>
              </w:rPr>
              <w:t>。在验收期间，</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月5日生产</w:t>
            </w:r>
            <w:r>
              <w:rPr>
                <w:rFonts w:hint="eastAsia" w:ascii="Times New Roman" w:hAnsi="Times New Roman" w:eastAsia="宋体" w:cs="Times New Roman"/>
                <w:color w:val="auto"/>
                <w:sz w:val="24"/>
                <w:szCs w:val="24"/>
                <w:lang w:val="en-US" w:eastAsia="zh-CN"/>
              </w:rPr>
              <w:t>岩棉制品31立方米和复合硅酸盐保温制品9立方米</w:t>
            </w:r>
            <w:r>
              <w:rPr>
                <w:rFonts w:hint="eastAsia" w:ascii="Times New Roman" w:hAnsi="Times New Roman" w:eastAsia="宋体" w:cs="Times New Roman"/>
                <w:color w:val="auto"/>
                <w:sz w:val="24"/>
                <w:szCs w:val="24"/>
              </w:rPr>
              <w:t>，生产负荷率为92%；</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rPr>
              <w:t>月6号</w:t>
            </w:r>
            <w:r>
              <w:rPr>
                <w:rFonts w:hint="eastAsia" w:ascii="Times New Roman" w:hAnsi="Times New Roman" w:eastAsia="宋体" w:cs="Times New Roman"/>
                <w:color w:val="auto"/>
                <w:sz w:val="24"/>
                <w:szCs w:val="24"/>
                <w:lang w:val="en-US" w:eastAsia="zh-CN"/>
              </w:rPr>
              <w:t>生产岩棉制品32立方米和复合硅酸盐保温制品10立方米</w:t>
            </w:r>
            <w:r>
              <w:rPr>
                <w:rFonts w:hint="eastAsia" w:ascii="Times New Roman" w:hAnsi="Times New Roman" w:eastAsia="宋体" w:cs="Times New Roman"/>
                <w:color w:val="auto"/>
                <w:sz w:val="24"/>
                <w:szCs w:val="24"/>
              </w:rPr>
              <w:t>，生产负荷率为95%。采样期间的现场工况见下表。</w:t>
            </w:r>
          </w:p>
          <w:p>
            <w:pPr>
              <w:widowControl w:val="0"/>
              <w:adjustRightIn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表7-1 生产负荷表</w:t>
            </w:r>
          </w:p>
          <w:tbl>
            <w:tblPr>
              <w:tblStyle w:val="22"/>
              <w:tblW w:w="4994"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102"/>
              <w:gridCol w:w="2036"/>
              <w:gridCol w:w="1783"/>
              <w:gridCol w:w="105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日期</w:t>
                  </w:r>
                </w:p>
              </w:tc>
              <w:tc>
                <w:tcPr>
                  <w:tcW w:w="1269"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环评设计产能</w:t>
                  </w:r>
                </w:p>
              </w:tc>
              <w:tc>
                <w:tcPr>
                  <w:tcW w:w="1229"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实际产能</w:t>
                  </w:r>
                </w:p>
              </w:tc>
              <w:tc>
                <w:tcPr>
                  <w:tcW w:w="1076"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采样当天产能</w:t>
                  </w:r>
                </w:p>
              </w:tc>
              <w:tc>
                <w:tcPr>
                  <w:tcW w:w="634"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月5日</w:t>
                  </w:r>
                </w:p>
              </w:tc>
              <w:tc>
                <w:tcPr>
                  <w:tcW w:w="1269"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年产岩棉制品10000立方米和复合硅酸盐保温制品3000立方米</w:t>
                  </w:r>
                </w:p>
              </w:tc>
              <w:tc>
                <w:tcPr>
                  <w:tcW w:w="1229"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年产岩棉制品10000立方米和复合硅酸盐保温制品3000立方米</w:t>
                  </w:r>
                </w:p>
              </w:tc>
              <w:tc>
                <w:tcPr>
                  <w:tcW w:w="1076"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生产岩棉制品31立方米和复合硅酸盐保温制品9立方米</w:t>
                  </w:r>
                </w:p>
              </w:tc>
              <w:tc>
                <w:tcPr>
                  <w:tcW w:w="634"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9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月6日</w:t>
                  </w:r>
                </w:p>
              </w:tc>
              <w:tc>
                <w:tcPr>
                  <w:tcW w:w="1269"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229"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076" w:type="pc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生产岩棉制品32立方米和复合硅酸盐保温制品10立方米</w:t>
                  </w:r>
                </w:p>
              </w:tc>
              <w:tc>
                <w:tcPr>
                  <w:tcW w:w="634"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0000FF"/>
                      <w:sz w:val="21"/>
                      <w:szCs w:val="21"/>
                    </w:rPr>
                  </w:pPr>
                </w:p>
              </w:tc>
            </w:tr>
          </w:tbl>
          <w:p>
            <w:pPr>
              <w:widowControl/>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验收监测结果：</w:t>
            </w:r>
          </w:p>
          <w:p>
            <w:pPr>
              <w:pStyle w:val="28"/>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ascii="Times New Roman" w:hAnsi="Times New Roman" w:eastAsia="宋体" w:cs="Times New Roman"/>
                <w:color w:val="auto"/>
                <w:sz w:val="24"/>
                <w:szCs w:val="24"/>
              </w:rPr>
            </w:pPr>
            <w:r>
              <w:rPr>
                <w:rFonts w:ascii="Times New Roman" w:hAnsi="Times New Roman" w:eastAsia="宋体" w:cs="Times New Roman"/>
                <w:b w:val="0"/>
                <w:bCs w:val="0"/>
                <w:color w:val="auto"/>
                <w:sz w:val="24"/>
                <w:szCs w:val="24"/>
              </w:rPr>
              <w:t>（1）</w:t>
            </w:r>
            <w:r>
              <w:rPr>
                <w:rFonts w:ascii="Times New Roman" w:hAnsi="Times New Roman" w:eastAsia="宋体" w:cs="Times New Roman"/>
                <w:color w:val="auto"/>
                <w:sz w:val="24"/>
                <w:szCs w:val="24"/>
              </w:rPr>
              <w:t>废气</w:t>
            </w:r>
          </w:p>
          <w:p>
            <w:pPr>
              <w:pStyle w:val="28"/>
              <w:spacing w:line="240" w:lineRule="auto"/>
              <w:ind w:firstLine="480" w:firstLineChars="200"/>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有组织废气监测结果见下表。</w:t>
            </w:r>
          </w:p>
          <w:p>
            <w:pPr>
              <w:pStyle w:val="28"/>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2</w:t>
            </w:r>
            <w:r>
              <w:rPr>
                <w:rFonts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有</w:t>
            </w:r>
            <w:r>
              <w:rPr>
                <w:rFonts w:ascii="Times New Roman" w:hAnsi="Times New Roman" w:cs="Times New Roman"/>
                <w:b/>
                <w:bCs/>
                <w:color w:val="auto"/>
                <w:sz w:val="21"/>
                <w:szCs w:val="21"/>
              </w:rPr>
              <w:t>组织废气监测结果</w:t>
            </w:r>
          </w:p>
          <w:tbl>
            <w:tblPr>
              <w:tblStyle w:val="22"/>
              <w:tblW w:w="830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853"/>
              <w:gridCol w:w="893"/>
              <w:gridCol w:w="871"/>
              <w:gridCol w:w="1820"/>
              <w:gridCol w:w="1222"/>
              <w:gridCol w:w="1192"/>
              <w:gridCol w:w="83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9" w:type="dxa"/>
                  <w:vMerge w:val="restart"/>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853" w:type="dxa"/>
                  <w:vMerge w:val="restart"/>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设施</w:t>
                  </w:r>
                </w:p>
                <w:p>
                  <w:pPr>
                    <w:pStyle w:val="28"/>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584" w:type="dxa"/>
                  <w:gridSpan w:val="3"/>
                  <w:vMerge w:val="restart"/>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3300082688" behindDoc="0" locked="0" layoutInCell="1" allowOverlap="1">
                            <wp:simplePos x="0" y="0"/>
                            <wp:positionH relativeFrom="column">
                              <wp:posOffset>-68580</wp:posOffset>
                            </wp:positionH>
                            <wp:positionV relativeFrom="paragraph">
                              <wp:posOffset>20955</wp:posOffset>
                            </wp:positionV>
                            <wp:extent cx="2266950" cy="338455"/>
                            <wp:effectExtent l="635" t="4445" r="18415" b="19050"/>
                            <wp:wrapNone/>
                            <wp:docPr id="67" name="直接连接符 67"/>
                            <wp:cNvGraphicFramePr/>
                            <a:graphic xmlns:a="http://schemas.openxmlformats.org/drawingml/2006/main">
                              <a:graphicData uri="http://schemas.microsoft.com/office/word/2010/wordprocessingShape">
                                <wps:wsp>
                                  <wps:cNvCnPr/>
                                  <wps:spPr>
                                    <a:xfrm>
                                      <a:off x="2165985" y="6535420"/>
                                      <a:ext cx="2266950" cy="338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6.65pt;width:178.5pt;z-index:-994884608;mso-width-relative:page;mso-height-relative:page;" filled="f" stroked="t" coordsize="21600,21600" o:gfxdata="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vACn7XAAAACAEAAA8AAAAAAAAA&#10;AQAgAAAAIgAAAGRycy9kb3ducmV2LnhtbFBLAQIUABQAAAAIAIdO4kB/rWYq2QEAAHYDAAAOAAAA&#10;AAAAAAEAIAAAACYBAABkcnMvZTJvRG9jLnhtbFBLBQYAAAAABgAGAFkBAABxBQ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 xml:space="preserve">                 监测内容</w:t>
                  </w:r>
                </w:p>
                <w:p>
                  <w:pPr>
                    <w:pStyle w:val="28"/>
                    <w:ind w:firstLine="422" w:firstLineChars="200"/>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2414" w:type="dxa"/>
                  <w:gridSpan w:val="2"/>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p>
              </w:tc>
              <w:tc>
                <w:tcPr>
                  <w:tcW w:w="836" w:type="dxa"/>
                  <w:vMerge w:val="restart"/>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w:t>
                  </w:r>
                </w:p>
                <w:p>
                  <w:pPr>
                    <w:pStyle w:val="28"/>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9" w:type="dxa"/>
                  <w:vMerge w:val="continue"/>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p>
              </w:tc>
              <w:tc>
                <w:tcPr>
                  <w:tcW w:w="853" w:type="dxa"/>
                  <w:vMerge w:val="continue"/>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p>
              </w:tc>
              <w:tc>
                <w:tcPr>
                  <w:tcW w:w="3584" w:type="dxa"/>
                  <w:gridSpan w:val="3"/>
                  <w:vMerge w:val="continue"/>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p>
              </w:tc>
              <w:tc>
                <w:tcPr>
                  <w:tcW w:w="1222" w:type="dxa"/>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2020.8.5</w:t>
                  </w:r>
                </w:p>
              </w:tc>
              <w:tc>
                <w:tcPr>
                  <w:tcW w:w="1192" w:type="dxa"/>
                  <w:tcBorders>
                    <w:tl2br w:val="nil"/>
                    <w:tr2bl w:val="nil"/>
                  </w:tcBorders>
                  <w:vAlign w:val="center"/>
                </w:tcPr>
                <w:p>
                  <w:pPr>
                    <w:pStyle w:val="28"/>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2020.8.6</w:t>
                  </w:r>
                </w:p>
              </w:tc>
              <w:tc>
                <w:tcPr>
                  <w:tcW w:w="836"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restart"/>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w:t>
                  </w:r>
                </w:p>
              </w:tc>
              <w:tc>
                <w:tcPr>
                  <w:tcW w:w="853" w:type="dxa"/>
                  <w:vMerge w:val="restart"/>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b w:val="0"/>
                      <w:bCs w:val="0"/>
                      <w:i w:val="0"/>
                      <w:iCs w:val="0"/>
                      <w:color w:val="auto"/>
                      <w:sz w:val="21"/>
                      <w:szCs w:val="21"/>
                      <w:vertAlign w:val="baseline"/>
                      <w:lang w:val="en-US" w:eastAsia="zh-CN" w:bidi="ar-SA"/>
                    </w:rPr>
                    <w:t>水喷淋+活性炭+UV光解</w:t>
                  </w:r>
                </w:p>
              </w:tc>
              <w:tc>
                <w:tcPr>
                  <w:tcW w:w="893" w:type="dxa"/>
                  <w:vMerge w:val="restart"/>
                  <w:tcBorders>
                    <w:tl2br w:val="nil"/>
                    <w:tr2bl w:val="nil"/>
                  </w:tcBorders>
                  <w:vAlign w:val="center"/>
                </w:tcPr>
                <w:p>
                  <w:pPr>
                    <w:pStyle w:val="28"/>
                    <w:jc w:val="center"/>
                    <w:rPr>
                      <w:rFonts w:hint="default" w:ascii="Times New Roman" w:hAnsi="Times New Roman" w:eastAsia="宋体" w:cs="Times New Roman"/>
                      <w:b w:val="0"/>
                      <w:bCs w:val="0"/>
                      <w:i w:val="0"/>
                      <w:iCs w:val="0"/>
                      <w:color w:val="auto"/>
                      <w:sz w:val="21"/>
                      <w:szCs w:val="21"/>
                      <w:vertAlign w:val="baseline"/>
                      <w:lang w:val="en-US" w:eastAsia="zh-CN" w:bidi="ar-SA"/>
                    </w:rPr>
                  </w:pPr>
                  <w:r>
                    <w:rPr>
                      <w:rFonts w:hint="eastAsia" w:ascii="Times New Roman" w:hAnsi="Times New Roman" w:eastAsia="宋体" w:cs="Times New Roman"/>
                      <w:b w:val="0"/>
                      <w:bCs w:val="0"/>
                      <w:i w:val="0"/>
                      <w:iCs w:val="0"/>
                      <w:color w:val="auto"/>
                      <w:sz w:val="21"/>
                      <w:szCs w:val="21"/>
                      <w:vertAlign w:val="baseline"/>
                      <w:lang w:val="en-US" w:eastAsia="zh-CN" w:bidi="ar-SA"/>
                    </w:rPr>
                    <w:t>烘干房废气进口◎P1</w:t>
                  </w:r>
                </w:p>
              </w:tc>
              <w:tc>
                <w:tcPr>
                  <w:tcW w:w="2691" w:type="dxa"/>
                  <w:gridSpan w:val="2"/>
                  <w:tcBorders>
                    <w:tl2br w:val="nil"/>
                    <w:tr2bl w:val="nil"/>
                  </w:tcBorders>
                  <w:vAlign w:val="center"/>
                </w:tcPr>
                <w:p>
                  <w:pPr>
                    <w:pStyle w:val="28"/>
                    <w:jc w:val="center"/>
                    <w:rPr>
                      <w:rFonts w:hint="default" w:ascii="Times New Roman" w:hAnsi="Times New Roman" w:eastAsia="宋体" w:cs="Times New Roman"/>
                      <w:b w:val="0"/>
                      <w:bCs w:val="0"/>
                      <w:i w:val="0"/>
                      <w:iCs w:val="0"/>
                      <w:color w:val="auto"/>
                      <w:sz w:val="21"/>
                      <w:szCs w:val="21"/>
                      <w:vertAlign w:val="baseline"/>
                      <w:lang w:val="en-US" w:eastAsia="zh-CN"/>
                    </w:rPr>
                  </w:pPr>
                  <w:r>
                    <w:rPr>
                      <w:rFonts w:hint="default" w:ascii="Times New Roman" w:hAnsi="Times New Roman" w:eastAsia="宋体" w:cs="Times New Roman"/>
                      <w:b w:val="0"/>
                      <w:bCs w:val="0"/>
                      <w:i w:val="0"/>
                      <w:iCs w:val="0"/>
                      <w:color w:val="auto"/>
                      <w:sz w:val="21"/>
                      <w:szCs w:val="21"/>
                      <w:vertAlign w:val="baseline"/>
                      <w:lang w:val="en-US" w:eastAsia="zh-CN"/>
                    </w:rPr>
                    <w:t>标杆流量</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b w:val="0"/>
                      <w:bCs w:val="0"/>
                      <w:color w:val="auto"/>
                      <w:szCs w:val="21"/>
                    </w:rPr>
                    <w:t>/h</w:t>
                  </w:r>
                </w:p>
              </w:tc>
              <w:tc>
                <w:tcPr>
                  <w:tcW w:w="12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2410 </w:t>
                  </w:r>
                </w:p>
              </w:tc>
              <w:tc>
                <w:tcPr>
                  <w:tcW w:w="11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2525 </w:t>
                  </w:r>
                </w:p>
              </w:tc>
              <w:tc>
                <w:tcPr>
                  <w:tcW w:w="836"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9"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c>
                <w:tcPr>
                  <w:tcW w:w="853"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c>
                <w:tcPr>
                  <w:tcW w:w="893" w:type="dxa"/>
                  <w:vMerge w:val="continue"/>
                  <w:tcBorders>
                    <w:tl2br w:val="nil"/>
                    <w:tr2bl w:val="nil"/>
                  </w:tcBorders>
                  <w:vAlign w:val="center"/>
                </w:tcPr>
                <w:p>
                  <w:pPr>
                    <w:pStyle w:val="28"/>
                    <w:jc w:val="center"/>
                    <w:rPr>
                      <w:rFonts w:hint="default" w:ascii="Times New Roman" w:hAnsi="Times New Roman" w:eastAsia="宋体" w:cs="Times New Roman"/>
                      <w:b w:val="0"/>
                      <w:bCs w:val="0"/>
                      <w:i w:val="0"/>
                      <w:iCs w:val="0"/>
                      <w:color w:val="auto"/>
                      <w:sz w:val="21"/>
                      <w:szCs w:val="21"/>
                      <w:vertAlign w:val="baseline"/>
                      <w:lang w:val="en-US" w:eastAsia="zh-CN" w:bidi="ar-SA"/>
                    </w:rPr>
                  </w:pPr>
                </w:p>
              </w:tc>
              <w:tc>
                <w:tcPr>
                  <w:tcW w:w="87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r>
                    <w:rPr>
                      <w:rFonts w:hint="eastAsia" w:ascii="Times New Roman" w:hAnsi="Times New Roman" w:eastAsia="宋体" w:cs="Times New Roman"/>
                      <w:b w:val="0"/>
                      <w:bCs w:val="0"/>
                      <w:i w:val="0"/>
                      <w:iCs w:val="0"/>
                      <w:color w:val="auto"/>
                      <w:sz w:val="21"/>
                      <w:szCs w:val="21"/>
                      <w:vertAlign w:val="baseline"/>
                      <w:lang w:val="en-US" w:eastAsia="zh-CN"/>
                    </w:rPr>
                    <w:t>非甲烷总烃</w:t>
                  </w:r>
                </w:p>
              </w:tc>
              <w:tc>
                <w:tcPr>
                  <w:tcW w:w="1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浓度(mg/m³)</w:t>
                  </w:r>
                </w:p>
              </w:tc>
              <w:tc>
                <w:tcPr>
                  <w:tcW w:w="12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25.7 </w:t>
                  </w:r>
                </w:p>
              </w:tc>
              <w:tc>
                <w:tcPr>
                  <w:tcW w:w="11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27.2 </w:t>
                  </w:r>
                </w:p>
              </w:tc>
              <w:tc>
                <w:tcPr>
                  <w:tcW w:w="8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FF0000"/>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c>
                <w:tcPr>
                  <w:tcW w:w="853"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c>
                <w:tcPr>
                  <w:tcW w:w="893" w:type="dxa"/>
                  <w:vMerge w:val="continue"/>
                  <w:tcBorders>
                    <w:tl2br w:val="nil"/>
                    <w:tr2bl w:val="nil"/>
                  </w:tcBorders>
                  <w:vAlign w:val="center"/>
                </w:tcPr>
                <w:p>
                  <w:pPr>
                    <w:pStyle w:val="28"/>
                    <w:jc w:val="center"/>
                    <w:rPr>
                      <w:rFonts w:hint="default" w:ascii="Times New Roman" w:hAnsi="Times New Roman" w:eastAsia="宋体" w:cs="Times New Roman"/>
                      <w:b w:val="0"/>
                      <w:bCs w:val="0"/>
                      <w:i w:val="0"/>
                      <w:iCs w:val="0"/>
                      <w:color w:val="auto"/>
                      <w:sz w:val="21"/>
                      <w:szCs w:val="21"/>
                      <w:vertAlign w:val="baseline"/>
                      <w:lang w:val="en-US" w:eastAsia="zh-CN" w:bidi="ar-SA"/>
                    </w:rPr>
                  </w:pPr>
                </w:p>
              </w:tc>
              <w:tc>
                <w:tcPr>
                  <w:tcW w:w="87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sz w:val="21"/>
                      <w:szCs w:val="21"/>
                      <w:vertAlign w:val="baseline"/>
                      <w:lang w:val="en-US" w:eastAsia="zh-CN"/>
                    </w:rPr>
                  </w:pPr>
                </w:p>
              </w:tc>
              <w:tc>
                <w:tcPr>
                  <w:tcW w:w="1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排放速率（kg/h）</w:t>
                  </w:r>
                </w:p>
              </w:tc>
              <w:tc>
                <w:tcPr>
                  <w:tcW w:w="12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6.18×10</w:t>
                  </w:r>
                  <w:r>
                    <w:rPr>
                      <w:rFonts w:hint="default" w:ascii="Times New Roman" w:hAnsi="Times New Roman" w:eastAsia="宋体" w:cs="Times New Roman"/>
                      <w:i w:val="0"/>
                      <w:color w:val="auto"/>
                      <w:kern w:val="0"/>
                      <w:sz w:val="21"/>
                      <w:szCs w:val="21"/>
                      <w:u w:val="none"/>
                      <w:vertAlign w:val="superscript"/>
                      <w:lang w:val="en-US" w:eastAsia="zh-CN" w:bidi="ar"/>
                    </w:rPr>
                    <w:t>-2</w:t>
                  </w:r>
                </w:p>
              </w:tc>
              <w:tc>
                <w:tcPr>
                  <w:tcW w:w="11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6.87×10</w:t>
                  </w:r>
                  <w:r>
                    <w:rPr>
                      <w:rFonts w:hint="default" w:ascii="Times New Roman" w:hAnsi="Times New Roman" w:eastAsia="宋体" w:cs="Times New Roman"/>
                      <w:i w:val="0"/>
                      <w:color w:val="auto"/>
                      <w:kern w:val="0"/>
                      <w:sz w:val="21"/>
                      <w:szCs w:val="21"/>
                      <w:u w:val="none"/>
                      <w:vertAlign w:val="superscript"/>
                      <w:lang w:val="en-US" w:eastAsia="zh-CN" w:bidi="ar"/>
                    </w:rPr>
                    <w:t>-2</w:t>
                  </w:r>
                </w:p>
              </w:tc>
              <w:tc>
                <w:tcPr>
                  <w:tcW w:w="836"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FF0000"/>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c>
                <w:tcPr>
                  <w:tcW w:w="853" w:type="dxa"/>
                  <w:vMerge w:val="continue"/>
                  <w:tcBorders>
                    <w:tl2br w:val="nil"/>
                    <w:tr2bl w:val="nil"/>
                  </w:tcBorders>
                  <w:vAlign w:val="center"/>
                </w:tcPr>
                <w:p>
                  <w:pPr>
                    <w:pStyle w:val="28"/>
                    <w:jc w:val="center"/>
                    <w:rPr>
                      <w:rFonts w:hint="default" w:ascii="Times New Roman" w:hAnsi="Times New Roman" w:eastAsia="宋体" w:cs="Times New Roman"/>
                      <w:color w:val="auto"/>
                      <w:sz w:val="21"/>
                      <w:szCs w:val="21"/>
                      <w:vertAlign w:val="baseline"/>
                      <w:lang w:val="en-US" w:eastAsia="zh-CN"/>
                    </w:rPr>
                  </w:pPr>
                </w:p>
              </w:tc>
              <w:tc>
                <w:tcPr>
                  <w:tcW w:w="893" w:type="dxa"/>
                  <w:vMerge w:val="restart"/>
                  <w:tcBorders>
                    <w:tl2br w:val="nil"/>
                    <w:tr2bl w:val="nil"/>
                  </w:tcBorders>
                  <w:vAlign w:val="center"/>
                </w:tcPr>
                <w:p>
                  <w:pPr>
                    <w:pStyle w:val="28"/>
                    <w:jc w:val="center"/>
                    <w:rPr>
                      <w:rFonts w:hint="default" w:ascii="Times New Roman" w:hAnsi="Times New Roman" w:eastAsia="宋体" w:cs="Times New Roman"/>
                      <w:b w:val="0"/>
                      <w:bCs w:val="0"/>
                      <w:i w:val="0"/>
                      <w:iCs w:val="0"/>
                      <w:color w:val="auto"/>
                      <w:sz w:val="21"/>
                      <w:szCs w:val="21"/>
                      <w:vertAlign w:val="baseline"/>
                      <w:lang w:val="en-US" w:eastAsia="zh-CN" w:bidi="ar-SA"/>
                    </w:rPr>
                  </w:pPr>
                  <w:r>
                    <w:rPr>
                      <w:rFonts w:hint="eastAsia" w:ascii="Times New Roman" w:hAnsi="Times New Roman" w:eastAsia="宋体" w:cs="Times New Roman"/>
                      <w:b w:val="0"/>
                      <w:bCs w:val="0"/>
                      <w:i w:val="0"/>
                      <w:iCs w:val="0"/>
                      <w:color w:val="auto"/>
                      <w:sz w:val="21"/>
                      <w:szCs w:val="21"/>
                      <w:vertAlign w:val="baseline"/>
                      <w:lang w:val="en-US" w:eastAsia="zh-CN" w:bidi="ar-SA"/>
                    </w:rPr>
                    <w:t>烘干房废气进口◎P1</w:t>
                  </w:r>
                </w:p>
              </w:tc>
              <w:tc>
                <w:tcPr>
                  <w:tcW w:w="2691" w:type="dxa"/>
                  <w:gridSpan w:val="2"/>
                  <w:tcBorders>
                    <w:tl2br w:val="nil"/>
                    <w:tr2bl w:val="nil"/>
                  </w:tcBorders>
                  <w:vAlign w:val="center"/>
                </w:tcPr>
                <w:p>
                  <w:pPr>
                    <w:pStyle w:val="28"/>
                    <w:jc w:val="center"/>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sz w:val="21"/>
                      <w:szCs w:val="21"/>
                      <w:vertAlign w:val="baseline"/>
                      <w:lang w:val="en-US" w:eastAsia="zh-CN"/>
                    </w:rPr>
                    <w:t>标杆流量</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b w:val="0"/>
                      <w:bCs w:val="0"/>
                      <w:color w:val="auto"/>
                      <w:szCs w:val="21"/>
                    </w:rPr>
                    <w:t>/h</w:t>
                  </w:r>
                </w:p>
              </w:tc>
              <w:tc>
                <w:tcPr>
                  <w:tcW w:w="12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2165 </w:t>
                  </w:r>
                </w:p>
              </w:tc>
              <w:tc>
                <w:tcPr>
                  <w:tcW w:w="11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2264 </w:t>
                  </w:r>
                </w:p>
              </w:tc>
              <w:tc>
                <w:tcPr>
                  <w:tcW w:w="8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FF0000"/>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Merge w:val="continue"/>
                  <w:tcBorders>
                    <w:tl2br w:val="nil"/>
                    <w:tr2bl w:val="nil"/>
                  </w:tcBorders>
                  <w:vAlign w:val="center"/>
                </w:tcPr>
                <w:p>
                  <w:pPr>
                    <w:pStyle w:val="28"/>
                    <w:jc w:val="center"/>
                    <w:rPr>
                      <w:rFonts w:hint="default" w:ascii="Times New Roman" w:hAnsi="Times New Roman" w:eastAsia="宋体" w:cs="Times New Roman"/>
                      <w:color w:val="FF0000"/>
                      <w:sz w:val="21"/>
                      <w:szCs w:val="21"/>
                      <w:vertAlign w:val="baseline"/>
                      <w:lang w:val="en-US" w:eastAsia="zh-CN"/>
                    </w:rPr>
                  </w:pPr>
                </w:p>
              </w:tc>
              <w:tc>
                <w:tcPr>
                  <w:tcW w:w="853" w:type="dxa"/>
                  <w:vMerge w:val="continue"/>
                  <w:tcBorders>
                    <w:tl2br w:val="nil"/>
                    <w:tr2bl w:val="nil"/>
                  </w:tcBorders>
                  <w:vAlign w:val="center"/>
                </w:tcPr>
                <w:p>
                  <w:pPr>
                    <w:pStyle w:val="28"/>
                    <w:jc w:val="center"/>
                    <w:rPr>
                      <w:rFonts w:hint="default" w:ascii="Times New Roman" w:hAnsi="Times New Roman" w:eastAsia="宋体" w:cs="Times New Roman"/>
                      <w:color w:val="FF0000"/>
                      <w:sz w:val="21"/>
                      <w:szCs w:val="21"/>
                      <w:vertAlign w:val="baseline"/>
                      <w:lang w:val="en-US" w:eastAsia="zh-CN"/>
                    </w:rPr>
                  </w:pPr>
                </w:p>
              </w:tc>
              <w:tc>
                <w:tcPr>
                  <w:tcW w:w="893" w:type="dxa"/>
                  <w:vMerge w:val="continue"/>
                  <w:tcBorders>
                    <w:tl2br w:val="nil"/>
                    <w:tr2bl w:val="nil"/>
                  </w:tcBorders>
                  <w:vAlign w:val="center"/>
                </w:tcPr>
                <w:p>
                  <w:pPr>
                    <w:pStyle w:val="28"/>
                    <w:jc w:val="center"/>
                    <w:rPr>
                      <w:rFonts w:hint="default" w:ascii="Times New Roman" w:hAnsi="Times New Roman" w:eastAsia="宋体" w:cs="Times New Roman"/>
                      <w:color w:val="FF0000"/>
                      <w:sz w:val="21"/>
                      <w:szCs w:val="21"/>
                      <w:vertAlign w:val="baseline"/>
                      <w:lang w:val="en-US" w:eastAsia="zh-CN"/>
                    </w:rPr>
                  </w:pPr>
                </w:p>
              </w:tc>
              <w:tc>
                <w:tcPr>
                  <w:tcW w:w="87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sz w:val="21"/>
                      <w:szCs w:val="21"/>
                      <w:vertAlign w:val="baseline"/>
                      <w:lang w:val="en-US" w:eastAsia="zh-CN"/>
                    </w:rPr>
                    <w:t>非甲烷总烃</w:t>
                  </w:r>
                </w:p>
              </w:tc>
              <w:tc>
                <w:tcPr>
                  <w:tcW w:w="1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浓度(mg/m³)</w:t>
                  </w:r>
                </w:p>
              </w:tc>
              <w:tc>
                <w:tcPr>
                  <w:tcW w:w="12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3.59 </w:t>
                  </w:r>
                </w:p>
              </w:tc>
              <w:tc>
                <w:tcPr>
                  <w:tcW w:w="11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 xml:space="preserve">3.60 </w:t>
                  </w:r>
                </w:p>
              </w:tc>
              <w:tc>
                <w:tcPr>
                  <w:tcW w:w="8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19" w:type="dxa"/>
                  <w:vMerge w:val="continue"/>
                  <w:tcBorders>
                    <w:tl2br w:val="nil"/>
                    <w:tr2bl w:val="nil"/>
                  </w:tcBorders>
                  <w:vAlign w:val="center"/>
                </w:tcPr>
                <w:p>
                  <w:pPr>
                    <w:pStyle w:val="28"/>
                    <w:jc w:val="center"/>
                    <w:rPr>
                      <w:rFonts w:hint="default" w:ascii="Times New Roman" w:hAnsi="Times New Roman" w:eastAsia="宋体" w:cs="Times New Roman"/>
                      <w:color w:val="FF0000"/>
                      <w:sz w:val="21"/>
                      <w:szCs w:val="21"/>
                      <w:vertAlign w:val="baseline"/>
                      <w:lang w:val="en-US" w:eastAsia="zh-CN"/>
                    </w:rPr>
                  </w:pPr>
                </w:p>
              </w:tc>
              <w:tc>
                <w:tcPr>
                  <w:tcW w:w="853" w:type="dxa"/>
                  <w:vMerge w:val="continue"/>
                  <w:tcBorders>
                    <w:tl2br w:val="nil"/>
                    <w:tr2bl w:val="nil"/>
                  </w:tcBorders>
                  <w:vAlign w:val="center"/>
                </w:tcPr>
                <w:p>
                  <w:pPr>
                    <w:pStyle w:val="28"/>
                    <w:jc w:val="center"/>
                    <w:rPr>
                      <w:rFonts w:hint="default" w:ascii="Times New Roman" w:hAnsi="Times New Roman" w:eastAsia="宋体" w:cs="Times New Roman"/>
                      <w:color w:val="FF0000"/>
                      <w:sz w:val="21"/>
                      <w:szCs w:val="21"/>
                      <w:vertAlign w:val="baseline"/>
                      <w:lang w:val="en-US" w:eastAsia="zh-CN"/>
                    </w:rPr>
                  </w:pPr>
                </w:p>
              </w:tc>
              <w:tc>
                <w:tcPr>
                  <w:tcW w:w="893" w:type="dxa"/>
                  <w:vMerge w:val="continue"/>
                  <w:tcBorders>
                    <w:tl2br w:val="nil"/>
                    <w:tr2bl w:val="nil"/>
                  </w:tcBorders>
                  <w:vAlign w:val="center"/>
                </w:tcPr>
                <w:p>
                  <w:pPr>
                    <w:pStyle w:val="28"/>
                    <w:jc w:val="center"/>
                    <w:rPr>
                      <w:rFonts w:hint="default" w:ascii="Times New Roman" w:hAnsi="Times New Roman" w:eastAsia="宋体" w:cs="Times New Roman"/>
                      <w:color w:val="FF0000"/>
                      <w:sz w:val="21"/>
                      <w:szCs w:val="21"/>
                      <w:vertAlign w:val="baseline"/>
                      <w:lang w:val="en-US" w:eastAsia="zh-CN"/>
                    </w:rPr>
                  </w:pPr>
                </w:p>
              </w:tc>
              <w:tc>
                <w:tcPr>
                  <w:tcW w:w="87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p>
              </w:tc>
              <w:tc>
                <w:tcPr>
                  <w:tcW w:w="1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i w:val="0"/>
                      <w:color w:val="auto"/>
                      <w:kern w:val="0"/>
                      <w:sz w:val="21"/>
                      <w:szCs w:val="21"/>
                      <w:u w:val="none"/>
                      <w:lang w:val="en-US" w:eastAsia="zh-CN" w:bidi="ar"/>
                    </w:rPr>
                    <w:t>排放速率（kg/h）</w:t>
                  </w:r>
                </w:p>
              </w:tc>
              <w:tc>
                <w:tcPr>
                  <w:tcW w:w="12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FF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7.76×10</w:t>
                  </w:r>
                  <w:r>
                    <w:rPr>
                      <w:rFonts w:hint="default" w:ascii="Times New Roman" w:hAnsi="Times New Roman" w:eastAsia="宋体" w:cs="Times New Roman"/>
                      <w:i w:val="0"/>
                      <w:color w:val="auto"/>
                      <w:kern w:val="0"/>
                      <w:sz w:val="21"/>
                      <w:szCs w:val="21"/>
                      <w:u w:val="none"/>
                      <w:vertAlign w:val="superscript"/>
                      <w:lang w:val="en-US" w:eastAsia="zh-CN" w:bidi="ar"/>
                    </w:rPr>
                    <w:t>-3</w:t>
                  </w:r>
                </w:p>
              </w:tc>
              <w:tc>
                <w:tcPr>
                  <w:tcW w:w="119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8.16×10</w:t>
                  </w:r>
                  <w:r>
                    <w:rPr>
                      <w:rFonts w:hint="default" w:ascii="Times New Roman" w:hAnsi="Times New Roman" w:eastAsia="宋体" w:cs="Times New Roman"/>
                      <w:i w:val="0"/>
                      <w:color w:val="auto"/>
                      <w:kern w:val="0"/>
                      <w:sz w:val="21"/>
                      <w:szCs w:val="21"/>
                      <w:u w:val="none"/>
                      <w:vertAlign w:val="superscript"/>
                      <w:lang w:val="en-US" w:eastAsia="zh-CN" w:bidi="ar"/>
                    </w:rPr>
                    <w:t>-3</w:t>
                  </w:r>
                </w:p>
              </w:tc>
              <w:tc>
                <w:tcPr>
                  <w:tcW w:w="83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r>
          </w:tbl>
          <w:p>
            <w:pPr>
              <w:pStyle w:val="28"/>
              <w:spacing w:line="360" w:lineRule="auto"/>
              <w:ind w:firstLine="480" w:firstLineChars="200"/>
              <w:jc w:val="both"/>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由上表7-</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监测结果可知，本项目</w:t>
            </w:r>
            <w:r>
              <w:rPr>
                <w:rFonts w:hint="eastAsia" w:ascii="Times New Roman" w:hAnsi="Times New Roman" w:cs="Times New Roman"/>
                <w:color w:val="auto"/>
                <w:lang w:val="en-US" w:eastAsia="zh-CN"/>
              </w:rPr>
              <w:t>烘干房废气</w:t>
            </w:r>
            <w:r>
              <w:rPr>
                <w:rFonts w:hint="default" w:ascii="Times New Roman" w:hAnsi="Times New Roman" w:cs="Times New Roman"/>
                <w:color w:val="auto"/>
                <w:lang w:val="en-US" w:eastAsia="zh-CN"/>
              </w:rPr>
              <w:t>通过“</w:t>
            </w:r>
            <w:r>
              <w:rPr>
                <w:rFonts w:hint="eastAsia" w:ascii="Times New Roman" w:hAnsi="Times New Roman" w:cs="Times New Roman"/>
                <w:color w:val="auto"/>
                <w:lang w:val="en-US" w:eastAsia="zh-CN"/>
              </w:rPr>
              <w:t>水喷淋+活性炭+UV光解</w:t>
            </w:r>
            <w:r>
              <w:rPr>
                <w:rFonts w:hint="default" w:ascii="Times New Roman" w:hAnsi="Times New Roman" w:cs="Times New Roman"/>
                <w:color w:val="auto"/>
                <w:lang w:val="en-US" w:eastAsia="zh-CN"/>
              </w:rPr>
              <w:t>”处理设施处理。经监测项目废气中：</w:t>
            </w:r>
            <w:r>
              <w:rPr>
                <w:rFonts w:hint="eastAsia" w:ascii="Times New Roman" w:hAnsi="Times New Roman" w:cs="Times New Roman"/>
                <w:color w:val="auto"/>
                <w:lang w:val="en-US" w:eastAsia="zh-CN"/>
              </w:rPr>
              <w:t>非甲烷总烃</w:t>
            </w:r>
            <w:r>
              <w:rPr>
                <w:rFonts w:hint="default" w:ascii="Times New Roman" w:hAnsi="Times New Roman" w:cs="Times New Roman"/>
                <w:color w:val="auto"/>
                <w:lang w:val="en-US" w:eastAsia="zh-CN"/>
              </w:rPr>
              <w:t>的排放浓度</w:t>
            </w:r>
            <w:r>
              <w:rPr>
                <w:rFonts w:hint="eastAsia" w:ascii="Times New Roman" w:hAnsi="Times New Roman" w:cs="Times New Roman"/>
                <w:color w:val="auto"/>
                <w:lang w:val="en-US" w:eastAsia="zh-CN"/>
              </w:rPr>
              <w:t>3.59</w:t>
            </w:r>
            <w:r>
              <w:rPr>
                <w:rFonts w:hint="default" w:ascii="Times New Roman" w:hAnsi="Times New Roman" w:cs="Times New Roman"/>
                <w:color w:val="auto"/>
                <w:lang w:val="en-US" w:eastAsia="zh-CN"/>
              </w:rPr>
              <w:t>mg/m3、</w:t>
            </w:r>
            <w:r>
              <w:rPr>
                <w:rFonts w:hint="eastAsia" w:ascii="Times New Roman" w:hAnsi="Times New Roman" w:cs="Times New Roman"/>
                <w:color w:val="auto"/>
                <w:lang w:val="en-US" w:eastAsia="zh-CN"/>
              </w:rPr>
              <w:t>3.60</w:t>
            </w:r>
            <w:r>
              <w:rPr>
                <w:rFonts w:hint="default" w:ascii="Times New Roman" w:hAnsi="Times New Roman" w:cs="Times New Roman"/>
                <w:color w:val="auto"/>
                <w:lang w:val="en-US" w:eastAsia="zh-CN"/>
              </w:rPr>
              <w:t>mg/m3，排放速率为</w:t>
            </w:r>
            <w:r>
              <w:rPr>
                <w:rFonts w:hint="eastAsia" w:ascii="Times New Roman" w:hAnsi="Times New Roman" w:cs="Times New Roman"/>
                <w:color w:val="auto"/>
                <w:lang w:val="en-US" w:eastAsia="zh-CN"/>
              </w:rPr>
              <w:t>0.00776</w:t>
            </w:r>
            <w:r>
              <w:rPr>
                <w:rFonts w:hint="default" w:ascii="Times New Roman" w:hAnsi="Times New Roman" w:cs="Times New Roman"/>
                <w:color w:val="auto"/>
                <w:lang w:val="en-US" w:eastAsia="zh-CN"/>
              </w:rPr>
              <w:t>kg/h、</w:t>
            </w:r>
            <w:r>
              <w:rPr>
                <w:rFonts w:hint="eastAsia" w:ascii="Times New Roman" w:hAnsi="Times New Roman" w:cs="Times New Roman"/>
                <w:color w:val="auto"/>
                <w:lang w:val="en-US" w:eastAsia="zh-CN"/>
              </w:rPr>
              <w:t>0.00816</w:t>
            </w:r>
            <w:r>
              <w:rPr>
                <w:rFonts w:hint="default" w:ascii="Times New Roman" w:hAnsi="Times New Roman" w:cs="Times New Roman"/>
                <w:color w:val="auto"/>
                <w:lang w:val="en-US" w:eastAsia="zh-CN"/>
              </w:rPr>
              <w:t>kg/h。综上，</w:t>
            </w:r>
            <w:r>
              <w:rPr>
                <w:rFonts w:hint="eastAsia" w:ascii="Times New Roman" w:hAnsi="Times New Roman" w:cs="Times New Roman"/>
                <w:color w:val="auto"/>
                <w:lang w:val="en-US" w:eastAsia="zh-CN"/>
              </w:rPr>
              <w:t>非甲烷总烃</w:t>
            </w:r>
            <w:r>
              <w:rPr>
                <w:rFonts w:hint="default" w:ascii="Times New Roman" w:hAnsi="Times New Roman" w:cs="Times New Roman"/>
                <w:color w:val="auto"/>
                <w:lang w:val="en-US" w:eastAsia="zh-CN"/>
              </w:rPr>
              <w:t>排放满足</w:t>
            </w:r>
            <w:r>
              <w:rPr>
                <w:rFonts w:hint="eastAsia" w:ascii="Times New Roman" w:hAnsi="Times New Roman" w:cs="Times New Roman"/>
                <w:color w:val="auto"/>
                <w:lang w:val="en-US" w:eastAsia="zh-CN"/>
              </w:rPr>
              <w:t>DB35/1782-2018《工业企业挥发性有机物排放标准》中的表1标准</w:t>
            </w:r>
            <w:r>
              <w:rPr>
                <w:rFonts w:hint="default" w:ascii="Times New Roman" w:hAnsi="Times New Roman" w:cs="Times New Roman"/>
                <w:color w:val="auto"/>
                <w:lang w:val="en-US" w:eastAsia="zh-CN"/>
              </w:rPr>
              <w:t>。</w:t>
            </w:r>
          </w:p>
          <w:p>
            <w:pPr>
              <w:pStyle w:val="28"/>
              <w:spacing w:line="240" w:lineRule="auto"/>
              <w:ind w:firstLine="480" w:firstLineChars="200"/>
              <w:jc w:val="both"/>
              <w:rPr>
                <w:rFonts w:ascii="Times New Roman" w:hAnsi="Times New Roman" w:cs="Times New Roman"/>
                <w:color w:val="0000FF"/>
              </w:rPr>
            </w:pPr>
          </w:p>
          <w:p>
            <w:pPr>
              <w:pStyle w:val="28"/>
              <w:spacing w:line="240" w:lineRule="auto"/>
              <w:ind w:firstLine="480" w:firstLineChars="200"/>
              <w:jc w:val="both"/>
              <w:rPr>
                <w:rFonts w:ascii="Times New Roman" w:hAnsi="Times New Roman" w:cs="Times New Roman"/>
                <w:color w:val="0000FF"/>
              </w:rPr>
            </w:pPr>
          </w:p>
          <w:p>
            <w:pPr>
              <w:pStyle w:val="28"/>
              <w:spacing w:line="240" w:lineRule="auto"/>
              <w:ind w:firstLine="480" w:firstLineChars="200"/>
              <w:jc w:val="both"/>
              <w:rPr>
                <w:rFonts w:ascii="Times New Roman" w:hAnsi="Times New Roman" w:cs="Times New Roman"/>
                <w:color w:val="auto"/>
              </w:rPr>
            </w:pPr>
            <w:r>
              <w:rPr>
                <w:rFonts w:ascii="Times New Roman" w:hAnsi="Times New Roman" w:cs="Times New Roman"/>
                <w:color w:val="auto"/>
              </w:rPr>
              <w:t>无组织废气监测结果见下表。</w:t>
            </w:r>
          </w:p>
          <w:p>
            <w:pPr>
              <w:pStyle w:val="28"/>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无组织废气监测结果</w:t>
            </w:r>
          </w:p>
          <w:tbl>
            <w:tblPr>
              <w:tblStyle w:val="22"/>
              <w:tblW w:w="4957"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309"/>
              <w:gridCol w:w="1455"/>
              <w:gridCol w:w="1110"/>
              <w:gridCol w:w="1051"/>
              <w:gridCol w:w="1087"/>
              <w:gridCol w:w="11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42"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监测</w:t>
                  </w:r>
                </w:p>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时间</w:t>
                  </w: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885"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分析</w:t>
                  </w:r>
                </w:p>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2676" w:type="pct"/>
                  <w:gridSpan w:val="4"/>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监测结果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675"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639"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661"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700" w:type="pc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最大值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2020.</w:t>
                  </w:r>
                  <w:r>
                    <w:rPr>
                      <w:rFonts w:hint="eastAsia" w:ascii="Times New Roman" w:hAnsi="Times New Roman" w:cs="Times New Roman"/>
                      <w:color w:val="auto"/>
                      <w:sz w:val="21"/>
                      <w:szCs w:val="21"/>
                      <w:lang w:val="en-US" w:eastAsia="zh-CN"/>
                    </w:rPr>
                    <w:t>8</w:t>
                  </w:r>
                  <w:r>
                    <w:rPr>
                      <w:rFonts w:ascii="Times New Roman" w:hAnsi="Times New Roman" w:cs="Times New Roman"/>
                      <w:color w:val="auto"/>
                      <w:sz w:val="21"/>
                      <w:szCs w:val="21"/>
                    </w:rPr>
                    <w:t>.5</w:t>
                  </w: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上风向〇1</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0.098</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0.100</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0.47</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0.51</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0.57</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上风向〇2</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0.140</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0.141</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0.143</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0.63</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0.68</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0.68</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上风向〇3</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0.161</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0.157</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0.154</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0.72</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0.66</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0.75</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上风向〇4</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0.162</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0.160</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0.165</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0.93</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0.88</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2020.</w:t>
                  </w:r>
                  <w:r>
                    <w:rPr>
                      <w:rFonts w:hint="eastAsia" w:ascii="Times New Roman" w:hAnsi="Times New Roman" w:cs="Times New Roman"/>
                      <w:color w:val="auto"/>
                      <w:sz w:val="21"/>
                      <w:szCs w:val="21"/>
                      <w:lang w:val="en-US" w:eastAsia="zh-CN"/>
                    </w:rPr>
                    <w:t>8</w:t>
                  </w:r>
                  <w:r>
                    <w:rPr>
                      <w:rFonts w:ascii="Times New Roman" w:hAnsi="Times New Roman" w:cs="Times New Roman"/>
                      <w:color w:val="auto"/>
                      <w:sz w:val="21"/>
                      <w:szCs w:val="21"/>
                    </w:rPr>
                    <w:t>.6</w:t>
                  </w: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上风向〇1</w:t>
                  </w: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0.100</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0.101</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0.52</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0.46</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上风向〇2</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0.135</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0.140</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0.145</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0.64</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0.61</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上风向〇3</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0.157</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0.162</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0.159</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0.69</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0.73</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上风向〇4</w:t>
                  </w:r>
                </w:p>
              </w:tc>
              <w:tc>
                <w:tcPr>
                  <w:tcW w:w="885" w:type="pct"/>
                  <w:tcBorders>
                    <w:tl2br w:val="nil"/>
                    <w:tr2bl w:val="nil"/>
                  </w:tcBorders>
                  <w:vAlign w:val="center"/>
                </w:tcPr>
                <w:p>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0.162</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0.159</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42"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796" w:type="pct"/>
                  <w:vMerge w:val="continue"/>
                  <w:tcBorders>
                    <w:tl2br w:val="nil"/>
                    <w:tr2bl w:val="nil"/>
                  </w:tcBorders>
                  <w:vAlign w:val="center"/>
                </w:tcPr>
                <w:p>
                  <w:pPr>
                    <w:pStyle w:val="28"/>
                    <w:jc w:val="center"/>
                    <w:rPr>
                      <w:rFonts w:ascii="Times New Roman" w:hAnsi="Times New Roman" w:cs="Times New Roman"/>
                      <w:color w:val="auto"/>
                      <w:sz w:val="21"/>
                      <w:szCs w:val="21"/>
                    </w:rPr>
                  </w:pPr>
                </w:p>
              </w:tc>
              <w:tc>
                <w:tcPr>
                  <w:tcW w:w="885" w:type="pct"/>
                  <w:tcBorders>
                    <w:tl2br w:val="nil"/>
                    <w:tr2bl w:val="nil"/>
                  </w:tcBorders>
                  <w:vAlign w:val="center"/>
                </w:tcPr>
                <w:p>
                  <w:pPr>
                    <w:widowControl/>
                    <w:jc w:val="center"/>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非甲烷总烃</w:t>
                  </w:r>
                </w:p>
              </w:tc>
              <w:tc>
                <w:tcPr>
                  <w:tcW w:w="1110"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w:t>
                  </w:r>
                </w:p>
              </w:tc>
              <w:tc>
                <w:tcPr>
                  <w:tcW w:w="105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w:t>
                  </w:r>
                </w:p>
              </w:tc>
              <w:tc>
                <w:tcPr>
                  <w:tcW w:w="1087"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0.92</w:t>
                  </w:r>
                </w:p>
              </w:tc>
              <w:tc>
                <w:tcPr>
                  <w:tcW w:w="115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w:t>
                  </w:r>
                </w:p>
              </w:tc>
            </w:tr>
          </w:tbl>
          <w:p>
            <w:pPr>
              <w:pStyle w:val="28"/>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由上表7-</w:t>
            </w:r>
            <w:r>
              <w:rPr>
                <w:rFonts w:hint="eastAsia" w:ascii="Times New Roman" w:hAnsi="Times New Roman" w:cs="Times New Roman"/>
                <w:color w:val="auto"/>
                <w:lang w:val="en-US" w:eastAsia="zh-CN"/>
              </w:rPr>
              <w:t>3</w:t>
            </w:r>
            <w:r>
              <w:rPr>
                <w:rFonts w:ascii="Times New Roman" w:hAnsi="Times New Roman" w:cs="Times New Roman"/>
                <w:color w:val="auto"/>
              </w:rPr>
              <w:t>监测结果可知，</w:t>
            </w:r>
            <w:r>
              <w:rPr>
                <w:rFonts w:hint="eastAsia" w:ascii="Times New Roman" w:hAnsi="Times New Roman" w:cs="Times New Roman"/>
                <w:color w:val="auto"/>
              </w:rPr>
              <w:t>本</w:t>
            </w:r>
            <w:r>
              <w:rPr>
                <w:rFonts w:ascii="Times New Roman" w:hAnsi="Times New Roman" w:cs="Times New Roman"/>
                <w:color w:val="auto"/>
              </w:rPr>
              <w:t>项目</w:t>
            </w:r>
            <w:r>
              <w:rPr>
                <w:rFonts w:hint="eastAsia" w:ascii="Times New Roman" w:hAnsi="Times New Roman" w:cs="Times New Roman"/>
                <w:color w:val="auto"/>
              </w:rPr>
              <w:t>无组织废气</w:t>
            </w:r>
            <w:r>
              <w:rPr>
                <w:rFonts w:hint="eastAsia" w:ascii="Times New Roman" w:hAnsi="Times New Roman" w:cs="Times New Roman"/>
                <w:color w:val="auto"/>
                <w:lang w:val="en-US" w:eastAsia="zh-CN"/>
              </w:rPr>
              <w:t>颗粒物</w:t>
            </w:r>
            <w:r>
              <w:rPr>
                <w:rFonts w:hint="eastAsia" w:ascii="Times New Roman" w:hAnsi="Times New Roman" w:cs="Times New Roman"/>
                <w:color w:val="auto"/>
              </w:rPr>
              <w:t>排放满足GB16297-1996《大气污染物综合排放标准》</w:t>
            </w:r>
            <w:r>
              <w:rPr>
                <w:rFonts w:ascii="Times New Roman" w:hAnsi="Times New Roman" w:cs="Times New Roman"/>
                <w:color w:val="auto"/>
              </w:rPr>
              <w:t>无组织排放监控浓度限值要求</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非甲烷总烃排放满足DB35/1782-2018《工业企业挥发性有机物排放标准》中的表3标准</w:t>
            </w:r>
            <w:r>
              <w:rPr>
                <w:rFonts w:ascii="Times New Roman" w:hAnsi="Times New Roman" w:cs="Times New Roman"/>
                <w:color w:val="auto"/>
              </w:rPr>
              <w:t>。</w:t>
            </w:r>
          </w:p>
          <w:p>
            <w:pPr>
              <w:pStyle w:val="28"/>
              <w:numPr>
                <w:ilvl w:val="0"/>
                <w:numId w:val="4"/>
              </w:numPr>
              <w:ind w:firstLine="480" w:firstLineChars="200"/>
              <w:jc w:val="both"/>
              <w:rPr>
                <w:rFonts w:ascii="Times New Roman" w:hAnsi="Times New Roman" w:cs="Times New Roman"/>
                <w:color w:val="auto"/>
              </w:rPr>
            </w:pPr>
            <w:r>
              <w:rPr>
                <w:rFonts w:ascii="Times New Roman" w:hAnsi="Times New Roman" w:cs="Times New Roman"/>
                <w:color w:val="auto"/>
              </w:rPr>
              <w:t>噪声</w:t>
            </w:r>
          </w:p>
          <w:p>
            <w:pPr>
              <w:pStyle w:val="28"/>
              <w:ind w:firstLine="480" w:firstLineChars="200"/>
              <w:jc w:val="both"/>
              <w:rPr>
                <w:rFonts w:ascii="Times New Roman" w:hAnsi="Times New Roman" w:cs="Times New Roman"/>
                <w:color w:val="auto"/>
              </w:rPr>
            </w:pPr>
            <w:r>
              <w:rPr>
                <w:rFonts w:ascii="Times New Roman" w:hAnsi="Times New Roman" w:cs="Times New Roman"/>
                <w:color w:val="auto"/>
              </w:rPr>
              <w:t>厂界噪声监测结果见下表。</w:t>
            </w:r>
          </w:p>
          <w:p>
            <w:pPr>
              <w:pStyle w:val="28"/>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4</w:t>
            </w:r>
            <w:r>
              <w:rPr>
                <w:rFonts w:ascii="Times New Roman" w:hAnsi="Times New Roman" w:cs="Times New Roman"/>
                <w:b/>
                <w:bCs/>
                <w:color w:val="auto"/>
                <w:sz w:val="21"/>
                <w:szCs w:val="21"/>
              </w:rPr>
              <w:t xml:space="preserve"> 噪声监测结果</w:t>
            </w:r>
          </w:p>
          <w:tbl>
            <w:tblPr>
              <w:tblStyle w:val="22"/>
              <w:tblW w:w="817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1170"/>
              <w:gridCol w:w="1314"/>
              <w:gridCol w:w="1350"/>
              <w:gridCol w:w="1191"/>
              <w:gridCol w:w="930"/>
              <w:gridCol w:w="103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Borders>
                    <w:tl2br w:val="nil"/>
                    <w:tr2bl w:val="nil"/>
                  </w:tcBorders>
                  <w:vAlign w:val="center"/>
                </w:tcPr>
                <w:p>
                  <w:pPr>
                    <w:pStyle w:val="32"/>
                    <w:widowControl/>
                    <w:jc w:val="center"/>
                    <w:rPr>
                      <w:rFonts w:ascii="Times New Roman" w:hAnsi="Times New Roman" w:eastAsia="宋体" w:cs="Times New Roman"/>
                      <w:color w:val="auto"/>
                      <w:sz w:val="21"/>
                    </w:rPr>
                  </w:pPr>
                  <w:r>
                    <w:rPr>
                      <w:rFonts w:ascii="Times New Roman" w:hAnsi="Times New Roman" w:eastAsia="宋体" w:cs="Times New Roman"/>
                      <w:color w:val="auto"/>
                      <w:sz w:val="21"/>
                    </w:rPr>
                    <w:t>监测日期</w:t>
                  </w:r>
                </w:p>
              </w:tc>
              <w:tc>
                <w:tcPr>
                  <w:tcW w:w="1170"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监测点位</w:t>
                  </w:r>
                </w:p>
              </w:tc>
              <w:tc>
                <w:tcPr>
                  <w:tcW w:w="3855" w:type="dxa"/>
                  <w:gridSpan w:val="3"/>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检测结果dB(A)</w:t>
                  </w:r>
                </w:p>
              </w:tc>
              <w:tc>
                <w:tcPr>
                  <w:tcW w:w="930"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主要</w:t>
                  </w:r>
                </w:p>
                <w:p>
                  <w:pPr>
                    <w:widowControl/>
                    <w:tabs>
                      <w:tab w:val="left" w:pos="0"/>
                    </w:tabs>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声源</w:t>
                  </w:r>
                </w:p>
              </w:tc>
              <w:tc>
                <w:tcPr>
                  <w:tcW w:w="1035" w:type="dxa"/>
                  <w:vMerge w:val="restart"/>
                  <w:tcBorders>
                    <w:tl2br w:val="nil"/>
                    <w:tr2bl w:val="nil"/>
                  </w:tcBorders>
                  <w:vAlign w:val="center"/>
                </w:tcPr>
                <w:p>
                  <w:pPr>
                    <w:pStyle w:val="28"/>
                    <w:jc w:val="center"/>
                    <w:rPr>
                      <w:rFonts w:ascii="Times New Roman" w:hAnsi="Times New Roman" w:cs="Times New Roman"/>
                      <w:color w:val="auto"/>
                      <w:sz w:val="21"/>
                      <w:szCs w:val="21"/>
                    </w:rPr>
                  </w:pPr>
                  <w:r>
                    <w:rPr>
                      <w:rFonts w:ascii="Times New Roman" w:hAnsi="Times New Roman" w:cs="Times New Roman"/>
                      <w:color w:val="auto"/>
                      <w:sz w:val="21"/>
                      <w:szCs w:val="21"/>
                    </w:rPr>
                    <w:t>气象</w:t>
                  </w:r>
                </w:p>
                <w:p>
                  <w:pPr>
                    <w:pStyle w:val="28"/>
                    <w:jc w:val="center"/>
                    <w:rPr>
                      <w:rFonts w:ascii="Times New Roman" w:hAnsi="Times New Roman" w:cs="Times New Roman"/>
                      <w:color w:val="auto"/>
                    </w:rPr>
                  </w:pPr>
                  <w:r>
                    <w:rPr>
                      <w:rFonts w:ascii="Times New Roman" w:hAnsi="Times New Roman" w:cs="Times New Roman"/>
                      <w:color w:val="auto"/>
                      <w:sz w:val="21"/>
                      <w:szCs w:val="21"/>
                    </w:rPr>
                    <w:t>条件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pStyle w:val="32"/>
                    <w:widowControl/>
                    <w:jc w:val="center"/>
                    <w:rPr>
                      <w:rFonts w:ascii="Times New Roman" w:hAnsi="Times New Roman" w:eastAsia="宋体" w:cs="Times New Roman"/>
                      <w:color w:val="auto"/>
                      <w:sz w:val="21"/>
                    </w:rPr>
                  </w:pPr>
                </w:p>
              </w:tc>
              <w:tc>
                <w:tcPr>
                  <w:tcW w:w="1170"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314"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测量值</w:t>
                  </w:r>
                </w:p>
              </w:tc>
              <w:tc>
                <w:tcPr>
                  <w:tcW w:w="135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背景值</w:t>
                  </w:r>
                </w:p>
              </w:tc>
              <w:tc>
                <w:tcPr>
                  <w:tcW w:w="1191"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实际值</w:t>
                  </w:r>
                </w:p>
              </w:tc>
              <w:tc>
                <w:tcPr>
                  <w:tcW w:w="930"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auto"/>
                      <w:sz w:val="21"/>
                      <w:szCs w:val="21"/>
                    </w:rPr>
                  </w:pPr>
                </w:p>
              </w:tc>
              <w:tc>
                <w:tcPr>
                  <w:tcW w:w="1035" w:type="dxa"/>
                  <w:vMerge w:val="continue"/>
                  <w:tcBorders>
                    <w:tl2br w:val="nil"/>
                    <w:tr2bl w:val="nil"/>
                  </w:tcBorders>
                  <w:vAlign w:val="center"/>
                </w:tcPr>
                <w:p>
                  <w:pPr>
                    <w:widowControl/>
                    <w:tabs>
                      <w:tab w:val="left" w:pos="0"/>
                    </w:tabs>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187"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lang w:val="en-US" w:eastAsia="zh-CN"/>
                    </w:rPr>
                    <w:t>8.5</w:t>
                  </w: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N1</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61.9</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62</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restart"/>
                  <w:tcBorders>
                    <w:tl2br w:val="nil"/>
                    <w:tr2bl w:val="nil"/>
                  </w:tcBorders>
                  <w:vAlign w:val="center"/>
                </w:tcPr>
                <w:p>
                  <w:pPr>
                    <w:pStyle w:val="20"/>
                    <w:widowControl w:val="0"/>
                    <w:ind w:firstLine="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阴</w:t>
                  </w:r>
                  <w:r>
                    <w:rPr>
                      <w:rFonts w:ascii="Times New Roman" w:hAnsi="Times New Roman" w:eastAsia="宋体" w:cs="Times New Roman"/>
                      <w:color w:val="auto"/>
                      <w:sz w:val="21"/>
                      <w:szCs w:val="21"/>
                    </w:rPr>
                    <w:t>，  风速</w:t>
                  </w:r>
                  <w:r>
                    <w:rPr>
                      <w:rFonts w:hint="eastAsia"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val="en-US" w:eastAsia="zh-CN"/>
                    </w:rPr>
                    <w:t>4</w:t>
                  </w:r>
                  <w:r>
                    <w:rPr>
                      <w:rFonts w:ascii="Times New Roman" w:hAnsi="Times New Roman" w:eastAsia="宋体" w:cs="Times New Roman"/>
                      <w:color w:val="auto"/>
                      <w:sz w:val="21"/>
                      <w:szCs w:val="21"/>
                    </w:rPr>
                    <w:t>m/s</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N2</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61.2</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N3</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60.3</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93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N4</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61.8</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62</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restart"/>
                  <w:tcBorders>
                    <w:tl2br w:val="nil"/>
                    <w:tr2bl w:val="nil"/>
                  </w:tcBorders>
                  <w:vAlign w:val="center"/>
                </w:tcPr>
                <w:p>
                  <w:pPr>
                    <w:widowControl/>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6</w:t>
                  </w: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N1</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61.3</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restart"/>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晴</w:t>
                  </w:r>
                  <w:r>
                    <w:rPr>
                      <w:rFonts w:ascii="Times New Roman" w:hAnsi="Times New Roman" w:eastAsia="宋体" w:cs="Times New Roman"/>
                      <w:color w:val="auto"/>
                      <w:sz w:val="21"/>
                      <w:szCs w:val="21"/>
                    </w:rPr>
                    <w:t>，  风速</w:t>
                  </w:r>
                  <w:r>
                    <w:rPr>
                      <w:rFonts w:hint="eastAsia" w:ascii="Times New Roman" w:hAnsi="Times New Roman" w:eastAsia="宋体" w:cs="Times New Roman"/>
                      <w:color w:val="auto"/>
                      <w:sz w:val="21"/>
                      <w:szCs w:val="21"/>
                    </w:rPr>
                    <w:t>1.6</w:t>
                  </w:r>
                  <w:r>
                    <w:rPr>
                      <w:rFonts w:ascii="Times New Roman" w:hAnsi="Times New Roman" w:eastAsia="宋体" w:cs="Times New Roman"/>
                      <w:color w:val="auto"/>
                      <w:sz w:val="21"/>
                      <w:szCs w:val="21"/>
                    </w:rPr>
                    <w:t>m/s</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N2</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60.4</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60</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spacing w:line="0" w:lineRule="atLeast"/>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N3</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60.9</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w:t>
                  </w:r>
                </w:p>
              </w:tc>
              <w:tc>
                <w:tcPr>
                  <w:tcW w:w="93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spacing w:line="0" w:lineRule="atLeast"/>
                    <w:jc w:val="center"/>
                    <w:rPr>
                      <w:rFonts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Merge w:val="continue"/>
                  <w:tcBorders>
                    <w:tl2br w:val="nil"/>
                    <w:tr2bl w:val="nil"/>
                  </w:tcBorders>
                  <w:vAlign w:val="center"/>
                </w:tcPr>
                <w:p>
                  <w:pPr>
                    <w:widowControl/>
                    <w:jc w:val="center"/>
                    <w:rPr>
                      <w:rFonts w:ascii="Times New Roman" w:hAnsi="Times New Roman" w:eastAsia="宋体" w:cs="Times New Roman"/>
                      <w:color w:val="auto"/>
                      <w:sz w:val="21"/>
                      <w:szCs w:val="21"/>
                    </w:rPr>
                  </w:pPr>
                </w:p>
              </w:tc>
              <w:tc>
                <w:tcPr>
                  <w:tcW w:w="117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N4</w:t>
                  </w:r>
                </w:p>
              </w:tc>
              <w:tc>
                <w:tcPr>
                  <w:tcW w:w="1314"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61.1</w:t>
                  </w:r>
                </w:p>
              </w:tc>
              <w:tc>
                <w:tcPr>
                  <w:tcW w:w="1350"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1191" w:type="dxa"/>
                  <w:tcBorders>
                    <w:tl2br w:val="nil"/>
                    <w:tr2bl w:val="nil"/>
                  </w:tcBorders>
                  <w:vAlign w:val="center"/>
                </w:tcPr>
                <w:p>
                  <w:pPr>
                    <w:widowControl/>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61</w:t>
                  </w:r>
                </w:p>
              </w:tc>
              <w:tc>
                <w:tcPr>
                  <w:tcW w:w="930" w:type="dxa"/>
                  <w:tcBorders>
                    <w:tl2br w:val="nil"/>
                    <w:tr2bl w:val="nil"/>
                  </w:tcBorders>
                  <w:vAlign w:val="center"/>
                </w:tcPr>
                <w:p>
                  <w:pPr>
                    <w:widowControl/>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w:t>
                  </w:r>
                </w:p>
              </w:tc>
              <w:tc>
                <w:tcPr>
                  <w:tcW w:w="1035" w:type="dxa"/>
                  <w:vMerge w:val="continue"/>
                  <w:tcBorders>
                    <w:tl2br w:val="nil"/>
                    <w:tr2bl w:val="nil"/>
                  </w:tcBorders>
                  <w:vAlign w:val="center"/>
                </w:tcPr>
                <w:p>
                  <w:pPr>
                    <w:widowControl/>
                    <w:spacing w:line="0" w:lineRule="atLeast"/>
                    <w:jc w:val="center"/>
                    <w:rPr>
                      <w:rFonts w:ascii="Times New Roman" w:hAnsi="Times New Roman" w:eastAsia="宋体" w:cs="Times New Roman"/>
                      <w:color w:val="auto"/>
                      <w:sz w:val="21"/>
                      <w:szCs w:val="21"/>
                    </w:rPr>
                  </w:pPr>
                </w:p>
              </w:tc>
            </w:tr>
          </w:tbl>
          <w:p>
            <w:pPr>
              <w:pStyle w:val="28"/>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由7-</w:t>
            </w:r>
            <w:r>
              <w:rPr>
                <w:rFonts w:hint="eastAsia" w:ascii="Times New Roman" w:hAnsi="Times New Roman" w:cs="Times New Roman"/>
                <w:color w:val="auto"/>
                <w:lang w:val="en-US" w:eastAsia="zh-CN"/>
              </w:rPr>
              <w:t>4</w:t>
            </w:r>
            <w:r>
              <w:rPr>
                <w:rFonts w:ascii="Times New Roman" w:hAnsi="Times New Roman" w:cs="Times New Roman"/>
                <w:color w:val="auto"/>
              </w:rPr>
              <w:t>噪声监测结果可知，本项目噪声排放符合</w:t>
            </w:r>
            <w:r>
              <w:rPr>
                <w:rFonts w:hint="eastAsia" w:ascii="Times New Roman" w:hAnsi="Times New Roman" w:cs="Times New Roman"/>
                <w:color w:val="auto"/>
              </w:rPr>
              <w:t>《工业企业厂界环境噪声排放标准》（GB12348-2008)中的</w:t>
            </w:r>
            <w:r>
              <w:rPr>
                <w:rFonts w:hint="eastAsia" w:ascii="Times New Roman" w:hAnsi="Times New Roman" w:cs="Times New Roman"/>
                <w:color w:val="auto"/>
                <w:lang w:val="en-US" w:eastAsia="zh-CN"/>
              </w:rPr>
              <w:t>3</w:t>
            </w:r>
            <w:r>
              <w:rPr>
                <w:rFonts w:hint="eastAsia" w:ascii="Times New Roman" w:hAnsi="Times New Roman" w:cs="Times New Roman"/>
                <w:color w:val="auto"/>
              </w:rPr>
              <w:t>类标准，即：昼间噪声</w:t>
            </w:r>
            <w:r>
              <w:rPr>
                <w:rFonts w:ascii="Times New Roman" w:hAnsi="Times New Roman" w:cs="Times New Roman"/>
                <w:color w:val="auto"/>
              </w:rPr>
              <w:t>≤</w:t>
            </w:r>
            <w:r>
              <w:rPr>
                <w:rFonts w:hint="eastAsia" w:ascii="Times New Roman" w:hAnsi="Times New Roman" w:cs="Times New Roman"/>
                <w:color w:val="auto"/>
              </w:rPr>
              <w:t>6</w:t>
            </w:r>
            <w:r>
              <w:rPr>
                <w:rFonts w:hint="eastAsia" w:ascii="Times New Roman" w:hAnsi="Times New Roman" w:cs="Times New Roman"/>
                <w:color w:val="auto"/>
                <w:lang w:val="en-US" w:eastAsia="zh-CN"/>
              </w:rPr>
              <w:t>5</w:t>
            </w:r>
            <w:r>
              <w:rPr>
                <w:rFonts w:hint="eastAsia" w:ascii="Times New Roman" w:hAnsi="Times New Roman" w:cs="Times New Roman"/>
                <w:color w:val="auto"/>
              </w:rPr>
              <w:t>，夜间噪声</w:t>
            </w:r>
            <w:r>
              <w:rPr>
                <w:rFonts w:ascii="Times New Roman" w:hAnsi="Times New Roman" w:cs="Times New Roman"/>
                <w:color w:val="auto"/>
              </w:rPr>
              <w:t>≤</w:t>
            </w:r>
            <w:r>
              <w:rPr>
                <w:rFonts w:hint="eastAsia" w:ascii="Times New Roman" w:hAnsi="Times New Roman" w:cs="Times New Roman"/>
                <w:color w:val="auto"/>
              </w:rPr>
              <w:t>5</w:t>
            </w:r>
            <w:r>
              <w:rPr>
                <w:rFonts w:hint="eastAsia" w:ascii="Times New Roman" w:hAnsi="Times New Roman" w:cs="Times New Roman"/>
                <w:color w:val="auto"/>
                <w:lang w:val="en-US" w:eastAsia="zh-CN"/>
              </w:rPr>
              <w:t>5</w:t>
            </w:r>
            <w:r>
              <w:rPr>
                <w:rFonts w:ascii="Times New Roman" w:hAnsi="Times New Roman" w:cs="Times New Roman"/>
                <w:color w:val="auto"/>
              </w:rPr>
              <w:t>。</w:t>
            </w:r>
          </w:p>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污染物排放总量核算</w:t>
            </w:r>
          </w:p>
          <w:p>
            <w:pPr>
              <w:pStyle w:val="28"/>
              <w:spacing w:line="360" w:lineRule="auto"/>
              <w:ind w:firstLine="480" w:firstLineChars="200"/>
              <w:jc w:val="both"/>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环保竣工验收监测期间</w:t>
            </w:r>
            <w:r>
              <w:rPr>
                <w:rFonts w:hint="eastAsia" w:ascii="Times New Roman" w:hAnsi="Times New Roman" w:cs="Times New Roman"/>
                <w:color w:val="auto"/>
                <w:lang w:val="en-US" w:eastAsia="zh-CN"/>
              </w:rPr>
              <w:t>，本</w:t>
            </w: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外排废水主要为生活污水，生活污水</w:t>
            </w:r>
            <w:r>
              <w:rPr>
                <w:rFonts w:hint="default" w:ascii="Times New Roman" w:hAnsi="Times New Roman" w:cs="Times New Roman"/>
                <w:color w:val="auto"/>
                <w:lang w:val="en-US" w:eastAsia="zh-CN"/>
              </w:rPr>
              <w:t>经厂区配套化粪池预处理</w:t>
            </w:r>
            <w:r>
              <w:rPr>
                <w:rFonts w:hint="eastAsia" w:ascii="Times New Roman" w:hAnsi="Times New Roman" w:cs="Times New Roman"/>
                <w:color w:val="auto"/>
                <w:lang w:val="en-US" w:eastAsia="zh-CN"/>
              </w:rPr>
              <w:t>后</w:t>
            </w:r>
            <w:r>
              <w:rPr>
                <w:rFonts w:hint="default" w:ascii="Times New Roman" w:hAnsi="Times New Roman" w:cs="Times New Roman"/>
                <w:color w:val="auto"/>
                <w:lang w:val="en-US" w:eastAsia="zh-CN"/>
              </w:rPr>
              <w:t>排入市政污水管网，由</w:t>
            </w:r>
            <w:r>
              <w:rPr>
                <w:rFonts w:hint="eastAsia" w:ascii="Times New Roman" w:hAnsi="Times New Roman" w:cs="Times New Roman"/>
                <w:color w:val="auto"/>
                <w:lang w:val="en-US" w:eastAsia="zh-CN"/>
              </w:rPr>
              <w:t>长泰西区</w:t>
            </w:r>
            <w:r>
              <w:rPr>
                <w:rFonts w:hint="default" w:ascii="Times New Roman" w:hAnsi="Times New Roman" w:cs="Times New Roman"/>
                <w:color w:val="auto"/>
                <w:lang w:val="en-US" w:eastAsia="zh-CN"/>
              </w:rPr>
              <w:t>污水处理厂处理，</w:t>
            </w:r>
            <w:r>
              <w:rPr>
                <w:rFonts w:hint="eastAsia" w:ascii="Times New Roman" w:hAnsi="Times New Roman" w:cs="Times New Roman"/>
                <w:color w:val="auto"/>
                <w:lang w:val="en-US" w:eastAsia="zh-CN"/>
              </w:rPr>
              <w:t>因此项目生活污水不需购买相应的排污交易权指标，</w:t>
            </w:r>
            <w:r>
              <w:rPr>
                <w:rFonts w:hint="default" w:ascii="Times New Roman" w:hAnsi="Times New Roman" w:cs="Times New Roman"/>
                <w:color w:val="auto"/>
                <w:lang w:val="en-US" w:eastAsia="zh-CN"/>
              </w:rPr>
              <w:t>不纳入建设项目主要污染物排放总量指标管理范围</w:t>
            </w:r>
            <w:r>
              <w:rPr>
                <w:rFonts w:hint="eastAsia" w:ascii="Times New Roman" w:hAnsi="Times New Roman" w:cs="Times New Roman"/>
                <w:color w:val="auto"/>
                <w:lang w:val="en-US" w:eastAsia="zh-CN"/>
              </w:rPr>
              <w:t>。本项目验收期间外排废气总量核算情况见下表。</w:t>
            </w:r>
          </w:p>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22" w:firstLineChars="20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废气污染物排放总量</w:t>
            </w:r>
          </w:p>
          <w:tbl>
            <w:tblPr>
              <w:tblStyle w:val="22"/>
              <w:tblW w:w="825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152"/>
              <w:gridCol w:w="1395"/>
              <w:gridCol w:w="3090"/>
              <w:gridCol w:w="19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restart"/>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排放情况</w:t>
                  </w:r>
                </w:p>
              </w:tc>
              <w:tc>
                <w:tcPr>
                  <w:tcW w:w="1152"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p>
              </w:tc>
              <w:tc>
                <w:tcPr>
                  <w:tcW w:w="1395"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设施名称</w:t>
                  </w:r>
                </w:p>
              </w:tc>
              <w:tc>
                <w:tcPr>
                  <w:tcW w:w="3090"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标杆流量：m³/h</w:t>
                  </w:r>
                </w:p>
              </w:tc>
              <w:tc>
                <w:tcPr>
                  <w:tcW w:w="1967"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2214.5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restart"/>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非甲烷总烃</w:t>
                  </w:r>
                </w:p>
              </w:tc>
              <w:tc>
                <w:tcPr>
                  <w:tcW w:w="1395" w:type="dxa"/>
                  <w:vMerge w:val="restart"/>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vertAlign w:val="baseline"/>
                      <w:lang w:val="en-US" w:eastAsia="zh-CN" w:bidi="ar-SA"/>
                      <w14:textFill>
                        <w14:solidFill>
                          <w14:schemeClr w14:val="tx1"/>
                        </w14:solidFill>
                      </w14:textFill>
                    </w:rPr>
                    <w:t>水喷淋+活性炭+UV光解</w:t>
                  </w:r>
                </w:p>
              </w:tc>
              <w:tc>
                <w:tcPr>
                  <w:tcW w:w="3090"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967"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3.595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w:t>
                  </w:r>
                  <w:r>
                    <w:rPr>
                      <w:rFonts w:hint="default" w:ascii="Times New Roman" w:hAnsi="Times New Roman" w:eastAsia="宋体" w:cs="Times New Roman"/>
                      <w:b w:val="0"/>
                      <w:bCs w:val="0"/>
                      <w:color w:val="000000" w:themeColor="text1"/>
                      <w:szCs w:val="21"/>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967"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0.00796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废气排放量（万标立方米）</w:t>
                  </w:r>
                </w:p>
              </w:tc>
              <w:tc>
                <w:tcPr>
                  <w:tcW w:w="1967"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797.22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排放总量（t/a）</w:t>
                  </w:r>
                </w:p>
              </w:tc>
              <w:tc>
                <w:tcPr>
                  <w:tcW w:w="1967"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备注</w:t>
                  </w:r>
                </w:p>
              </w:tc>
              <w:tc>
                <w:tcPr>
                  <w:tcW w:w="7604" w:type="dxa"/>
                  <w:gridSpan w:val="4"/>
                  <w:tcBorders>
                    <w:tl2br w:val="nil"/>
                    <w:tr2bl w:val="nil"/>
                  </w:tcBorders>
                  <w:vAlign w:val="center"/>
                </w:tcPr>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年工作时间为300，每天12小时</w:t>
                  </w:r>
                </w:p>
              </w:tc>
            </w:tr>
          </w:tbl>
          <w:p>
            <w:pPr>
              <w:pStyle w:val="4"/>
              <w:widowControl w:val="0"/>
              <w:spacing w:line="360" w:lineRule="auto"/>
              <w:ind w:firstLine="480" w:firstLineChars="200"/>
              <w:jc w:val="both"/>
              <w:outlineLvl w:val="0"/>
              <w:rPr>
                <w:rFonts w:hint="default" w:ascii="Times New Roman" w:hAnsi="Times New Roman" w:eastAsia="宋体" w:cs="Times New Roman"/>
                <w:color w:val="0000FF"/>
                <w:lang w:val="en-US" w:eastAsia="zh-CN"/>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由表7-</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可知，</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非甲烷总烃</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排放总量为</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0.029</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t/a。</w:t>
            </w:r>
          </w:p>
        </w:tc>
      </w:tr>
    </w:tbl>
    <w:p>
      <w:pPr>
        <w:pStyle w:val="4"/>
        <w:rPr>
          <w:rFonts w:ascii="Times New Roman" w:hAnsi="Times New Roman" w:eastAsia="宋体" w:cs="Times New Roman"/>
          <w:color w:val="0000FF"/>
        </w:rPr>
        <w:sectPr>
          <w:pgSz w:w="11906" w:h="16838"/>
          <w:pgMar w:top="1440" w:right="1440" w:bottom="1440" w:left="1701" w:header="709" w:footer="709" w:gutter="0"/>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表八</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验收监测结论：</w:t>
            </w:r>
          </w:p>
          <w:p>
            <w:pPr>
              <w:pStyle w:val="28"/>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本次</w:t>
            </w:r>
            <w:r>
              <w:rPr>
                <w:rFonts w:hint="eastAsia" w:ascii="Times New Roman" w:hAnsi="Times New Roman" w:cs="Times New Roman"/>
                <w:b/>
                <w:bCs/>
                <w:color w:val="auto"/>
                <w:lang w:val="en-US" w:eastAsia="zh-CN"/>
              </w:rPr>
              <w:t>验收针对长泰中原保温材料有限公司年产岩棉制品10000立方米和复合硅酸盐保温制品3000立方米建设项目进行验收。验收期间本项目的性质、规模、地点、生产工艺等均未发生</w:t>
            </w:r>
            <w:r>
              <w:rPr>
                <w:rFonts w:ascii="Times New Roman" w:hAnsi="Times New Roman" w:cs="Times New Roman"/>
                <w:b/>
                <w:bCs/>
                <w:color w:val="auto"/>
              </w:rPr>
              <w:t>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7" w:name="_Toc9522"/>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 废水</w:t>
            </w:r>
          </w:p>
          <w:p>
            <w:pPr>
              <w:widowControl w:val="0"/>
              <w:adjustRightInd/>
              <w:snapToGrid/>
              <w:spacing w:line="360" w:lineRule="auto"/>
              <w:ind w:firstLine="480" w:firstLineChars="200"/>
              <w:jc w:val="both"/>
              <w:outlineLvl w:val="2"/>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eastAsia" w:ascii="Times New Roman" w:hAnsi="Times New Roman" w:eastAsia="宋体" w:cs="Times New Roman"/>
                <w:color w:val="000000" w:themeColor="text1"/>
                <w:sz w:val="24"/>
                <w14:textFill>
                  <w14:solidFill>
                    <w14:schemeClr w14:val="tx1"/>
                  </w14:solidFill>
                </w14:textFill>
              </w:rPr>
              <w:t>本项目产生的废水主要有生活废水</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auto"/>
                <w:sz w:val="24"/>
                <w:lang w:val="en-US" w:eastAsia="zh-CN"/>
              </w:rPr>
              <w:t>本项目生活用水量为1.67t/d，生活污水产生量为1.34t/d，</w:t>
            </w:r>
            <w:r>
              <w:rPr>
                <w:rFonts w:hint="eastAsia" w:ascii="Times New Roman" w:hAnsi="Times New Roman" w:eastAsia="宋体" w:cs="Times New Roman"/>
                <w:color w:val="000000" w:themeColor="text1"/>
                <w:sz w:val="24"/>
                <w:lang w:val="en-US" w:eastAsia="zh-CN"/>
                <w14:textFill>
                  <w14:solidFill>
                    <w14:schemeClr w14:val="tx1"/>
                  </w14:solidFill>
                </w14:textFill>
              </w:rPr>
              <w:t>生产过程中没有废水产生</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且</w:t>
            </w:r>
            <w:r>
              <w:rPr>
                <w:rFonts w:hint="eastAsia" w:ascii="Times New Roman" w:hAnsi="Times New Roman" w:eastAsia="宋体" w:cs="Times New Roman"/>
                <w:bCs/>
                <w:color w:val="000000" w:themeColor="text1"/>
                <w:sz w:val="24"/>
                <w:szCs w:val="24"/>
                <w14:textFill>
                  <w14:solidFill>
                    <w14:schemeClr w14:val="tx1"/>
                  </w14:solidFill>
                </w14:textFill>
              </w:rPr>
              <w:t>生活污水经三级化粪池处理后</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通过市政污水管网排入长泰西区污水处理厂处理。鉴于生活污水排放量较少，</w:t>
            </w:r>
            <w:r>
              <w:rPr>
                <w:rFonts w:hint="eastAsia" w:ascii="Times New Roman" w:hAnsi="Times New Roman" w:eastAsia="宋体" w:cs="Times New Roman"/>
                <w:bCs/>
                <w:color w:val="000000" w:themeColor="text1"/>
                <w:sz w:val="24"/>
                <w:szCs w:val="24"/>
                <w:lang w:eastAsia="zh-CN"/>
                <w14:textFill>
                  <w14:solidFill>
                    <w14:schemeClr w14:val="tx1"/>
                  </w14:solidFill>
                </w14:textFill>
              </w:rPr>
              <w:t>根据漳州市环境保护局专题会议纪要【2010】1号“关于加快建设项目竣工环保验收有关问题会议纪要”。</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污水排放量小于10t/d，且经过三级化粪池处理，视为符合验收要求故本次验收不对生活污水进行检测</w:t>
            </w:r>
            <w:r>
              <w:rPr>
                <w:rFonts w:hint="eastAsia" w:ascii="Times New Roman" w:hAnsi="Times New Roman" w:eastAsia="宋体" w:cs="Times New Roman"/>
                <w:kern w:val="2"/>
                <w:sz w:val="24"/>
                <w:szCs w:val="24"/>
                <w:lang w:val="en-US" w:eastAsia="zh-CN" w:bidi="ar-SA"/>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（2）废气</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烘干房废气</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通过“</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水喷淋+活性炭+UV光解</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”处理设施处理</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经监测，非甲烷总烃排放满足DB35/1782-2018《工业企业挥发性有机物排放标准》中的表1标准；无组织废气颗粒物排放满足GB16297-1996《大气污染物综合排放标准》无组织排放监控浓度限值要求；非甲烷总烃排放满足DB35/1782-2018《工业企业挥发性有机物排放标准》中的表3标准。</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szCs w:val="24"/>
                <w14:textFill>
                  <w14:solidFill>
                    <w14:schemeClr w14:val="tx1"/>
                  </w14:solidFill>
                </w14:textFill>
              </w:rPr>
              <w:t>项目噪声符合</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《工业企业厂界环境噪声排放标准》（GB12348-2008）的</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类标准</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，即昼间≤65</w:t>
            </w:r>
            <w:r>
              <w:rPr>
                <w:rFonts w:hint="eastAsia" w:ascii="Times New Roman" w:hAnsi="Times New Roman" w:eastAsia="宋体" w:cs="Times New Roman"/>
                <w:bCs/>
                <w:color w:val="000000" w:themeColor="text1"/>
                <w:sz w:val="24"/>
                <w:szCs w:val="24"/>
                <w14:textFill>
                  <w14:solidFill>
                    <w14:schemeClr w14:val="tx1"/>
                  </w14:solidFill>
                </w14:textFill>
              </w:rPr>
              <w:t>dB(A)</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，夜间≤55</w:t>
            </w:r>
            <w:r>
              <w:rPr>
                <w:rFonts w:hint="eastAsia" w:ascii="Times New Roman" w:hAnsi="Times New Roman" w:eastAsia="宋体" w:cs="Times New Roman"/>
                <w:bCs/>
                <w:color w:val="000000" w:themeColor="text1"/>
                <w:sz w:val="24"/>
                <w:szCs w:val="24"/>
                <w14:textFill>
                  <w14:solidFill>
                    <w14:schemeClr w14:val="tx1"/>
                  </w14:solidFill>
                </w14:textFill>
              </w:rPr>
              <w:t>dB(A)</w:t>
            </w:r>
            <w:r>
              <w:rPr>
                <w:rFonts w:hint="default" w:ascii="Times New Roman" w:hAnsi="Times New Roman" w:eastAsia="宋体" w:cs="Times New Roman"/>
                <w:bCs/>
                <w:color w:val="000000" w:themeColor="text1"/>
                <w:sz w:val="24"/>
                <w:szCs w:val="24"/>
                <w14:textFill>
                  <w14:solidFill>
                    <w14:schemeClr w14:val="tx1"/>
                  </w14:solidFill>
                </w14:textFill>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（4）固废</w:t>
            </w:r>
          </w:p>
          <w:p>
            <w:pPr>
              <w:widowControl/>
              <w:spacing w:line="360" w:lineRule="auto"/>
              <w:ind w:firstLine="480" w:firstLineChars="200"/>
              <w:jc w:val="both"/>
              <w:rPr>
                <w:rFonts w:hint="eastAsia" w:ascii="Times New Roman" w:hAnsi="Times New Roman" w:eastAsia="宋体" w:cs="Times New Roman"/>
                <w:bCs/>
                <w:color w:val="0000FF"/>
                <w:sz w:val="24"/>
                <w:szCs w:val="24"/>
              </w:rPr>
            </w:pPr>
            <w:r>
              <w:rPr>
                <w:rFonts w:hint="default" w:ascii="Times New Roman" w:hAnsi="Times New Roman" w:eastAsia="宋体" w:cs="Times New Roman"/>
                <w:bCs/>
                <w:color w:val="000000" w:themeColor="text1"/>
                <w:sz w:val="24"/>
                <w:szCs w:val="24"/>
                <w14:textFill>
                  <w14:solidFill>
                    <w14:schemeClr w14:val="tx1"/>
                  </w14:solidFill>
                </w14:textFill>
              </w:rPr>
              <w:t>环保竣工验收监测期间</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本项目主要固体废物为生产固废、生活垃圾以及废润滑油、油桶。① 生活垃圾：项目运营期生活垃圾产生量为3</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ascii="Times New Roman" w:hAnsi="Times New Roman" w:eastAsia="宋体" w:cs="Times New Roman"/>
                <w:color w:val="000000" w:themeColor="text1"/>
                <w:sz w:val="24"/>
                <w:lang w:val="en-US" w:eastAsia="zh-CN"/>
                <w14:textFill>
                  <w14:solidFill>
                    <w14:schemeClr w14:val="tx1"/>
                  </w14:solidFill>
                </w14:textFill>
              </w:rPr>
              <w:t xml:space="preserve">。生活垃圾集中收集后统一由环卫部门处置，对项目周边影响小。 </w:t>
            </w:r>
            <w:r>
              <w:rPr>
                <w:rFonts w:hint="default" w:ascii="Times New Roman" w:hAnsi="Times New Roman" w:eastAsia="宋体" w:cs="Times New Roman"/>
                <w:color w:val="000000" w:themeColor="text1"/>
                <w:sz w:val="24"/>
                <w:lang w:val="en-US" w:eastAsia="zh-CN"/>
                <w14:textFill>
                  <w14:solidFill>
                    <w14:schemeClr w14:val="tx1"/>
                  </w14:solidFill>
                </w14:textFill>
              </w:rPr>
              <w:t xml:space="preserve">② </w:t>
            </w:r>
            <w:r>
              <w:rPr>
                <w:rFonts w:hint="eastAsia" w:ascii="Times New Roman" w:hAnsi="Times New Roman" w:eastAsia="宋体" w:cs="Times New Roman"/>
                <w:color w:val="000000" w:themeColor="text1"/>
                <w:sz w:val="24"/>
                <w:lang w:val="en-US" w:eastAsia="zh-CN"/>
                <w14:textFill>
                  <w14:solidFill>
                    <w14:schemeClr w14:val="tx1"/>
                  </w14:solidFill>
                </w14:textFill>
              </w:rPr>
              <w:t>生产固废：本项目生产过程中产生的固体废物量为，分类收集后，大</w:t>
            </w:r>
            <w:r>
              <w:rPr>
                <w:rFonts w:hint="eastAsia" w:ascii="Times New Roman" w:hAnsi="Times New Roman" w:eastAsia="宋体" w:cs="Times New Roman"/>
                <w:color w:val="auto"/>
                <w:sz w:val="24"/>
                <w:lang w:val="en-US" w:eastAsia="zh-CN"/>
              </w:rPr>
              <w:t>部分直接回用于吸塑工序，无法回用于生产的则出售给相关废品回收单位。③废润滑油、油桶：本项目产品烘干工序前需要在表面涂抹一层润滑油，产生的废润滑油、油桶属于危险废物，集中收集暂存于危废间，待一定量后委托有资质的处置。</w:t>
            </w:r>
          </w:p>
          <w:bookmarkEnd w:id="7"/>
          <w:p>
            <w:pPr>
              <w:pStyle w:val="28"/>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污染物排放总量核算</w:t>
            </w:r>
          </w:p>
          <w:p>
            <w:pPr>
              <w:pStyle w:val="28"/>
              <w:spacing w:line="360" w:lineRule="auto"/>
              <w:ind w:firstLine="480" w:firstLineChars="200"/>
              <w:jc w:val="both"/>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环保竣工验收监测期间</w:t>
            </w:r>
            <w:r>
              <w:rPr>
                <w:rFonts w:hint="eastAsia"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ascii="Times New Roman" w:hAnsi="Times New Roman" w:cs="Times New Roman"/>
                <w:color w:val="000000" w:themeColor="text1"/>
                <w:lang w:val="en-US" w:eastAsia="zh-CN"/>
                <w14:textFill>
                  <w14:solidFill>
                    <w14:schemeClr w14:val="tx1"/>
                  </w14:solidFill>
                </w14:textFill>
              </w:rPr>
              <w:t>外排废水主要为生活污水，生活污水</w:t>
            </w:r>
            <w:r>
              <w:rPr>
                <w:rFonts w:hint="default" w:ascii="Times New Roman" w:hAnsi="Times New Roman" w:cs="Times New Roman"/>
                <w:color w:val="000000" w:themeColor="text1"/>
                <w:lang w:val="en-US" w:eastAsia="zh-CN"/>
                <w14:textFill>
                  <w14:solidFill>
                    <w14:schemeClr w14:val="tx1"/>
                  </w14:solidFill>
                </w14:textFill>
              </w:rPr>
              <w:t>经厂区配套化粪池预处理</w:t>
            </w:r>
            <w:r>
              <w:rPr>
                <w:rFonts w:hint="eastAsia" w:ascii="Times New Roman" w:hAnsi="Times New Roman" w:cs="Times New Roman"/>
                <w:color w:val="000000" w:themeColor="text1"/>
                <w:lang w:val="en-US" w:eastAsia="zh-CN"/>
                <w14:textFill>
                  <w14:solidFill>
                    <w14:schemeClr w14:val="tx1"/>
                  </w14:solidFill>
                </w14:textFill>
              </w:rPr>
              <w:t>后</w:t>
            </w:r>
            <w:r>
              <w:rPr>
                <w:rFonts w:hint="default" w:ascii="Times New Roman" w:hAnsi="Times New Roman" w:cs="Times New Roman"/>
                <w:color w:val="000000" w:themeColor="text1"/>
                <w:lang w:val="en-US" w:eastAsia="zh-CN"/>
                <w14:textFill>
                  <w14:solidFill>
                    <w14:schemeClr w14:val="tx1"/>
                  </w14:solidFill>
                </w14:textFill>
              </w:rPr>
              <w:t>排入市政污水管网，由</w:t>
            </w:r>
            <w:r>
              <w:rPr>
                <w:rFonts w:hint="eastAsia" w:ascii="Times New Roman" w:hAnsi="Times New Roman" w:cs="Times New Roman"/>
                <w:color w:val="000000" w:themeColor="text1"/>
                <w:lang w:val="en-US" w:eastAsia="zh-CN"/>
                <w14:textFill>
                  <w14:solidFill>
                    <w14:schemeClr w14:val="tx1"/>
                  </w14:solidFill>
                </w14:textFill>
              </w:rPr>
              <w:t>长泰西区</w:t>
            </w:r>
            <w:r>
              <w:rPr>
                <w:rFonts w:hint="default" w:ascii="Times New Roman" w:hAnsi="Times New Roman" w:cs="Times New Roman"/>
                <w:color w:val="000000" w:themeColor="text1"/>
                <w:lang w:val="en-US" w:eastAsia="zh-CN"/>
                <w14:textFill>
                  <w14:solidFill>
                    <w14:schemeClr w14:val="tx1"/>
                  </w14:solidFill>
                </w14:textFill>
              </w:rPr>
              <w:t>污水处理厂处理，</w:t>
            </w:r>
            <w:r>
              <w:rPr>
                <w:rFonts w:hint="eastAsia" w:ascii="Times New Roman" w:hAnsi="Times New Roman" w:cs="Times New Roman"/>
                <w:color w:val="000000" w:themeColor="text1"/>
                <w:lang w:val="en-US" w:eastAsia="zh-CN"/>
                <w14:textFill>
                  <w14:solidFill>
                    <w14:schemeClr w14:val="tx1"/>
                  </w14:solidFill>
                </w14:textFill>
              </w:rPr>
              <w:t>因此项目生活污水不需购买相应的排污交易权指标，</w:t>
            </w:r>
            <w:r>
              <w:rPr>
                <w:rFonts w:hint="default" w:ascii="Times New Roman" w:hAnsi="Times New Roman" w:cs="Times New Roman"/>
                <w:color w:val="000000" w:themeColor="text1"/>
                <w:lang w:val="en-US" w:eastAsia="zh-CN"/>
                <w14:textFill>
                  <w14:solidFill>
                    <w14:schemeClr w14:val="tx1"/>
                  </w14:solidFill>
                </w14:textFill>
              </w:rPr>
              <w:t>不纳入建设项目主要污染物排放总量指标管理范围</w:t>
            </w:r>
            <w:r>
              <w:rPr>
                <w:rFonts w:hint="eastAsia" w:ascii="Times New Roman" w:hAnsi="Times New Roman" w:cs="Times New Roman"/>
                <w:color w:val="000000" w:themeColor="text1"/>
                <w:lang w:val="en-US" w:eastAsia="zh-CN"/>
                <w14:textFill>
                  <w14:solidFill>
                    <w14:schemeClr w14:val="tx1"/>
                  </w14:solidFill>
                </w14:textFill>
              </w:rPr>
              <w:t>。本项目验收期间外排废气非甲烷总烃排放量为</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0.029</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t/a</w:t>
            </w:r>
            <w:r>
              <w:rPr>
                <w:rFonts w:hint="eastAsia" w:ascii="Times New Roman" w:hAnsi="Times New Roman" w:eastAsia="宋体" w:cs="Times New Roman"/>
                <w:color w:val="000000" w:themeColor="text1"/>
                <w:sz w:val="24"/>
                <w:lang w:eastAsia="zh-CN"/>
                <w14:textFill>
                  <w14:solidFill>
                    <w14:schemeClr w14:val="tx1"/>
                  </w14:solidFill>
                </w14:textFill>
              </w:rPr>
              <w:t>。</w:t>
            </w:r>
          </w:p>
          <w:p>
            <w:pPr>
              <w:pStyle w:val="20"/>
              <w:widowControl w:val="0"/>
              <w:spacing w:line="360" w:lineRule="auto"/>
              <w:ind w:left="0" w:leftChars="0" w:firstLine="480" w:firstLineChars="200"/>
              <w:jc w:val="both"/>
              <w:rPr>
                <w:rFonts w:ascii="Times New Roman" w:hAnsi="Times New Roman" w:eastAsia="宋体" w:cs="Times New Roman"/>
                <w:bCs/>
                <w:color w:val="0000FF"/>
                <w:szCs w:val="24"/>
              </w:rPr>
            </w:pP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后续要求：</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验收结论：</w:t>
            </w:r>
          </w:p>
          <w:p>
            <w:pPr>
              <w:pStyle w:val="28"/>
              <w:spacing w:line="360" w:lineRule="auto"/>
              <w:ind w:firstLine="482" w:firstLineChars="200"/>
              <w:jc w:val="both"/>
              <w:rPr>
                <w:rFonts w:ascii="Times New Roman" w:hAnsi="Times New Roman" w:cs="Times New Roman"/>
                <w:color w:val="auto"/>
                <w:sz w:val="21"/>
                <w:szCs w:val="21"/>
              </w:rPr>
            </w:pPr>
            <w:r>
              <w:rPr>
                <w:rFonts w:ascii="Times New Roman" w:hAnsi="Times New Roman" w:cs="Times New Roman"/>
                <w:b/>
                <w:bCs/>
                <w:color w:val="auto"/>
              </w:rPr>
              <w:t>根据验收监测报告及现场踏看结果，</w:t>
            </w:r>
            <w:r>
              <w:rPr>
                <w:rFonts w:hint="eastAsia" w:ascii="Times New Roman" w:hAnsi="Times New Roman" w:cs="Times New Roman"/>
                <w:b/>
                <w:bCs/>
                <w:color w:val="auto"/>
                <w:lang w:val="en-US" w:eastAsia="zh-CN"/>
              </w:rPr>
              <w:t>长泰中原保温材料有限公司年产岩棉制品10000立方米和复合硅酸盐保温制品3000立方米建设项目</w:t>
            </w:r>
            <w:r>
              <w:rPr>
                <w:rFonts w:ascii="Times New Roman" w:hAnsi="Times New Roman" w:cs="Times New Roman"/>
                <w:b/>
                <w:bCs/>
                <w:color w:val="auto"/>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auto"/>
              </w:rPr>
              <w:t>。</w:t>
            </w:r>
          </w:p>
          <w:p>
            <w:pPr>
              <w:pStyle w:val="28"/>
              <w:spacing w:line="360" w:lineRule="auto"/>
              <w:jc w:val="right"/>
              <w:rPr>
                <w:rFonts w:ascii="Times New Roman" w:hAnsi="Times New Roman" w:cs="Times New Roman"/>
                <w:color w:val="0000FF"/>
                <w:sz w:val="21"/>
                <w:szCs w:val="21"/>
              </w:rPr>
            </w:pPr>
          </w:p>
        </w:tc>
      </w:tr>
    </w:tbl>
    <w:p>
      <w:pPr>
        <w:pStyle w:val="28"/>
        <w:rPr>
          <w:rFonts w:ascii="Times New Roman" w:hAnsi="Times New Roman" w:cs="Times New Roman"/>
          <w:color w:val="0000FF"/>
        </w:rPr>
        <w:sectPr>
          <w:pgSz w:w="11906" w:h="16838"/>
          <w:pgMar w:top="1440" w:right="1440" w:bottom="1440" w:left="1701" w:header="709" w:footer="709" w:gutter="0"/>
          <w:cols w:space="0" w:num="1"/>
          <w:docGrid w:linePitch="312" w:charSpace="0"/>
        </w:sectPr>
      </w:pPr>
    </w:p>
    <w:tbl>
      <w:tblPr>
        <w:tblStyle w:val="21"/>
        <w:tblpPr w:leftFromText="180" w:rightFromText="180" w:vertAnchor="page" w:horzAnchor="page" w:tblpXSpec="center" w:tblpY="843"/>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265"/>
        <w:gridCol w:w="1132"/>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jc w:val="center"/>
              <w:textAlignment w:val="center"/>
              <w:rPr>
                <w:rFonts w:ascii="Times New Roman" w:hAnsi="Times New Roman" w:eastAsia="宋体" w:cs="Times New Roman"/>
                <w:b/>
                <w:color w:val="auto"/>
                <w:sz w:val="18"/>
                <w:szCs w:val="18"/>
              </w:rPr>
            </w:pPr>
            <w:r>
              <w:rPr>
                <w:rFonts w:ascii="Times New Roman" w:hAnsi="Times New Roman" w:eastAsia="宋体" w:cs="Times New Roman"/>
                <w:b/>
                <w:color w:val="auto"/>
                <w:sz w:val="18"/>
                <w:szCs w:val="18"/>
              </w:rPr>
              <w:t>建设项目工程竣工环境保护“三同时”验收登记表</w:t>
            </w:r>
          </w:p>
          <w:p>
            <w:pPr>
              <w:autoSpaceDN w:val="0"/>
              <w:ind w:firstLine="720" w:firstLineChars="400"/>
              <w:jc w:val="both"/>
              <w:textAlignment w:val="center"/>
              <w:rPr>
                <w:rFonts w:ascii="Times New Roman" w:hAnsi="Times New Roman" w:eastAsia="宋体" w:cs="Times New Roman"/>
                <w:b/>
                <w:color w:val="auto"/>
                <w:sz w:val="18"/>
                <w:szCs w:val="18"/>
              </w:rPr>
            </w:pPr>
            <w:r>
              <w:rPr>
                <w:rFonts w:ascii="Times New Roman" w:hAnsi="Times New Roman" w:eastAsia="宋体" w:cs="Times New Roman"/>
                <w:color w:val="auto"/>
                <w:sz w:val="18"/>
                <w:szCs w:val="18"/>
              </w:rPr>
              <w:t>填表单位（盖章）：</w:t>
            </w:r>
            <w:r>
              <w:rPr>
                <w:rFonts w:hint="eastAsia" w:ascii="Times New Roman" w:hAnsi="Times New Roman" w:eastAsia="宋体" w:cs="Times New Roman"/>
                <w:color w:val="auto"/>
                <w:sz w:val="18"/>
                <w:szCs w:val="18"/>
                <w:lang w:val="en-US" w:eastAsia="zh-CN"/>
              </w:rPr>
              <w:t>长泰中原保温材料有限公司</w:t>
            </w:r>
            <w:r>
              <w:rPr>
                <w:rFonts w:ascii="Times New Roman" w:hAnsi="Times New Roman" w:eastAsia="宋体" w:cs="Times New Roman"/>
                <w:color w:val="auto"/>
                <w:sz w:val="18"/>
                <w:szCs w:val="18"/>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clear" w:color="auto" w:fill="C0C0C0"/>
              </w:rPr>
            </w:pPr>
            <w:r>
              <w:rPr>
                <w:rFonts w:ascii="Times New Roman" w:hAnsi="Times New Roman" w:eastAsia="宋体" w:cs="Times New Roman"/>
                <w:color w:val="auto"/>
                <w:sz w:val="18"/>
                <w:szCs w:val="18"/>
                <w:shd w:val="solid" w:color="FFFFFF" w:themeColor="background1" w:fill="FFFFFF" w:themeFill="background1"/>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40" w:lineRule="auto"/>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年产岩棉制品10000立方米和复合硅酸盐保温制品3000立方米建设项目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长泰古农农场银塘工业区</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C3135</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5"/>
              <w:spacing w:line="240" w:lineRule="auto"/>
              <w:jc w:val="center"/>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年产岩棉制品10000立方米和复合硅酸盐保温制品3000立方米</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总规模</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5"/>
              <w:spacing w:line="240" w:lineRule="auto"/>
              <w:jc w:val="center"/>
              <w:rPr>
                <w:rFonts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年产岩棉制品10000立方米和复合硅酸盐保温制品3000立方米</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厦门新绿色环境发展</w:t>
            </w:r>
            <w:r>
              <w:rPr>
                <w:rFonts w:ascii="Times New Roman" w:hAnsi="Times New Roman" w:eastAsia="宋体" w:cs="Times New Roman"/>
                <w:color w:val="auto"/>
                <w:sz w:val="18"/>
                <w:szCs w:val="18"/>
              </w:rPr>
              <w:t>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漳州市长泰</w:t>
            </w:r>
            <w:r>
              <w:rPr>
                <w:rFonts w:hint="eastAsia" w:ascii="Times New Roman" w:hAnsi="Times New Roman" w:eastAsia="宋体" w:cs="Times New Roman"/>
                <w:color w:val="auto"/>
                <w:sz w:val="18"/>
                <w:szCs w:val="18"/>
              </w:rPr>
              <w:t>生态环境</w:t>
            </w:r>
            <w:r>
              <w:rPr>
                <w:rFonts w:ascii="Times New Roman" w:hAnsi="Times New Roman" w:eastAsia="宋体" w:cs="Times New Roman"/>
                <w:color w:val="auto"/>
                <w:sz w:val="18"/>
                <w:szCs w:val="18"/>
              </w:rPr>
              <w:t>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审批文号</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vertAlign w:val="baseline"/>
                <w:lang w:val="en-US" w:eastAsia="zh-CN"/>
              </w:rPr>
              <w:t>无文号</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w:t>
            </w:r>
            <w:r>
              <w:rPr>
                <w:rFonts w:hint="eastAsia" w:ascii="Times New Roman" w:hAnsi="Times New Roman" w:eastAsia="宋体" w:cs="Times New Roman"/>
                <w:color w:val="auto"/>
                <w:sz w:val="18"/>
                <w:szCs w:val="18"/>
                <w:lang w:val="en-US" w:eastAsia="zh-CN"/>
              </w:rPr>
              <w:t>05</w:t>
            </w:r>
            <w:r>
              <w:rPr>
                <w:rFonts w:ascii="Times New Roman" w:hAnsi="Times New Roman" w:eastAsia="宋体" w:cs="Times New Roman"/>
                <w:color w:val="auto"/>
                <w:sz w:val="18"/>
                <w:szCs w:val="18"/>
              </w:rPr>
              <w:t>年</w:t>
            </w:r>
            <w:r>
              <w:rPr>
                <w:rFonts w:hint="eastAsia" w:ascii="Times New Roman" w:hAnsi="Times New Roman" w:eastAsia="宋体" w:cs="Times New Roman"/>
                <w:color w:val="auto"/>
                <w:sz w:val="18"/>
                <w:szCs w:val="18"/>
                <w:lang w:val="en-US" w:eastAsia="zh-CN"/>
              </w:rPr>
              <w:t>7</w:t>
            </w:r>
            <w:r>
              <w:rPr>
                <w:rFonts w:ascii="Times New Roman" w:hAnsi="Times New Roman" w:eastAsia="宋体" w:cs="Times New Roman"/>
                <w:color w:val="auto"/>
                <w:sz w:val="18"/>
                <w:szCs w:val="18"/>
              </w:rPr>
              <w:t>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竣工日期</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w:t>
            </w:r>
            <w:r>
              <w:rPr>
                <w:rFonts w:hint="eastAsia" w:ascii="Times New Roman" w:hAnsi="Times New Roman" w:eastAsia="宋体" w:cs="Times New Roman"/>
                <w:color w:val="auto"/>
                <w:sz w:val="18"/>
                <w:szCs w:val="18"/>
                <w:lang w:val="en-US" w:eastAsia="zh-CN"/>
              </w:rPr>
              <w:t>05</w:t>
            </w:r>
            <w:r>
              <w:rPr>
                <w:rFonts w:ascii="Times New Roman" w:hAnsi="Times New Roman" w:eastAsia="宋体" w:cs="Times New Roman"/>
                <w:color w:val="auto"/>
                <w:sz w:val="18"/>
                <w:szCs w:val="18"/>
              </w:rPr>
              <w:t>年</w:t>
            </w:r>
            <w:r>
              <w:rPr>
                <w:rFonts w:hint="eastAsia" w:ascii="Times New Roman" w:hAnsi="Times New Roman" w:eastAsia="宋体" w:cs="Times New Roman"/>
                <w:color w:val="auto"/>
                <w:sz w:val="18"/>
                <w:szCs w:val="18"/>
                <w:lang w:val="en-US" w:eastAsia="zh-CN"/>
              </w:rPr>
              <w:t>12</w:t>
            </w:r>
            <w:r>
              <w:rPr>
                <w:rFonts w:ascii="Times New Roman" w:hAnsi="Times New Roman" w:eastAsia="宋体" w:cs="Times New Roman"/>
                <w:color w:val="auto"/>
                <w:sz w:val="18"/>
                <w:szCs w:val="18"/>
              </w:rPr>
              <w:t>月</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漳州润和环保科技有限公司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环保设施施工单位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漳州润和环保科技有限公司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长泰中原保温材料有限公司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环保设施监测单位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厦门科仪检测技术有限公司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环保投资总概算（万元）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10</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5</w:t>
            </w:r>
            <w:r>
              <w:rPr>
                <w:rFonts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实际环保投资（万元）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10</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5</w:t>
            </w:r>
            <w:r>
              <w:rPr>
                <w:rFonts w:ascii="Times New Roman" w:hAnsi="Times New Roman" w:eastAsia="宋体" w:cs="Times New Roman"/>
                <w:color w:val="auto"/>
                <w:sz w:val="18"/>
                <w:szCs w:val="18"/>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固体废物治理（万元）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0</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0</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新增废气处理设施能力</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3600</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lang w:val="en-US" w:eastAsia="zh-CN"/>
              </w:rPr>
              <w:t>长泰中原保温材料有限公司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运营单位社会统一信用代码（或组织机构代码）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rPr>
              <w:t>91350625777501760X</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rPr>
              <w:t>2020.</w:t>
            </w:r>
            <w:r>
              <w:rPr>
                <w:rFonts w:hint="eastAsia" w:ascii="Times New Roman" w:hAnsi="Times New Roman" w:eastAsia="宋体" w:cs="Times New Roman"/>
                <w:color w:val="auto"/>
                <w:sz w:val="18"/>
                <w:szCs w:val="18"/>
                <w:shd w:val="solid" w:color="FFFFFF" w:themeColor="background1" w:fill="FFFFFF" w:themeFill="background1"/>
                <w:lang w:val="en-US" w:eastAsia="zh-CN"/>
              </w:rPr>
              <w:t>8.17</w:t>
            </w: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物排</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放达</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标与</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控制</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（工</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业建</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设项</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目详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原有排放量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本期工程允许排放浓度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本期工程产生量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本期工程自身削减量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（7）</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本期工程“以新带老”削减量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（8）</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全厂实际排放总量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区域平衡替代削减量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排放增</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78"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石油类</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797.22</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甲醛</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0.0029</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0000FF"/>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w:t>
            </w:r>
          </w:p>
        </w:tc>
      </w:tr>
    </w:tbl>
    <w:p>
      <w:pPr>
        <w:pStyle w:val="28"/>
        <w:rPr>
          <w:rFonts w:ascii="Times New Roman" w:hAnsi="Times New Roman" w:cs="Times New Roman"/>
          <w:color w:val="auto"/>
        </w:rPr>
        <w:sectPr>
          <w:pgSz w:w="16838" w:h="11906" w:orient="landscape"/>
          <w:pgMar w:top="1701" w:right="1440" w:bottom="1440" w:left="1440" w:header="709" w:footer="709" w:gutter="0"/>
          <w:cols w:space="0" w:num="1"/>
          <w:docGrid w:linePitch="312" w:charSpace="0"/>
        </w:sectPr>
      </w:pPr>
      <w:r>
        <w:rPr>
          <w:rFonts w:ascii="Times New Roman" w:hAnsi="Times New Roman" w:cs="Times New Roman"/>
          <w:color w:val="auto"/>
          <w:sz w:val="18"/>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0"/>
        <w:ind w:firstLine="0"/>
        <w:jc w:val="both"/>
        <w:outlineLvl w:val="1"/>
        <w:rPr>
          <w:rFonts w:ascii="Times New Roman" w:hAnsi="Times New Roman" w:eastAsia="宋体" w:cs="Times New Roman"/>
          <w:color w:val="auto"/>
          <w:sz w:val="28"/>
          <w:szCs w:val="24"/>
        </w:rPr>
      </w:pPr>
      <w:r>
        <w:rPr>
          <w:rFonts w:ascii="Times New Roman" w:hAnsi="Times New Roman" w:eastAsia="宋体" w:cs="Times New Roman"/>
          <w:color w:val="auto"/>
          <w:sz w:val="28"/>
          <w:szCs w:val="24"/>
        </w:rPr>
        <w:t>附图1：项目地理位置图</w:t>
      </w:r>
    </w:p>
    <w:p>
      <w:pPr>
        <w:pStyle w:val="20"/>
        <w:ind w:firstLine="0"/>
        <w:rPr>
          <w:color w:val="0000FF"/>
        </w:rPr>
      </w:pPr>
      <w:r>
        <w:rPr>
          <w:color w:val="0000FF"/>
          <w:sz w:val="28"/>
        </w:rPr>
        <mc:AlternateContent>
          <mc:Choice Requires="wps">
            <w:drawing>
              <wp:anchor distT="0" distB="0" distL="114300" distR="114300" simplePos="0" relativeHeight="3300084736" behindDoc="0" locked="0" layoutInCell="1" allowOverlap="1">
                <wp:simplePos x="0" y="0"/>
                <wp:positionH relativeFrom="column">
                  <wp:posOffset>2481580</wp:posOffset>
                </wp:positionH>
                <wp:positionV relativeFrom="paragraph">
                  <wp:posOffset>5031105</wp:posOffset>
                </wp:positionV>
                <wp:extent cx="819785" cy="286385"/>
                <wp:effectExtent l="340360" t="6350" r="20955" b="393065"/>
                <wp:wrapNone/>
                <wp:docPr id="40" name="矩形标注 40"/>
                <wp:cNvGraphicFramePr/>
                <a:graphic xmlns:a="http://schemas.openxmlformats.org/drawingml/2006/main">
                  <a:graphicData uri="http://schemas.microsoft.com/office/word/2010/wordprocessingShape">
                    <wps:wsp>
                      <wps:cNvSpPr/>
                      <wps:spPr>
                        <a:xfrm>
                          <a:off x="0" y="0"/>
                          <a:ext cx="819785" cy="286385"/>
                        </a:xfrm>
                        <a:prstGeom prst="wedgeRectCallout">
                          <a:avLst>
                            <a:gd name="adj1" fmla="val -86321"/>
                            <a:gd name="adj2" fmla="val 1754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5.4pt;margin-top:396.15pt;height:22.55pt;width:64.55pt;z-index:-994882560;v-text-anchor:middle;mso-width-relative:page;mso-height-relative:page;" filled="f" stroked="t" coordsize="21600,21600" o:gfxdata="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qBHWV2QAAAAsBAAAP&#10;AAAAAAAAAAEAIAAAACIAAABkcnMvZG93bnJldi54bWxQSwECFAAUAAAACACHTuJAtjYX54kCAADu&#10;BAAADgAAAAAAAAABACAAAAAoAQAAZHJzL2Uyb0RvYy54bWxQSwUGAAAAAAYABgBZAQAAIwYAAAAA&#10;" adj="-7845,48708">
                <v:fill on="f" focussize="0,0"/>
                <v:stroke weight="1pt" color="#000000 [3213]" miterlimit="8" joinstyle="miter"/>
                <v:imagedata o:title=""/>
                <o:lock v:ext="edit" aspectratio="f"/>
                <v:textbox>
                  <w:txbxContent>
                    <w:p>
                      <w:pPr>
                        <w:jc w:val="center"/>
                        <w:rPr>
                          <w:rFonts w:hint="eastAsia" w:ascii="宋体" w:hAnsi="宋体" w:eastAsia="宋体" w:cs="宋体"/>
                          <w:b/>
                          <w:bCs/>
                          <w:color w:val="000000" w:themeColor="text1"/>
                          <w:lang w:val="en-US" w:eastAsia="zh-CN"/>
                          <w14:textFill>
                            <w14:solidFill>
                              <w14:schemeClr w14:val="tx1"/>
                            </w14:solidFill>
                          </w14:textFill>
                        </w:rPr>
                      </w:pPr>
                      <w:r>
                        <w:rPr>
                          <w:rFonts w:hint="eastAsia" w:ascii="宋体" w:hAnsi="宋体" w:eastAsia="宋体" w:cs="宋体"/>
                          <w:b/>
                          <w:bCs/>
                          <w:color w:val="000000" w:themeColor="text1"/>
                          <w:lang w:val="en-US" w:eastAsia="zh-CN"/>
                          <w14:textFill>
                            <w14:solidFill>
                              <w14:schemeClr w14:val="tx1"/>
                            </w14:solidFill>
                          </w14:textFill>
                        </w:rPr>
                        <w:t>本项目</w:t>
                      </w:r>
                    </w:p>
                  </w:txbxContent>
                </v:textbox>
              </v:shape>
            </w:pict>
          </mc:Fallback>
        </mc:AlternateContent>
      </w:r>
      <w:r>
        <w:rPr>
          <w:rFonts w:hint="default" w:ascii="Times New Roman" w:hAnsi="Times New Roman" w:eastAsia="宋体" w:cs="Times New Roman"/>
          <w:bCs/>
          <w:color w:val="0000FF"/>
          <w:sz w:val="28"/>
          <w:szCs w:val="28"/>
          <w:lang w:val="en-US" w:eastAsia="zh-CN" w:bidi="ar-SA"/>
        </w:rPr>
        <w:drawing>
          <wp:inline distT="0" distB="0" distL="114300" distR="114300">
            <wp:extent cx="5205730" cy="8263255"/>
            <wp:effectExtent l="0" t="0" r="13970" b="4445"/>
            <wp:docPr id="15" name="图片 15" descr="chang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hangtai"/>
                    <pic:cNvPicPr>
                      <a:picLocks noChangeAspect="1"/>
                    </pic:cNvPicPr>
                  </pic:nvPicPr>
                  <pic:blipFill>
                    <a:blip r:embed="rId15"/>
                    <a:stretch>
                      <a:fillRect/>
                    </a:stretch>
                  </pic:blipFill>
                  <pic:spPr>
                    <a:xfrm>
                      <a:off x="0" y="0"/>
                      <a:ext cx="5205730" cy="8263255"/>
                    </a:xfrm>
                    <a:prstGeom prst="rect">
                      <a:avLst/>
                    </a:prstGeom>
                  </pic:spPr>
                </pic:pic>
              </a:graphicData>
            </a:graphic>
          </wp:inline>
        </w:drawing>
      </w:r>
    </w:p>
    <w:p>
      <w:pPr>
        <w:pStyle w:val="20"/>
        <w:ind w:firstLine="0"/>
        <w:rPr>
          <w:color w:val="0000FF"/>
        </w:rPr>
        <w:sectPr>
          <w:headerReference r:id="rId7" w:type="default"/>
          <w:footerReference r:id="rId8" w:type="default"/>
          <w:pgSz w:w="11906" w:h="16838"/>
          <w:pgMar w:top="1440" w:right="1440" w:bottom="1440" w:left="1701" w:header="709" w:footer="709" w:gutter="0"/>
          <w:cols w:space="0" w:num="1"/>
          <w:docGrid w:linePitch="312" w:charSpace="0"/>
        </w:sectPr>
      </w:pPr>
    </w:p>
    <w:p>
      <w:pPr>
        <w:pStyle w:val="20"/>
        <w:ind w:firstLine="0"/>
        <w:jc w:val="both"/>
        <w:outlineLvl w:val="1"/>
        <w:rPr>
          <w:rFonts w:ascii="Times New Roman" w:hAnsi="Times New Roman" w:eastAsia="宋体" w:cs="Times New Roman"/>
          <w:b/>
          <w:bCs/>
          <w:color w:val="000000" w:themeColor="text1"/>
          <w:sz w:val="28"/>
          <w:szCs w:val="24"/>
          <w14:textFill>
            <w14:solidFill>
              <w14:schemeClr w14:val="tx1"/>
            </w14:solidFill>
          </w14:textFill>
        </w:rPr>
      </w:pPr>
      <w:r>
        <w:rPr>
          <w:rFonts w:hint="eastAsia" w:ascii="Times New Roman" w:hAnsi="Times New Roman" w:eastAsia="宋体" w:cs="Times New Roman"/>
          <w:b/>
          <w:bCs/>
          <w:color w:val="000000" w:themeColor="text1"/>
          <w:sz w:val="28"/>
          <w:szCs w:val="24"/>
          <w14:textFill>
            <w14:solidFill>
              <w14:schemeClr w14:val="tx1"/>
            </w14:solidFill>
          </w14:textFill>
        </w:rPr>
        <w:t>附图2 项目周边环境示意图</w:t>
      </w:r>
    </w:p>
    <w:p>
      <w:pPr>
        <w:pStyle w:val="20"/>
        <w:ind w:firstLine="0"/>
        <w:jc w:val="both"/>
        <w:rPr>
          <w:color w:val="0000FF"/>
        </w:rPr>
      </w:pPr>
    </w:p>
    <w:p>
      <w:pPr>
        <w:pStyle w:val="20"/>
        <w:ind w:firstLine="0"/>
        <w:jc w:val="both"/>
        <w:rPr>
          <w:color w:val="0000FF"/>
        </w:rPr>
        <w:sectPr>
          <w:pgSz w:w="16838" w:h="11906" w:orient="landscape"/>
          <w:pgMar w:top="1417" w:right="1440" w:bottom="1440" w:left="1440" w:header="709" w:footer="709" w:gutter="0"/>
          <w:cols w:space="0" w:num="1"/>
          <w:docGrid w:linePitch="312" w:charSpace="0"/>
        </w:sectPr>
      </w:pPr>
      <w:r>
        <w:drawing>
          <wp:inline distT="0" distB="0" distL="114300" distR="114300">
            <wp:extent cx="8854440" cy="4523105"/>
            <wp:effectExtent l="0" t="0" r="3810"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8854440" cy="4523105"/>
                    </a:xfrm>
                    <a:prstGeom prst="rect">
                      <a:avLst/>
                    </a:prstGeom>
                    <a:noFill/>
                    <a:ln>
                      <a:noFill/>
                    </a:ln>
                  </pic:spPr>
                </pic:pic>
              </a:graphicData>
            </a:graphic>
          </wp:inline>
        </w:drawing>
      </w:r>
    </w:p>
    <w:p>
      <w:pPr>
        <w:pStyle w:val="20"/>
        <w:ind w:firstLine="0"/>
        <w:jc w:val="both"/>
        <w:rPr>
          <w:rFonts w:hint="eastAsia" w:ascii="Times New Roman" w:hAnsi="Times New Roman" w:eastAsia="宋体" w:cs="Times New Roman"/>
          <w:b/>
          <w:bCs/>
          <w:color w:val="0000FF"/>
          <w:sz w:val="28"/>
          <w:szCs w:val="24"/>
        </w:rPr>
      </w:pPr>
      <w:r>
        <w:rPr>
          <w:rFonts w:ascii="Times New Roman" w:hAnsi="Times New Roman" w:eastAsia="宋体" w:cs="Times New Roman"/>
          <w:b/>
          <w:bCs/>
          <w:color w:val="000000" w:themeColor="text1"/>
          <w:sz w:val="28"/>
          <w:szCs w:val="24"/>
          <w14:textFill>
            <w14:solidFill>
              <w14:schemeClr w14:val="tx1"/>
            </w14:solidFill>
          </w14:textFill>
        </w:rPr>
        <w:t>附图</w:t>
      </w:r>
      <w:r>
        <w:rPr>
          <w:rFonts w:hint="eastAsia" w:ascii="Times New Roman" w:hAnsi="Times New Roman" w:eastAsia="宋体" w:cs="Times New Roman"/>
          <w:b/>
          <w:bCs/>
          <w:color w:val="000000" w:themeColor="text1"/>
          <w:sz w:val="28"/>
          <w:szCs w:val="24"/>
          <w14:textFill>
            <w14:solidFill>
              <w14:schemeClr w14:val="tx1"/>
            </w14:solidFill>
          </w14:textFill>
        </w:rPr>
        <w:t>3</w:t>
      </w:r>
      <w:r>
        <w:rPr>
          <w:rFonts w:ascii="Times New Roman" w:hAnsi="Times New Roman" w:eastAsia="宋体" w:cs="Times New Roman"/>
          <w:b/>
          <w:bCs/>
          <w:color w:val="000000" w:themeColor="text1"/>
          <w:sz w:val="28"/>
          <w:szCs w:val="24"/>
          <w14:textFill>
            <w14:solidFill>
              <w14:schemeClr w14:val="tx1"/>
            </w14:solidFill>
          </w14:textFill>
        </w:rPr>
        <w:t>：</w:t>
      </w:r>
      <w:r>
        <w:rPr>
          <w:rFonts w:hint="eastAsia" w:ascii="Times New Roman" w:hAnsi="Times New Roman" w:eastAsia="宋体" w:cs="Times New Roman"/>
          <w:b/>
          <w:bCs/>
          <w:color w:val="000000" w:themeColor="text1"/>
          <w:sz w:val="28"/>
          <w:szCs w:val="24"/>
          <w14:textFill>
            <w14:solidFill>
              <w14:schemeClr w14:val="tx1"/>
            </w14:solidFill>
          </w14:textFill>
        </w:rPr>
        <w:t>厂区平面布置图</w:t>
      </w:r>
    </w:p>
    <w:p>
      <w:pPr>
        <w:pStyle w:val="20"/>
        <w:ind w:firstLine="0"/>
        <w:jc w:val="both"/>
        <w:rPr>
          <w:rFonts w:hint="eastAsia" w:eastAsia="楷体_GB2312"/>
          <w:b/>
          <w:bCs/>
          <w:color w:val="0000FF"/>
          <w:lang w:eastAsia="zh-CN"/>
        </w:rPr>
      </w:pPr>
      <w:r>
        <w:rPr>
          <w:rFonts w:hint="eastAsia" w:eastAsia="楷体_GB2312"/>
          <w:b/>
          <w:bCs/>
          <w:color w:val="0000FF"/>
          <w:lang w:eastAsia="zh-CN"/>
        </w:rPr>
        <w:drawing>
          <wp:inline distT="0" distB="0" distL="114300" distR="114300">
            <wp:extent cx="8829675" cy="4524375"/>
            <wp:effectExtent l="0" t="0" r="9525" b="9525"/>
            <wp:docPr id="7" name="图片 7" descr="中原 厂区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原 厂区平面布置图"/>
                    <pic:cNvPicPr>
                      <a:picLocks noChangeAspect="1"/>
                    </pic:cNvPicPr>
                  </pic:nvPicPr>
                  <pic:blipFill>
                    <a:blip r:embed="rId17"/>
                    <a:stretch>
                      <a:fillRect/>
                    </a:stretch>
                  </pic:blipFill>
                  <pic:spPr>
                    <a:xfrm>
                      <a:off x="0" y="0"/>
                      <a:ext cx="8829675" cy="4524375"/>
                    </a:xfrm>
                    <a:prstGeom prst="rect">
                      <a:avLst/>
                    </a:prstGeom>
                  </pic:spPr>
                </pic:pic>
              </a:graphicData>
            </a:graphic>
          </wp:inline>
        </w:drawing>
      </w:r>
    </w:p>
    <w:p>
      <w:pPr>
        <w:pStyle w:val="20"/>
        <w:ind w:firstLine="0"/>
        <w:jc w:val="both"/>
        <w:rPr>
          <w:rFonts w:hint="eastAsia" w:eastAsia="楷体_GB2312"/>
          <w:b/>
          <w:bCs/>
          <w:color w:val="0000FF"/>
          <w:lang w:eastAsia="zh-CN"/>
        </w:rPr>
      </w:pPr>
    </w:p>
    <w:p>
      <w:pPr>
        <w:pStyle w:val="20"/>
        <w:ind w:firstLine="0"/>
        <w:jc w:val="both"/>
        <w:rPr>
          <w:rFonts w:hint="eastAsia" w:eastAsia="楷体_GB2312"/>
          <w:b/>
          <w:bCs/>
          <w:color w:val="0000FF"/>
          <w:lang w:eastAsia="zh-CN"/>
        </w:rPr>
        <w:sectPr>
          <w:pgSz w:w="16838" w:h="11906" w:orient="landscape"/>
          <w:pgMar w:top="1417" w:right="1440" w:bottom="1440" w:left="1440" w:header="709" w:footer="709" w:gutter="0"/>
          <w:cols w:space="0" w:num="1"/>
          <w:docGrid w:linePitch="312" w:charSpace="0"/>
        </w:sectPr>
      </w:pPr>
    </w:p>
    <w:p>
      <w:pPr>
        <w:pStyle w:val="20"/>
        <w:ind w:firstLine="0"/>
        <w:jc w:val="both"/>
        <w:rPr>
          <w:rFonts w:hint="eastAsia" w:ascii="Times New Roman" w:hAnsi="Times New Roman" w:eastAsia="宋体" w:cs="Times New Roman"/>
          <w:b/>
          <w:bCs/>
          <w:color w:val="auto"/>
          <w:sz w:val="28"/>
          <w:szCs w:val="24"/>
          <w:lang w:val="en-US" w:eastAsia="zh-CN"/>
        </w:rPr>
      </w:pPr>
      <w:r>
        <w:rPr>
          <w:rFonts w:ascii="Times New Roman" w:hAnsi="Times New Roman" w:eastAsia="宋体" w:cs="Times New Roman"/>
          <w:b/>
          <w:bCs/>
          <w:color w:val="auto"/>
          <w:sz w:val="28"/>
          <w:szCs w:val="24"/>
        </w:rPr>
        <w:t>附图</w:t>
      </w:r>
      <w:r>
        <w:rPr>
          <w:rFonts w:hint="eastAsia" w:ascii="Times New Roman" w:hAnsi="Times New Roman" w:eastAsia="宋体" w:cs="Times New Roman"/>
          <w:b/>
          <w:bCs/>
          <w:color w:val="auto"/>
          <w:sz w:val="28"/>
          <w:szCs w:val="24"/>
          <w:lang w:val="en-US" w:eastAsia="zh-CN"/>
        </w:rPr>
        <w:t>4</w:t>
      </w:r>
      <w:r>
        <w:rPr>
          <w:rFonts w:ascii="Times New Roman" w:hAnsi="Times New Roman" w:eastAsia="宋体" w:cs="Times New Roman"/>
          <w:b/>
          <w:bCs/>
          <w:color w:val="auto"/>
          <w:sz w:val="28"/>
          <w:szCs w:val="24"/>
        </w:rPr>
        <w:t>：</w:t>
      </w:r>
      <w:r>
        <w:rPr>
          <w:rFonts w:hint="eastAsia" w:ascii="Times New Roman" w:hAnsi="Times New Roman" w:eastAsia="宋体" w:cs="Times New Roman"/>
          <w:b/>
          <w:bCs/>
          <w:color w:val="auto"/>
          <w:sz w:val="28"/>
          <w:szCs w:val="24"/>
          <w:lang w:val="en-US" w:eastAsia="zh-CN"/>
        </w:rPr>
        <w:t>现场采样照片</w:t>
      </w:r>
    </w:p>
    <w:p>
      <w:pPr>
        <w:pStyle w:val="20"/>
        <w:ind w:firstLine="0"/>
        <w:jc w:val="both"/>
        <w:rPr>
          <w:rFonts w:hint="eastAsia" w:ascii="Times New Roman" w:hAnsi="Times New Roman" w:eastAsia="宋体" w:cs="Times New Roman"/>
          <w:b/>
          <w:bCs/>
          <w:color w:val="0000FF"/>
          <w:sz w:val="28"/>
          <w:szCs w:val="24"/>
          <w:lang w:val="en-US" w:eastAsia="zh-CN"/>
        </w:rPr>
      </w:pPr>
      <w:r>
        <w:drawing>
          <wp:inline distT="0" distB="0" distL="114300" distR="114300">
            <wp:extent cx="5742940" cy="6884035"/>
            <wp:effectExtent l="0" t="0" r="1016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742940" cy="6884035"/>
                    </a:xfrm>
                    <a:prstGeom prst="rect">
                      <a:avLst/>
                    </a:prstGeom>
                    <a:noFill/>
                    <a:ln>
                      <a:noFill/>
                    </a:ln>
                  </pic:spPr>
                </pic:pic>
              </a:graphicData>
            </a:graphic>
          </wp:inline>
        </w:drawing>
      </w:r>
    </w:p>
    <w:p>
      <w:pPr>
        <w:pStyle w:val="20"/>
        <w:ind w:firstLine="0"/>
        <w:jc w:val="both"/>
        <w:rPr>
          <w:rFonts w:hint="default" w:ascii="Times New Roman" w:hAnsi="Times New Roman" w:eastAsia="宋体" w:cs="Times New Roman"/>
          <w:b/>
          <w:bCs/>
          <w:color w:val="0000FF"/>
          <w:sz w:val="28"/>
          <w:szCs w:val="24"/>
          <w:lang w:val="en-US" w:eastAsia="zh-CN"/>
        </w:rPr>
        <w:sectPr>
          <w:pgSz w:w="11906" w:h="16838"/>
          <w:pgMar w:top="1440" w:right="1440" w:bottom="1440" w:left="1417" w:header="709" w:footer="709" w:gutter="0"/>
          <w:cols w:space="0" w:num="1"/>
          <w:docGrid w:linePitch="312" w:charSpace="0"/>
        </w:sectPr>
      </w:pPr>
      <w:r>
        <w:drawing>
          <wp:inline distT="0" distB="0" distL="114300" distR="114300">
            <wp:extent cx="5745480" cy="7423150"/>
            <wp:effectExtent l="0" t="0" r="7620"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745480" cy="7423150"/>
                    </a:xfrm>
                    <a:prstGeom prst="rect">
                      <a:avLst/>
                    </a:prstGeom>
                    <a:noFill/>
                    <a:ln>
                      <a:noFill/>
                    </a:ln>
                  </pic:spPr>
                </pic:pic>
              </a:graphicData>
            </a:graphic>
          </wp:inline>
        </w:drawing>
      </w:r>
    </w:p>
    <w:p>
      <w:pPr>
        <w:pStyle w:val="20"/>
        <w:ind w:firstLine="0"/>
        <w:jc w:val="both"/>
        <w:outlineLvl w:val="1"/>
        <w:rPr>
          <w:rFonts w:ascii="Times New Roman" w:hAnsi="Times New Roman" w:eastAsia="宋体" w:cs="Times New Roman"/>
          <w:color w:val="000000" w:themeColor="text1"/>
          <w:sz w:val="28"/>
          <w:szCs w:val="24"/>
          <w14:textFill>
            <w14:solidFill>
              <w14:schemeClr w14:val="tx1"/>
            </w14:solidFill>
          </w14:textFill>
        </w:rPr>
      </w:pPr>
      <w:r>
        <w:rPr>
          <w:rFonts w:ascii="Times New Roman" w:hAnsi="Times New Roman" w:eastAsia="宋体" w:cs="Times New Roman"/>
          <w:color w:val="000000" w:themeColor="text1"/>
          <w:sz w:val="28"/>
          <w:szCs w:val="24"/>
          <w14:textFill>
            <w14:solidFill>
              <w14:schemeClr w14:val="tx1"/>
            </w14:solidFill>
          </w14:textFill>
        </w:rPr>
        <w:t>附件</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1</w:t>
      </w:r>
      <w:r>
        <w:rPr>
          <w:rFonts w:ascii="Times New Roman" w:hAnsi="Times New Roman" w:eastAsia="宋体" w:cs="Times New Roman"/>
          <w:color w:val="000000" w:themeColor="text1"/>
          <w:sz w:val="28"/>
          <w:szCs w:val="24"/>
          <w14:textFill>
            <w14:solidFill>
              <w14:schemeClr w14:val="tx1"/>
            </w14:solidFill>
          </w14:textFill>
        </w:rPr>
        <w:t>：环评批复</w:t>
      </w:r>
    </w:p>
    <w:p>
      <w:pPr>
        <w:pStyle w:val="20"/>
        <w:ind w:firstLine="0"/>
        <w:jc w:val="both"/>
        <w:outlineLvl w:val="1"/>
        <w:rPr>
          <w:rFonts w:hint="eastAsia" w:ascii="Times New Roman" w:hAnsi="Times New Roman" w:eastAsia="宋体" w:cs="Times New Roman"/>
          <w:color w:val="0000FF"/>
          <w:sz w:val="28"/>
          <w:szCs w:val="24"/>
          <w:lang w:eastAsia="zh-CN"/>
        </w:rPr>
      </w:pPr>
      <w:r>
        <w:rPr>
          <w:rFonts w:hint="eastAsia" w:ascii="Times New Roman" w:hAnsi="Times New Roman" w:eastAsia="宋体" w:cs="Times New Roman"/>
          <w:color w:val="0000FF"/>
          <w:sz w:val="28"/>
          <w:szCs w:val="24"/>
          <w:lang w:eastAsia="zh-CN"/>
        </w:rPr>
        <w:drawing>
          <wp:inline distT="0" distB="0" distL="114300" distR="114300">
            <wp:extent cx="5565140" cy="7420610"/>
            <wp:effectExtent l="0" t="0" r="16510" b="8890"/>
            <wp:docPr id="10" name="图片 10" descr="a74cb0be03dbfb548e5310687cbf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74cb0be03dbfb548e5310687cbf40a"/>
                    <pic:cNvPicPr>
                      <a:picLocks noChangeAspect="1"/>
                    </pic:cNvPicPr>
                  </pic:nvPicPr>
                  <pic:blipFill>
                    <a:blip r:embed="rId20"/>
                    <a:stretch>
                      <a:fillRect/>
                    </a:stretch>
                  </pic:blipFill>
                  <pic:spPr>
                    <a:xfrm>
                      <a:off x="0" y="0"/>
                      <a:ext cx="5565140" cy="7420610"/>
                    </a:xfrm>
                    <a:prstGeom prst="rect">
                      <a:avLst/>
                    </a:prstGeom>
                  </pic:spPr>
                </pic:pic>
              </a:graphicData>
            </a:graphic>
          </wp:inline>
        </w:drawing>
      </w:r>
    </w:p>
    <w:p>
      <w:pPr>
        <w:pStyle w:val="20"/>
        <w:ind w:firstLine="0"/>
        <w:jc w:val="both"/>
        <w:outlineLvl w:val="1"/>
        <w:rPr>
          <w:color w:val="0000FF"/>
        </w:rPr>
      </w:pPr>
      <w:r>
        <w:rPr>
          <w:rFonts w:hint="eastAsia" w:ascii="Times New Roman" w:hAnsi="Times New Roman" w:eastAsia="宋体" w:cs="Times New Roman"/>
          <w:color w:val="0000FF"/>
          <w:sz w:val="28"/>
          <w:szCs w:val="24"/>
          <w:lang w:eastAsia="zh-CN"/>
        </w:rPr>
        <w:drawing>
          <wp:inline distT="0" distB="0" distL="114300" distR="114300">
            <wp:extent cx="5565140" cy="7420610"/>
            <wp:effectExtent l="0" t="0" r="16510" b="8890"/>
            <wp:docPr id="11" name="图片 11" descr="2d39f4bd6f6d006d6ebe493f3128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d39f4bd6f6d006d6ebe493f312841c"/>
                    <pic:cNvPicPr>
                      <a:picLocks noChangeAspect="1"/>
                    </pic:cNvPicPr>
                  </pic:nvPicPr>
                  <pic:blipFill>
                    <a:blip r:embed="rId21"/>
                    <a:stretch>
                      <a:fillRect/>
                    </a:stretch>
                  </pic:blipFill>
                  <pic:spPr>
                    <a:xfrm>
                      <a:off x="0" y="0"/>
                      <a:ext cx="5565140" cy="7420610"/>
                    </a:xfrm>
                    <a:prstGeom prst="rect">
                      <a:avLst/>
                    </a:prstGeom>
                  </pic:spPr>
                </pic:pic>
              </a:graphicData>
            </a:graphic>
          </wp:inline>
        </w:drawing>
      </w:r>
    </w:p>
    <w:p>
      <w:pPr>
        <w:pStyle w:val="20"/>
        <w:ind w:firstLine="0"/>
        <w:jc w:val="both"/>
        <w:rPr>
          <w:color w:val="0000FF"/>
        </w:rPr>
      </w:pPr>
    </w:p>
    <w:p>
      <w:pPr>
        <w:pStyle w:val="20"/>
        <w:ind w:firstLine="0"/>
        <w:jc w:val="both"/>
        <w:rPr>
          <w:color w:val="0000FF"/>
        </w:rPr>
      </w:pPr>
    </w:p>
    <w:p>
      <w:pPr>
        <w:pStyle w:val="20"/>
        <w:ind w:firstLine="0"/>
        <w:jc w:val="both"/>
        <w:outlineLvl w:val="1"/>
        <w:rPr>
          <w:rFonts w:ascii="Times New Roman" w:hAnsi="Times New Roman" w:eastAsia="宋体" w:cs="Times New Roman"/>
          <w:color w:val="0000FF"/>
          <w:sz w:val="28"/>
          <w:szCs w:val="24"/>
        </w:rPr>
        <w:sectPr>
          <w:footerReference r:id="rId9" w:type="default"/>
          <w:pgSz w:w="11906" w:h="16838"/>
          <w:pgMar w:top="1440" w:right="1803" w:bottom="1440" w:left="1803" w:header="851" w:footer="992" w:gutter="0"/>
          <w:cols w:space="0" w:num="1"/>
          <w:docGrid w:type="lines" w:linePitch="319" w:charSpace="0"/>
        </w:sectPr>
      </w:pPr>
    </w:p>
    <w:p>
      <w:pPr>
        <w:pStyle w:val="20"/>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ascii="Times New Roman" w:hAnsi="Times New Roman" w:eastAsia="宋体" w:cs="Times New Roman"/>
          <w:color w:val="000000" w:themeColor="text1"/>
          <w:sz w:val="28"/>
          <w:szCs w:val="24"/>
          <w14:textFill>
            <w14:solidFill>
              <w14:schemeClr w14:val="tx1"/>
            </w14:solidFill>
          </w14:textFill>
        </w:rPr>
        <w:t>附</w:t>
      </w:r>
      <w:r>
        <w:rPr>
          <w:rFonts w:hint="eastAsia" w:ascii="Times New Roman" w:hAnsi="Times New Roman" w:eastAsia="宋体" w:cs="Times New Roman"/>
          <w:color w:val="000000" w:themeColor="text1"/>
          <w:sz w:val="28"/>
          <w:szCs w:val="24"/>
          <w14:textFill>
            <w14:solidFill>
              <w14:schemeClr w14:val="tx1"/>
            </w14:solidFill>
          </w14:textFill>
        </w:rPr>
        <w:t>件</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2</w:t>
      </w:r>
      <w:r>
        <w:rPr>
          <w:rFonts w:ascii="Times New Roman" w:hAnsi="Times New Roman" w:eastAsia="宋体" w:cs="Times New Roman"/>
          <w:color w:val="000000" w:themeColor="text1"/>
          <w:sz w:val="28"/>
          <w:szCs w:val="24"/>
          <w14:textFill>
            <w14:solidFill>
              <w14:schemeClr w14:val="tx1"/>
            </w14:solidFill>
          </w14:textFill>
        </w:rPr>
        <w:t>：</w:t>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t>检测报告</w:t>
      </w:r>
    </w:p>
    <w:p>
      <w:pPr>
        <w:pStyle w:val="20"/>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31" name="图片 31" descr="KYJCJB20200805D长泰中原保温材料有限公司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KYJCJB20200805D长泰中原保温材料有限公司0000"/>
                    <pic:cNvPicPr>
                      <a:picLocks noChangeAspect="1"/>
                    </pic:cNvPicPr>
                  </pic:nvPicPr>
                  <pic:blipFill>
                    <a:blip r:embed="rId22"/>
                    <a:stretch>
                      <a:fillRect/>
                    </a:stretch>
                  </pic:blipFill>
                  <pic:spPr>
                    <a:xfrm>
                      <a:off x="0" y="0"/>
                      <a:ext cx="5266690" cy="7444105"/>
                    </a:xfrm>
                    <a:prstGeom prst="rect">
                      <a:avLst/>
                    </a:prstGeom>
                  </pic:spPr>
                </pic:pic>
              </a:graphicData>
            </a:graphic>
          </wp:inline>
        </w:drawing>
      </w:r>
      <w:bookmarkStart w:id="8" w:name="_GoBack"/>
      <w:bookmarkEnd w:id="8"/>
    </w:p>
    <w:p>
      <w:pPr>
        <w:pStyle w:val="20"/>
        <w:ind w:firstLine="0"/>
        <w:jc w:val="both"/>
        <w:outlineLvl w:val="1"/>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30" name="图片 30" descr="KYJCJB20200805D长泰中原保温材料有限公司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KYJCJB20200805D长泰中原保温材料有限公司0001"/>
                    <pic:cNvPicPr>
                      <a:picLocks noChangeAspect="1"/>
                    </pic:cNvPicPr>
                  </pic:nvPicPr>
                  <pic:blipFill>
                    <a:blip r:embed="rId23"/>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9" name="图片 29" descr="KYJCJB20200805D长泰中原保温材料有限公司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KYJCJB20200805D长泰中原保温材料有限公司0002"/>
                    <pic:cNvPicPr>
                      <a:picLocks noChangeAspect="1"/>
                    </pic:cNvPicPr>
                  </pic:nvPicPr>
                  <pic:blipFill>
                    <a:blip r:embed="rId24"/>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8" name="图片 28" descr="KYJCJB20200805D长泰中原保温材料有限公司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KYJCJB20200805D长泰中原保温材料有限公司0003"/>
                    <pic:cNvPicPr>
                      <a:picLocks noChangeAspect="1"/>
                    </pic:cNvPicPr>
                  </pic:nvPicPr>
                  <pic:blipFill>
                    <a:blip r:embed="rId25"/>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7" name="图片 27" descr="KYJCJB20200805D长泰中原保温材料有限公司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KYJCJB20200805D长泰中原保温材料有限公司0004"/>
                    <pic:cNvPicPr>
                      <a:picLocks noChangeAspect="1"/>
                    </pic:cNvPicPr>
                  </pic:nvPicPr>
                  <pic:blipFill>
                    <a:blip r:embed="rId26"/>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6" name="图片 26" descr="KYJCJB20200805D长泰中原保温材料有限公司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KYJCJB20200805D长泰中原保温材料有限公司0005"/>
                    <pic:cNvPicPr>
                      <a:picLocks noChangeAspect="1"/>
                    </pic:cNvPicPr>
                  </pic:nvPicPr>
                  <pic:blipFill>
                    <a:blip r:embed="rId27"/>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5" name="图片 25" descr="KYJCJB20200805D长泰中原保温材料有限公司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KYJCJB20200805D长泰中原保温材料有限公司0006"/>
                    <pic:cNvPicPr>
                      <a:picLocks noChangeAspect="1"/>
                    </pic:cNvPicPr>
                  </pic:nvPicPr>
                  <pic:blipFill>
                    <a:blip r:embed="rId28"/>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4" name="图片 24" descr="KYJCJB20200805D长泰中原保温材料有限公司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KYJCJB20200805D长泰中原保温材料有限公司0007"/>
                    <pic:cNvPicPr>
                      <a:picLocks noChangeAspect="1"/>
                    </pic:cNvPicPr>
                  </pic:nvPicPr>
                  <pic:blipFill>
                    <a:blip r:embed="rId29"/>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3" name="图片 23" descr="KYJCJB20200805D长泰中原保温材料有限公司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KYJCJB20200805D长泰中原保温材料有限公司0008"/>
                    <pic:cNvPicPr>
                      <a:picLocks noChangeAspect="1"/>
                    </pic:cNvPicPr>
                  </pic:nvPicPr>
                  <pic:blipFill>
                    <a:blip r:embed="rId30"/>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8" name="图片 8" descr="KYJCJB20200805D长泰中原保温材料有限公司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KYJCJB20200805D长泰中原保温材料有限公司0009"/>
                    <pic:cNvPicPr>
                      <a:picLocks noChangeAspect="1"/>
                    </pic:cNvPicPr>
                  </pic:nvPicPr>
                  <pic:blipFill>
                    <a:blip r:embed="rId31"/>
                    <a:stretch>
                      <a:fillRect/>
                    </a:stretch>
                  </pic:blipFill>
                  <pic:spPr>
                    <a:xfrm>
                      <a:off x="0" y="0"/>
                      <a:ext cx="5266690" cy="7444105"/>
                    </a:xfrm>
                    <a:prstGeom prst="rect">
                      <a:avLst/>
                    </a:prstGeom>
                  </pic:spPr>
                </pic:pic>
              </a:graphicData>
            </a:graphic>
          </wp:inline>
        </w:drawing>
      </w:r>
      <w:r>
        <w:rPr>
          <w:rFonts w:hint="eastAsia" w:ascii="Times New Roman" w:hAnsi="Times New Roman" w:eastAsia="宋体" w:cs="Times New Roman"/>
          <w:color w:val="000000" w:themeColor="text1"/>
          <w:sz w:val="28"/>
          <w:szCs w:val="24"/>
          <w:lang w:val="en-US" w:eastAsia="zh-CN"/>
          <w14:textFill>
            <w14:solidFill>
              <w14:schemeClr w14:val="tx1"/>
            </w14:solidFill>
          </w14:textFill>
        </w:rPr>
        <w:drawing>
          <wp:inline distT="0" distB="0" distL="114300" distR="114300">
            <wp:extent cx="5266690" cy="7444105"/>
            <wp:effectExtent l="0" t="0" r="10160" b="4445"/>
            <wp:docPr id="2" name="图片 2" descr="KYJCJB20200805D长泰中原保温材料有限公司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YJCJB20200805D长泰中原保温材料有限公司0010"/>
                    <pic:cNvPicPr>
                      <a:picLocks noChangeAspect="1"/>
                    </pic:cNvPicPr>
                  </pic:nvPicPr>
                  <pic:blipFill>
                    <a:blip r:embed="rId32"/>
                    <a:stretch>
                      <a:fillRect/>
                    </a:stretch>
                  </pic:blipFill>
                  <pic:spPr>
                    <a:xfrm>
                      <a:off x="0" y="0"/>
                      <a:ext cx="5266690" cy="7444105"/>
                    </a:xfrm>
                    <a:prstGeom prst="rect">
                      <a:avLst/>
                    </a:prstGeom>
                  </pic:spPr>
                </pic:pic>
              </a:graphicData>
            </a:graphic>
          </wp:inline>
        </w:drawing>
      </w:r>
    </w:p>
    <w:sectPr>
      <w:footerReference r:id="rId10" w:type="default"/>
      <w:pgSz w:w="11906" w:h="16838"/>
      <w:pgMar w:top="1440" w:right="1803" w:bottom="1440" w:left="1803" w:header="851" w:footer="992" w:gutter="0"/>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Npw48UbAgAAIgQAAA4A&#10;AAAAAAAAAQAgAAAAHwEAAGRycy9lMm9Eb2MueG1sUEsFBgAAAAAGAAYAWQEAAKw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VbPodAgAAIwQAAA4AAABkcnMvZTJvRG9jLnhtbK1TzW4TMRC+I/EO&#10;lu9kN6F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lRVs+h0CAAAjBAAA&#10;DgAAAAAAAAABACAAAAAfAQAAZHJzL2Uyb0RvYy54bWxQSwUGAAAAAAYABgBZAQAArg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5"/>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5"/>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8"/>
      <w:docPartObj>
        <w:docPartGallery w:val="autotext"/>
      </w:docPartObj>
    </w:sdtPr>
    <w:sdtContent>
      <w:p>
        <w:pPr>
          <w:pStyle w:val="15"/>
          <w:jc w:val="center"/>
        </w:pPr>
        <w:r>
          <w:fldChar w:fldCharType="begin"/>
        </w:r>
        <w:r>
          <w:instrText xml:space="preserve"> PAGE   \* MERGEFORMAT </w:instrText>
        </w:r>
        <w:r>
          <w:fldChar w:fldCharType="separate"/>
        </w:r>
        <w:r>
          <w:rPr>
            <w:lang w:val="zh-CN"/>
          </w:rPr>
          <w:t>55</w:t>
        </w:r>
        <w:r>
          <w:rPr>
            <w:lang w:val="zh-CN"/>
          </w:rPr>
          <w:fldChar w:fldCharType="end"/>
        </w:r>
      </w:p>
    </w:sdtContent>
  </w:sdt>
  <w:p>
    <w:pPr>
      <w:pStyle w:val="15"/>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vDOT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HnvDOTDAgAA2AUAAA4AAAAA&#10;AAAAAQAgAAAAHwEAAGRycy9lMm9Eb2MueG1sUEsFBgAAAAAGAAYAWQEAAFQGAAAAAA==&#10;">
              <v:fill on="f" focussize="0,0"/>
              <v:stroke on="f" weight="0.5pt"/>
              <v:imagedata o:title=""/>
              <o:lock v:ext="edit" aspectratio="f"/>
              <v:textbox inset="0mm,0mm,0mm,0mm" style="mso-fit-shape-to-text:t;">
                <w:txbxContent>
                  <w:p>
                    <w:pPr>
                      <w:pStyle w:val="15"/>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81A2C1"/>
    <w:multiLevelType w:val="singleLevel"/>
    <w:tmpl w:val="C781A2C1"/>
    <w:lvl w:ilvl="0" w:tentative="0">
      <w:start w:val="1"/>
      <w:numFmt w:val="decimal"/>
      <w:suff w:val="nothing"/>
      <w:lvlText w:val="%1、"/>
      <w:lvlJc w:val="left"/>
    </w:lvl>
  </w:abstractNum>
  <w:abstractNum w:abstractNumId="1">
    <w:nsid w:val="E8E746C5"/>
    <w:multiLevelType w:val="singleLevel"/>
    <w:tmpl w:val="E8E746C5"/>
    <w:lvl w:ilvl="0" w:tentative="0">
      <w:start w:val="1"/>
      <w:numFmt w:val="decimal"/>
      <w:suff w:val="space"/>
      <w:lvlText w:val="（%1）"/>
      <w:lvlJc w:val="left"/>
    </w:lvl>
  </w:abstractNum>
  <w:abstractNum w:abstractNumId="2">
    <w:nsid w:val="68804528"/>
    <w:multiLevelType w:val="singleLevel"/>
    <w:tmpl w:val="68804528"/>
    <w:lvl w:ilvl="0" w:tentative="0">
      <w:start w:val="1"/>
      <w:numFmt w:val="decimal"/>
      <w:suff w:val="nothing"/>
      <w:lvlText w:val="%1、"/>
      <w:lvlJc w:val="left"/>
    </w:lvl>
  </w:abstractNum>
  <w:abstractNum w:abstractNumId="3">
    <w:nsid w:val="73D1E309"/>
    <w:multiLevelType w:val="singleLevel"/>
    <w:tmpl w:val="73D1E309"/>
    <w:lvl w:ilvl="0" w:tentative="0">
      <w:start w:val="2"/>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D120E"/>
    <w:rsid w:val="005F53BF"/>
    <w:rsid w:val="00606883"/>
    <w:rsid w:val="006176E5"/>
    <w:rsid w:val="006230C1"/>
    <w:rsid w:val="006247C8"/>
    <w:rsid w:val="00625732"/>
    <w:rsid w:val="00634D69"/>
    <w:rsid w:val="00655A0D"/>
    <w:rsid w:val="0068079D"/>
    <w:rsid w:val="00693390"/>
    <w:rsid w:val="006A6EFD"/>
    <w:rsid w:val="00703BD4"/>
    <w:rsid w:val="00705AFD"/>
    <w:rsid w:val="00726981"/>
    <w:rsid w:val="007276CA"/>
    <w:rsid w:val="00731732"/>
    <w:rsid w:val="00795431"/>
    <w:rsid w:val="007B4F1B"/>
    <w:rsid w:val="007B4FE2"/>
    <w:rsid w:val="007F742E"/>
    <w:rsid w:val="0080473F"/>
    <w:rsid w:val="008103A3"/>
    <w:rsid w:val="00820918"/>
    <w:rsid w:val="00822E69"/>
    <w:rsid w:val="008271EE"/>
    <w:rsid w:val="00827AEA"/>
    <w:rsid w:val="00867BDE"/>
    <w:rsid w:val="00870741"/>
    <w:rsid w:val="008717A8"/>
    <w:rsid w:val="00880CB8"/>
    <w:rsid w:val="008A04D2"/>
    <w:rsid w:val="008D27CB"/>
    <w:rsid w:val="008D3252"/>
    <w:rsid w:val="008E0FFA"/>
    <w:rsid w:val="008E3AD1"/>
    <w:rsid w:val="008F7495"/>
    <w:rsid w:val="00902C93"/>
    <w:rsid w:val="00913646"/>
    <w:rsid w:val="009317D1"/>
    <w:rsid w:val="00946E55"/>
    <w:rsid w:val="0097365A"/>
    <w:rsid w:val="00981994"/>
    <w:rsid w:val="009B732C"/>
    <w:rsid w:val="009D19F6"/>
    <w:rsid w:val="009D2A8B"/>
    <w:rsid w:val="009F0F48"/>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E3AC6"/>
    <w:rsid w:val="00C313C9"/>
    <w:rsid w:val="00C72774"/>
    <w:rsid w:val="00CA778C"/>
    <w:rsid w:val="00CB0D76"/>
    <w:rsid w:val="00CB431F"/>
    <w:rsid w:val="00CF240E"/>
    <w:rsid w:val="00D25CA4"/>
    <w:rsid w:val="00D3491B"/>
    <w:rsid w:val="00D60A9D"/>
    <w:rsid w:val="00DB4C43"/>
    <w:rsid w:val="00DB4EE0"/>
    <w:rsid w:val="00DC74A7"/>
    <w:rsid w:val="00DD5DB0"/>
    <w:rsid w:val="00E31175"/>
    <w:rsid w:val="00E34923"/>
    <w:rsid w:val="00E53EB7"/>
    <w:rsid w:val="00E7715D"/>
    <w:rsid w:val="00E82F34"/>
    <w:rsid w:val="00E86B61"/>
    <w:rsid w:val="00E91068"/>
    <w:rsid w:val="00EB1CB6"/>
    <w:rsid w:val="00EB33D5"/>
    <w:rsid w:val="00EC10CB"/>
    <w:rsid w:val="00EC22D1"/>
    <w:rsid w:val="00ED6A64"/>
    <w:rsid w:val="00F4033E"/>
    <w:rsid w:val="00F41B56"/>
    <w:rsid w:val="00F46D54"/>
    <w:rsid w:val="00FD4162"/>
    <w:rsid w:val="00FD44A1"/>
    <w:rsid w:val="00FF73D9"/>
    <w:rsid w:val="01074046"/>
    <w:rsid w:val="01087146"/>
    <w:rsid w:val="01320A89"/>
    <w:rsid w:val="013F4762"/>
    <w:rsid w:val="01555D36"/>
    <w:rsid w:val="01571B3E"/>
    <w:rsid w:val="015C039B"/>
    <w:rsid w:val="015D0B69"/>
    <w:rsid w:val="0162669E"/>
    <w:rsid w:val="01731009"/>
    <w:rsid w:val="017C1861"/>
    <w:rsid w:val="01814DD7"/>
    <w:rsid w:val="019330E1"/>
    <w:rsid w:val="01A76B9F"/>
    <w:rsid w:val="01B55669"/>
    <w:rsid w:val="01C77ACE"/>
    <w:rsid w:val="01D504F3"/>
    <w:rsid w:val="02117A13"/>
    <w:rsid w:val="02175600"/>
    <w:rsid w:val="02201996"/>
    <w:rsid w:val="022B1076"/>
    <w:rsid w:val="02336432"/>
    <w:rsid w:val="02377908"/>
    <w:rsid w:val="023A0ACB"/>
    <w:rsid w:val="023F7854"/>
    <w:rsid w:val="02444CD5"/>
    <w:rsid w:val="024D3B57"/>
    <w:rsid w:val="02571FB0"/>
    <w:rsid w:val="0276779B"/>
    <w:rsid w:val="027D39E1"/>
    <w:rsid w:val="02847DB9"/>
    <w:rsid w:val="029C681D"/>
    <w:rsid w:val="02C9587A"/>
    <w:rsid w:val="02DB343C"/>
    <w:rsid w:val="02E318C8"/>
    <w:rsid w:val="02E75AF7"/>
    <w:rsid w:val="02E9438C"/>
    <w:rsid w:val="030339CF"/>
    <w:rsid w:val="03063938"/>
    <w:rsid w:val="030D661A"/>
    <w:rsid w:val="03107520"/>
    <w:rsid w:val="031E29D7"/>
    <w:rsid w:val="032D73EC"/>
    <w:rsid w:val="033D1FC5"/>
    <w:rsid w:val="03441AEB"/>
    <w:rsid w:val="03483054"/>
    <w:rsid w:val="03531B2E"/>
    <w:rsid w:val="03665FE4"/>
    <w:rsid w:val="036D76E4"/>
    <w:rsid w:val="037263D9"/>
    <w:rsid w:val="03742523"/>
    <w:rsid w:val="03815C3A"/>
    <w:rsid w:val="038559E0"/>
    <w:rsid w:val="03A21089"/>
    <w:rsid w:val="03AE7610"/>
    <w:rsid w:val="03CF5C14"/>
    <w:rsid w:val="03D438A4"/>
    <w:rsid w:val="03DF073B"/>
    <w:rsid w:val="03E0331E"/>
    <w:rsid w:val="03E463D3"/>
    <w:rsid w:val="041202D3"/>
    <w:rsid w:val="041B7AA1"/>
    <w:rsid w:val="04313574"/>
    <w:rsid w:val="043F724A"/>
    <w:rsid w:val="045D5E10"/>
    <w:rsid w:val="0478104E"/>
    <w:rsid w:val="04883E48"/>
    <w:rsid w:val="04884804"/>
    <w:rsid w:val="0491352B"/>
    <w:rsid w:val="0496529C"/>
    <w:rsid w:val="049C7734"/>
    <w:rsid w:val="049F249A"/>
    <w:rsid w:val="04D3141D"/>
    <w:rsid w:val="04F26F4E"/>
    <w:rsid w:val="05002400"/>
    <w:rsid w:val="05091489"/>
    <w:rsid w:val="050A32C4"/>
    <w:rsid w:val="052147EF"/>
    <w:rsid w:val="05376AAA"/>
    <w:rsid w:val="05432981"/>
    <w:rsid w:val="05513968"/>
    <w:rsid w:val="056636DB"/>
    <w:rsid w:val="05681A75"/>
    <w:rsid w:val="056D0811"/>
    <w:rsid w:val="05871DC9"/>
    <w:rsid w:val="05925DF6"/>
    <w:rsid w:val="05A35D37"/>
    <w:rsid w:val="05A40B04"/>
    <w:rsid w:val="05AB6CBE"/>
    <w:rsid w:val="05B35541"/>
    <w:rsid w:val="05BD097D"/>
    <w:rsid w:val="05C10E79"/>
    <w:rsid w:val="05C33333"/>
    <w:rsid w:val="05D45FEB"/>
    <w:rsid w:val="05DD7822"/>
    <w:rsid w:val="05E5128D"/>
    <w:rsid w:val="05F05F3C"/>
    <w:rsid w:val="05F33DE3"/>
    <w:rsid w:val="05F5438C"/>
    <w:rsid w:val="05FD2716"/>
    <w:rsid w:val="06023097"/>
    <w:rsid w:val="0604537E"/>
    <w:rsid w:val="06101C8C"/>
    <w:rsid w:val="062B60C2"/>
    <w:rsid w:val="06326A2D"/>
    <w:rsid w:val="064B7704"/>
    <w:rsid w:val="06575936"/>
    <w:rsid w:val="06602BB4"/>
    <w:rsid w:val="06637207"/>
    <w:rsid w:val="066C1959"/>
    <w:rsid w:val="067B719C"/>
    <w:rsid w:val="06807BE4"/>
    <w:rsid w:val="06820453"/>
    <w:rsid w:val="06A341A7"/>
    <w:rsid w:val="06B75333"/>
    <w:rsid w:val="06D44F60"/>
    <w:rsid w:val="06E86867"/>
    <w:rsid w:val="06FD211F"/>
    <w:rsid w:val="070159FE"/>
    <w:rsid w:val="07052346"/>
    <w:rsid w:val="070D4194"/>
    <w:rsid w:val="071A4A25"/>
    <w:rsid w:val="071F425E"/>
    <w:rsid w:val="07335F45"/>
    <w:rsid w:val="07386A5E"/>
    <w:rsid w:val="07545637"/>
    <w:rsid w:val="075D175E"/>
    <w:rsid w:val="0760459B"/>
    <w:rsid w:val="07650044"/>
    <w:rsid w:val="07787161"/>
    <w:rsid w:val="077A7B8A"/>
    <w:rsid w:val="07A028AF"/>
    <w:rsid w:val="07A40B28"/>
    <w:rsid w:val="07A502F4"/>
    <w:rsid w:val="07BC729D"/>
    <w:rsid w:val="07C90E80"/>
    <w:rsid w:val="07D22F1A"/>
    <w:rsid w:val="07D608D5"/>
    <w:rsid w:val="07D87287"/>
    <w:rsid w:val="07DC5FAA"/>
    <w:rsid w:val="07E509E1"/>
    <w:rsid w:val="07F0031C"/>
    <w:rsid w:val="082D6213"/>
    <w:rsid w:val="082E414A"/>
    <w:rsid w:val="08342D07"/>
    <w:rsid w:val="0834513C"/>
    <w:rsid w:val="08360253"/>
    <w:rsid w:val="08401C60"/>
    <w:rsid w:val="08483D46"/>
    <w:rsid w:val="08596130"/>
    <w:rsid w:val="08686183"/>
    <w:rsid w:val="086C4F68"/>
    <w:rsid w:val="087604AA"/>
    <w:rsid w:val="08831B75"/>
    <w:rsid w:val="088D0831"/>
    <w:rsid w:val="08A211FF"/>
    <w:rsid w:val="08A623AF"/>
    <w:rsid w:val="08AC7940"/>
    <w:rsid w:val="08D36930"/>
    <w:rsid w:val="08E33990"/>
    <w:rsid w:val="08FB3880"/>
    <w:rsid w:val="0901439C"/>
    <w:rsid w:val="090E7C9B"/>
    <w:rsid w:val="091468DD"/>
    <w:rsid w:val="093375BB"/>
    <w:rsid w:val="09385D4D"/>
    <w:rsid w:val="094F58AB"/>
    <w:rsid w:val="094F5C49"/>
    <w:rsid w:val="095A0746"/>
    <w:rsid w:val="09882276"/>
    <w:rsid w:val="09886F8A"/>
    <w:rsid w:val="098B7D00"/>
    <w:rsid w:val="09927ABB"/>
    <w:rsid w:val="09987EDA"/>
    <w:rsid w:val="09B25955"/>
    <w:rsid w:val="09B66121"/>
    <w:rsid w:val="09BF31F9"/>
    <w:rsid w:val="09C7288A"/>
    <w:rsid w:val="09CC00F6"/>
    <w:rsid w:val="09D32AA4"/>
    <w:rsid w:val="09D427C0"/>
    <w:rsid w:val="09DC4DF0"/>
    <w:rsid w:val="09EA7403"/>
    <w:rsid w:val="09F01221"/>
    <w:rsid w:val="09F64B8F"/>
    <w:rsid w:val="0A207B1F"/>
    <w:rsid w:val="0A2E5D2E"/>
    <w:rsid w:val="0A355E41"/>
    <w:rsid w:val="0A5C6E0F"/>
    <w:rsid w:val="0A6111E5"/>
    <w:rsid w:val="0A796CC5"/>
    <w:rsid w:val="0A7D181C"/>
    <w:rsid w:val="0A827AF5"/>
    <w:rsid w:val="0A844B06"/>
    <w:rsid w:val="0A857D39"/>
    <w:rsid w:val="0A885898"/>
    <w:rsid w:val="0A8D7DFD"/>
    <w:rsid w:val="0A903042"/>
    <w:rsid w:val="0A917864"/>
    <w:rsid w:val="0AA01447"/>
    <w:rsid w:val="0AA95240"/>
    <w:rsid w:val="0ABF7418"/>
    <w:rsid w:val="0AC84CDF"/>
    <w:rsid w:val="0AD140C6"/>
    <w:rsid w:val="0AD36DC9"/>
    <w:rsid w:val="0AE1709D"/>
    <w:rsid w:val="0AEF1CA4"/>
    <w:rsid w:val="0AFC7A29"/>
    <w:rsid w:val="0B0A635E"/>
    <w:rsid w:val="0B103B47"/>
    <w:rsid w:val="0B2064B2"/>
    <w:rsid w:val="0B2D4768"/>
    <w:rsid w:val="0B3558A5"/>
    <w:rsid w:val="0B385C98"/>
    <w:rsid w:val="0B426D02"/>
    <w:rsid w:val="0B4F1AAF"/>
    <w:rsid w:val="0B505CD8"/>
    <w:rsid w:val="0B602B45"/>
    <w:rsid w:val="0B63435B"/>
    <w:rsid w:val="0B762103"/>
    <w:rsid w:val="0B8A7168"/>
    <w:rsid w:val="0B99666A"/>
    <w:rsid w:val="0B997CAF"/>
    <w:rsid w:val="0B9E62C4"/>
    <w:rsid w:val="0BA51239"/>
    <w:rsid w:val="0BA645D0"/>
    <w:rsid w:val="0BC466F4"/>
    <w:rsid w:val="0BC631B1"/>
    <w:rsid w:val="0BD27054"/>
    <w:rsid w:val="0BD45DB0"/>
    <w:rsid w:val="0BED1F61"/>
    <w:rsid w:val="0C2B34D5"/>
    <w:rsid w:val="0C3D07BF"/>
    <w:rsid w:val="0C4613F7"/>
    <w:rsid w:val="0C5E192C"/>
    <w:rsid w:val="0C7505D5"/>
    <w:rsid w:val="0C7722F9"/>
    <w:rsid w:val="0C810D74"/>
    <w:rsid w:val="0C825A90"/>
    <w:rsid w:val="0C8B1CB3"/>
    <w:rsid w:val="0C8C7FCB"/>
    <w:rsid w:val="0C8F7B18"/>
    <w:rsid w:val="0C9F555A"/>
    <w:rsid w:val="0CA347A7"/>
    <w:rsid w:val="0CB030D0"/>
    <w:rsid w:val="0CBD7D37"/>
    <w:rsid w:val="0CCA4B07"/>
    <w:rsid w:val="0CCF5AA7"/>
    <w:rsid w:val="0CD20F22"/>
    <w:rsid w:val="0CD42BF0"/>
    <w:rsid w:val="0CD574E2"/>
    <w:rsid w:val="0CD635DC"/>
    <w:rsid w:val="0D042796"/>
    <w:rsid w:val="0D1666C2"/>
    <w:rsid w:val="0D3201BB"/>
    <w:rsid w:val="0D446F88"/>
    <w:rsid w:val="0D6C0F92"/>
    <w:rsid w:val="0D862E26"/>
    <w:rsid w:val="0D871BC2"/>
    <w:rsid w:val="0D8F2357"/>
    <w:rsid w:val="0D9A621B"/>
    <w:rsid w:val="0DA16BA8"/>
    <w:rsid w:val="0DB11C19"/>
    <w:rsid w:val="0DCA2163"/>
    <w:rsid w:val="0DCC33D9"/>
    <w:rsid w:val="0DD07926"/>
    <w:rsid w:val="0DDB0847"/>
    <w:rsid w:val="0DDC7116"/>
    <w:rsid w:val="0DF3401C"/>
    <w:rsid w:val="0DF5249E"/>
    <w:rsid w:val="0E1A6B31"/>
    <w:rsid w:val="0E2461F6"/>
    <w:rsid w:val="0E2A3D70"/>
    <w:rsid w:val="0E3A01FA"/>
    <w:rsid w:val="0E3C19C8"/>
    <w:rsid w:val="0E4404B2"/>
    <w:rsid w:val="0E4410A5"/>
    <w:rsid w:val="0E4970D4"/>
    <w:rsid w:val="0E4B613E"/>
    <w:rsid w:val="0E543543"/>
    <w:rsid w:val="0E761B6C"/>
    <w:rsid w:val="0E773ABB"/>
    <w:rsid w:val="0E7F3F63"/>
    <w:rsid w:val="0E8807BD"/>
    <w:rsid w:val="0E9B4995"/>
    <w:rsid w:val="0E9D4EFB"/>
    <w:rsid w:val="0EAD5805"/>
    <w:rsid w:val="0EBF4221"/>
    <w:rsid w:val="0EC1568B"/>
    <w:rsid w:val="0EE42959"/>
    <w:rsid w:val="0EFD2849"/>
    <w:rsid w:val="0F0668CA"/>
    <w:rsid w:val="0F0D7B3F"/>
    <w:rsid w:val="0F2E7F18"/>
    <w:rsid w:val="0F31112A"/>
    <w:rsid w:val="0F4126ED"/>
    <w:rsid w:val="0F4328C8"/>
    <w:rsid w:val="0F500AB0"/>
    <w:rsid w:val="0F5D3222"/>
    <w:rsid w:val="0F5D59BD"/>
    <w:rsid w:val="0F6147A0"/>
    <w:rsid w:val="0F76004A"/>
    <w:rsid w:val="0F7F46C4"/>
    <w:rsid w:val="0F8F2578"/>
    <w:rsid w:val="0F945149"/>
    <w:rsid w:val="0FA56FC7"/>
    <w:rsid w:val="0FA96E6B"/>
    <w:rsid w:val="0FB6376E"/>
    <w:rsid w:val="0FBA4E83"/>
    <w:rsid w:val="0FBC73ED"/>
    <w:rsid w:val="0FBF07D3"/>
    <w:rsid w:val="0FC54EE6"/>
    <w:rsid w:val="0FD609C1"/>
    <w:rsid w:val="0FE2665E"/>
    <w:rsid w:val="0FF6328B"/>
    <w:rsid w:val="0FF7314A"/>
    <w:rsid w:val="10052627"/>
    <w:rsid w:val="100C3E07"/>
    <w:rsid w:val="1017171F"/>
    <w:rsid w:val="10206FB0"/>
    <w:rsid w:val="103831C6"/>
    <w:rsid w:val="103E4562"/>
    <w:rsid w:val="10404158"/>
    <w:rsid w:val="10524AF7"/>
    <w:rsid w:val="10820F19"/>
    <w:rsid w:val="108A7C66"/>
    <w:rsid w:val="109A0CC1"/>
    <w:rsid w:val="10A136B9"/>
    <w:rsid w:val="10A42E2D"/>
    <w:rsid w:val="10A44B24"/>
    <w:rsid w:val="10A565D2"/>
    <w:rsid w:val="10AF51E5"/>
    <w:rsid w:val="10BA6E1A"/>
    <w:rsid w:val="10C2430D"/>
    <w:rsid w:val="10C90ACF"/>
    <w:rsid w:val="10CA3BDC"/>
    <w:rsid w:val="10CF3E89"/>
    <w:rsid w:val="10D805D5"/>
    <w:rsid w:val="10F918EB"/>
    <w:rsid w:val="112003A1"/>
    <w:rsid w:val="11293937"/>
    <w:rsid w:val="1146686D"/>
    <w:rsid w:val="11565CBD"/>
    <w:rsid w:val="116018AC"/>
    <w:rsid w:val="11706D7A"/>
    <w:rsid w:val="11706ED2"/>
    <w:rsid w:val="117307F9"/>
    <w:rsid w:val="11796DD7"/>
    <w:rsid w:val="118A79F7"/>
    <w:rsid w:val="11941056"/>
    <w:rsid w:val="119909C8"/>
    <w:rsid w:val="119B2E2E"/>
    <w:rsid w:val="11A6066D"/>
    <w:rsid w:val="11A87179"/>
    <w:rsid w:val="11AB4549"/>
    <w:rsid w:val="11AE7D52"/>
    <w:rsid w:val="11B52839"/>
    <w:rsid w:val="11CA4CC1"/>
    <w:rsid w:val="11D67F5D"/>
    <w:rsid w:val="11D75F2A"/>
    <w:rsid w:val="11DD0499"/>
    <w:rsid w:val="11DD31D1"/>
    <w:rsid w:val="12046B3C"/>
    <w:rsid w:val="121A43EF"/>
    <w:rsid w:val="12211262"/>
    <w:rsid w:val="122E55DD"/>
    <w:rsid w:val="12334A21"/>
    <w:rsid w:val="123D3805"/>
    <w:rsid w:val="12412EA7"/>
    <w:rsid w:val="126D039E"/>
    <w:rsid w:val="1285444F"/>
    <w:rsid w:val="12AF2AF5"/>
    <w:rsid w:val="12C32643"/>
    <w:rsid w:val="12C752F2"/>
    <w:rsid w:val="12DA0E63"/>
    <w:rsid w:val="12DD4D68"/>
    <w:rsid w:val="12DE4FDF"/>
    <w:rsid w:val="12F04D11"/>
    <w:rsid w:val="12F176F2"/>
    <w:rsid w:val="12F56A98"/>
    <w:rsid w:val="12F862BA"/>
    <w:rsid w:val="130200A8"/>
    <w:rsid w:val="133875FC"/>
    <w:rsid w:val="133935F6"/>
    <w:rsid w:val="13394607"/>
    <w:rsid w:val="134A6FA1"/>
    <w:rsid w:val="13636863"/>
    <w:rsid w:val="137148E6"/>
    <w:rsid w:val="13926C8F"/>
    <w:rsid w:val="139460E2"/>
    <w:rsid w:val="139C0911"/>
    <w:rsid w:val="13A34909"/>
    <w:rsid w:val="13B26B58"/>
    <w:rsid w:val="13BF68B0"/>
    <w:rsid w:val="13C2059E"/>
    <w:rsid w:val="13CB2A15"/>
    <w:rsid w:val="13D34164"/>
    <w:rsid w:val="13E928B9"/>
    <w:rsid w:val="13EA53CB"/>
    <w:rsid w:val="13F8578D"/>
    <w:rsid w:val="140159AF"/>
    <w:rsid w:val="14023E93"/>
    <w:rsid w:val="140D4CC3"/>
    <w:rsid w:val="141603FF"/>
    <w:rsid w:val="141A1890"/>
    <w:rsid w:val="142F4A58"/>
    <w:rsid w:val="143343BC"/>
    <w:rsid w:val="143B3F94"/>
    <w:rsid w:val="143E155D"/>
    <w:rsid w:val="14434081"/>
    <w:rsid w:val="14524FEA"/>
    <w:rsid w:val="14537D60"/>
    <w:rsid w:val="145F55A0"/>
    <w:rsid w:val="146A2630"/>
    <w:rsid w:val="147E7D46"/>
    <w:rsid w:val="14874CB2"/>
    <w:rsid w:val="14B27947"/>
    <w:rsid w:val="14BE4E9D"/>
    <w:rsid w:val="14C11702"/>
    <w:rsid w:val="14C967EE"/>
    <w:rsid w:val="14DD0CB2"/>
    <w:rsid w:val="14E32182"/>
    <w:rsid w:val="14FC6299"/>
    <w:rsid w:val="14FE2B2E"/>
    <w:rsid w:val="15092CE2"/>
    <w:rsid w:val="15146B8D"/>
    <w:rsid w:val="151E3928"/>
    <w:rsid w:val="15270A82"/>
    <w:rsid w:val="153348AC"/>
    <w:rsid w:val="154926B6"/>
    <w:rsid w:val="15602622"/>
    <w:rsid w:val="15882251"/>
    <w:rsid w:val="158C79C7"/>
    <w:rsid w:val="15A27F8D"/>
    <w:rsid w:val="15B02087"/>
    <w:rsid w:val="15BC1A66"/>
    <w:rsid w:val="15C20B7F"/>
    <w:rsid w:val="15C7162A"/>
    <w:rsid w:val="15C71BAE"/>
    <w:rsid w:val="15D62F35"/>
    <w:rsid w:val="15E31513"/>
    <w:rsid w:val="15E33711"/>
    <w:rsid w:val="15E74810"/>
    <w:rsid w:val="16094054"/>
    <w:rsid w:val="160B72AB"/>
    <w:rsid w:val="160F4D63"/>
    <w:rsid w:val="16214B8C"/>
    <w:rsid w:val="162504D3"/>
    <w:rsid w:val="163A210E"/>
    <w:rsid w:val="163A71FB"/>
    <w:rsid w:val="164C3FF0"/>
    <w:rsid w:val="165E551D"/>
    <w:rsid w:val="16757DC4"/>
    <w:rsid w:val="167B13A6"/>
    <w:rsid w:val="16A77DCA"/>
    <w:rsid w:val="16AF43BD"/>
    <w:rsid w:val="16B34234"/>
    <w:rsid w:val="16D34240"/>
    <w:rsid w:val="16F76675"/>
    <w:rsid w:val="170764AD"/>
    <w:rsid w:val="1712743B"/>
    <w:rsid w:val="17146B43"/>
    <w:rsid w:val="17334AF3"/>
    <w:rsid w:val="1734260A"/>
    <w:rsid w:val="17373E74"/>
    <w:rsid w:val="17407BE4"/>
    <w:rsid w:val="1749489B"/>
    <w:rsid w:val="17566A11"/>
    <w:rsid w:val="17671511"/>
    <w:rsid w:val="176A1936"/>
    <w:rsid w:val="176D1612"/>
    <w:rsid w:val="176E29FA"/>
    <w:rsid w:val="177D7B9E"/>
    <w:rsid w:val="17862CF6"/>
    <w:rsid w:val="178A3401"/>
    <w:rsid w:val="178C5023"/>
    <w:rsid w:val="17914411"/>
    <w:rsid w:val="17A35554"/>
    <w:rsid w:val="17A804B8"/>
    <w:rsid w:val="17C95459"/>
    <w:rsid w:val="17E308F5"/>
    <w:rsid w:val="17F21008"/>
    <w:rsid w:val="17F75769"/>
    <w:rsid w:val="17F91DD3"/>
    <w:rsid w:val="17FE294B"/>
    <w:rsid w:val="17FF78E9"/>
    <w:rsid w:val="18082A99"/>
    <w:rsid w:val="18115A0E"/>
    <w:rsid w:val="182A6AA0"/>
    <w:rsid w:val="182C22CC"/>
    <w:rsid w:val="182E1F2D"/>
    <w:rsid w:val="182F2F78"/>
    <w:rsid w:val="183C3E93"/>
    <w:rsid w:val="18413D8A"/>
    <w:rsid w:val="185505F2"/>
    <w:rsid w:val="186E6F89"/>
    <w:rsid w:val="187A0FAC"/>
    <w:rsid w:val="189268DB"/>
    <w:rsid w:val="189370B5"/>
    <w:rsid w:val="18965EA0"/>
    <w:rsid w:val="18A36151"/>
    <w:rsid w:val="18C21A9E"/>
    <w:rsid w:val="18CC3E05"/>
    <w:rsid w:val="18CE0FAF"/>
    <w:rsid w:val="18ED2160"/>
    <w:rsid w:val="18EE3749"/>
    <w:rsid w:val="18F676BF"/>
    <w:rsid w:val="19150E17"/>
    <w:rsid w:val="19241126"/>
    <w:rsid w:val="192A1100"/>
    <w:rsid w:val="19444F26"/>
    <w:rsid w:val="19584FD4"/>
    <w:rsid w:val="195B1ABE"/>
    <w:rsid w:val="195D28C8"/>
    <w:rsid w:val="19664670"/>
    <w:rsid w:val="19716B5F"/>
    <w:rsid w:val="19747000"/>
    <w:rsid w:val="19761130"/>
    <w:rsid w:val="198C6BA3"/>
    <w:rsid w:val="19944212"/>
    <w:rsid w:val="19A848CE"/>
    <w:rsid w:val="19AA00F1"/>
    <w:rsid w:val="19C84559"/>
    <w:rsid w:val="19DA3D6E"/>
    <w:rsid w:val="19E26A19"/>
    <w:rsid w:val="19ED508F"/>
    <w:rsid w:val="19F51DAE"/>
    <w:rsid w:val="19F809AC"/>
    <w:rsid w:val="1A05381A"/>
    <w:rsid w:val="1A061BAE"/>
    <w:rsid w:val="1A1A1755"/>
    <w:rsid w:val="1A1C2762"/>
    <w:rsid w:val="1A3B7251"/>
    <w:rsid w:val="1A3D459F"/>
    <w:rsid w:val="1A481648"/>
    <w:rsid w:val="1A493DA2"/>
    <w:rsid w:val="1A566B3C"/>
    <w:rsid w:val="1A5E6397"/>
    <w:rsid w:val="1A691311"/>
    <w:rsid w:val="1A7515F6"/>
    <w:rsid w:val="1A934F6D"/>
    <w:rsid w:val="1A9A2DD4"/>
    <w:rsid w:val="1AA5105E"/>
    <w:rsid w:val="1ABC52F8"/>
    <w:rsid w:val="1AD50500"/>
    <w:rsid w:val="1AD67472"/>
    <w:rsid w:val="1AEC1246"/>
    <w:rsid w:val="1AED71CE"/>
    <w:rsid w:val="1AF77E4C"/>
    <w:rsid w:val="1AFA5DD3"/>
    <w:rsid w:val="1B31066B"/>
    <w:rsid w:val="1B35192F"/>
    <w:rsid w:val="1B425636"/>
    <w:rsid w:val="1B516820"/>
    <w:rsid w:val="1B5C685A"/>
    <w:rsid w:val="1B5F55F8"/>
    <w:rsid w:val="1B6400DD"/>
    <w:rsid w:val="1B6C3AA8"/>
    <w:rsid w:val="1B6C451D"/>
    <w:rsid w:val="1B6C67DE"/>
    <w:rsid w:val="1B8026BE"/>
    <w:rsid w:val="1B812BD5"/>
    <w:rsid w:val="1B9859BA"/>
    <w:rsid w:val="1BA416A0"/>
    <w:rsid w:val="1BAA7B74"/>
    <w:rsid w:val="1BB22F8B"/>
    <w:rsid w:val="1BB40836"/>
    <w:rsid w:val="1BCB7A49"/>
    <w:rsid w:val="1BD25D72"/>
    <w:rsid w:val="1BD86F30"/>
    <w:rsid w:val="1BE524A7"/>
    <w:rsid w:val="1BEF5590"/>
    <w:rsid w:val="1BF91DDE"/>
    <w:rsid w:val="1C0C4E7B"/>
    <w:rsid w:val="1C0E6A48"/>
    <w:rsid w:val="1C131BC5"/>
    <w:rsid w:val="1C170433"/>
    <w:rsid w:val="1C2B6512"/>
    <w:rsid w:val="1C35225B"/>
    <w:rsid w:val="1C3A55A5"/>
    <w:rsid w:val="1C3D78D4"/>
    <w:rsid w:val="1C467222"/>
    <w:rsid w:val="1C4A573D"/>
    <w:rsid w:val="1C5B5AF6"/>
    <w:rsid w:val="1C672E0C"/>
    <w:rsid w:val="1C6F7FE7"/>
    <w:rsid w:val="1CA01843"/>
    <w:rsid w:val="1CA14D3C"/>
    <w:rsid w:val="1CA6649C"/>
    <w:rsid w:val="1CBA5C7F"/>
    <w:rsid w:val="1CC51C68"/>
    <w:rsid w:val="1CCF0419"/>
    <w:rsid w:val="1CD470CA"/>
    <w:rsid w:val="1CE03283"/>
    <w:rsid w:val="1CE62EE1"/>
    <w:rsid w:val="1CF85411"/>
    <w:rsid w:val="1D28123C"/>
    <w:rsid w:val="1D286A1B"/>
    <w:rsid w:val="1D3421D3"/>
    <w:rsid w:val="1D37040F"/>
    <w:rsid w:val="1D484C1A"/>
    <w:rsid w:val="1D575B87"/>
    <w:rsid w:val="1D6C7639"/>
    <w:rsid w:val="1D6D45BF"/>
    <w:rsid w:val="1D7A122C"/>
    <w:rsid w:val="1D855AF8"/>
    <w:rsid w:val="1D890A47"/>
    <w:rsid w:val="1D8E61A0"/>
    <w:rsid w:val="1D964B50"/>
    <w:rsid w:val="1D992B27"/>
    <w:rsid w:val="1DA85724"/>
    <w:rsid w:val="1DAF6062"/>
    <w:rsid w:val="1DBF590D"/>
    <w:rsid w:val="1DC5555E"/>
    <w:rsid w:val="1DEE2BE4"/>
    <w:rsid w:val="1DF233E7"/>
    <w:rsid w:val="1E0844BA"/>
    <w:rsid w:val="1E0A2CBC"/>
    <w:rsid w:val="1E243669"/>
    <w:rsid w:val="1E2B5F08"/>
    <w:rsid w:val="1E392AA0"/>
    <w:rsid w:val="1E41460A"/>
    <w:rsid w:val="1E455165"/>
    <w:rsid w:val="1E664AE8"/>
    <w:rsid w:val="1E66787F"/>
    <w:rsid w:val="1E7C434A"/>
    <w:rsid w:val="1E933284"/>
    <w:rsid w:val="1E992AE1"/>
    <w:rsid w:val="1EAB5F88"/>
    <w:rsid w:val="1EBD70F2"/>
    <w:rsid w:val="1EBF527E"/>
    <w:rsid w:val="1ED30E1E"/>
    <w:rsid w:val="1EE0406D"/>
    <w:rsid w:val="1F087131"/>
    <w:rsid w:val="1F0F65FB"/>
    <w:rsid w:val="1F114A63"/>
    <w:rsid w:val="1F2F5F8E"/>
    <w:rsid w:val="1F42409C"/>
    <w:rsid w:val="1F4D177B"/>
    <w:rsid w:val="1F4F0F9A"/>
    <w:rsid w:val="1F6B2BC8"/>
    <w:rsid w:val="1F7F2C8C"/>
    <w:rsid w:val="1F8A7DE4"/>
    <w:rsid w:val="1F924453"/>
    <w:rsid w:val="1FAF1436"/>
    <w:rsid w:val="1FD7167B"/>
    <w:rsid w:val="1FDA610A"/>
    <w:rsid w:val="1FE168A9"/>
    <w:rsid w:val="200978D3"/>
    <w:rsid w:val="201A0721"/>
    <w:rsid w:val="201A75A0"/>
    <w:rsid w:val="202277DA"/>
    <w:rsid w:val="203150CB"/>
    <w:rsid w:val="20454846"/>
    <w:rsid w:val="20455F75"/>
    <w:rsid w:val="20546F73"/>
    <w:rsid w:val="205B6B40"/>
    <w:rsid w:val="20601C02"/>
    <w:rsid w:val="2064698A"/>
    <w:rsid w:val="20695EC3"/>
    <w:rsid w:val="206E1F4D"/>
    <w:rsid w:val="20862C79"/>
    <w:rsid w:val="208716B2"/>
    <w:rsid w:val="20B32243"/>
    <w:rsid w:val="20B74057"/>
    <w:rsid w:val="20CE1C4D"/>
    <w:rsid w:val="20D24E25"/>
    <w:rsid w:val="20E36E34"/>
    <w:rsid w:val="20F0628E"/>
    <w:rsid w:val="21053910"/>
    <w:rsid w:val="21150C66"/>
    <w:rsid w:val="211E31CB"/>
    <w:rsid w:val="21247C7E"/>
    <w:rsid w:val="212A20DE"/>
    <w:rsid w:val="21342040"/>
    <w:rsid w:val="213C54CA"/>
    <w:rsid w:val="214D5B7C"/>
    <w:rsid w:val="215D336C"/>
    <w:rsid w:val="21641421"/>
    <w:rsid w:val="218C54DC"/>
    <w:rsid w:val="218D3B2C"/>
    <w:rsid w:val="2190457D"/>
    <w:rsid w:val="2194300F"/>
    <w:rsid w:val="21A40A5F"/>
    <w:rsid w:val="21A870E7"/>
    <w:rsid w:val="21C11051"/>
    <w:rsid w:val="21C9474B"/>
    <w:rsid w:val="21CA181C"/>
    <w:rsid w:val="21D01696"/>
    <w:rsid w:val="21E20C1C"/>
    <w:rsid w:val="21EB600E"/>
    <w:rsid w:val="220C246C"/>
    <w:rsid w:val="22242822"/>
    <w:rsid w:val="222F24C6"/>
    <w:rsid w:val="22311A43"/>
    <w:rsid w:val="22334AF4"/>
    <w:rsid w:val="223F0988"/>
    <w:rsid w:val="22431EAF"/>
    <w:rsid w:val="224B6A17"/>
    <w:rsid w:val="2257273D"/>
    <w:rsid w:val="225A15C5"/>
    <w:rsid w:val="225D3D01"/>
    <w:rsid w:val="2272644B"/>
    <w:rsid w:val="22730643"/>
    <w:rsid w:val="2276739F"/>
    <w:rsid w:val="228D1798"/>
    <w:rsid w:val="22945884"/>
    <w:rsid w:val="22B5350F"/>
    <w:rsid w:val="22BB322B"/>
    <w:rsid w:val="22BD7151"/>
    <w:rsid w:val="22C604E0"/>
    <w:rsid w:val="22EE1F90"/>
    <w:rsid w:val="22F2208A"/>
    <w:rsid w:val="22FE2784"/>
    <w:rsid w:val="23002037"/>
    <w:rsid w:val="230E24AC"/>
    <w:rsid w:val="23322038"/>
    <w:rsid w:val="233F5379"/>
    <w:rsid w:val="2347109D"/>
    <w:rsid w:val="23512E0C"/>
    <w:rsid w:val="235204E6"/>
    <w:rsid w:val="23542ADE"/>
    <w:rsid w:val="2368536F"/>
    <w:rsid w:val="2373040B"/>
    <w:rsid w:val="2381456E"/>
    <w:rsid w:val="23886124"/>
    <w:rsid w:val="239F3402"/>
    <w:rsid w:val="23AA0394"/>
    <w:rsid w:val="23BC64A6"/>
    <w:rsid w:val="23C50F1D"/>
    <w:rsid w:val="23F35F5F"/>
    <w:rsid w:val="23FA4566"/>
    <w:rsid w:val="241909B7"/>
    <w:rsid w:val="241C7F24"/>
    <w:rsid w:val="24267C58"/>
    <w:rsid w:val="242F09CF"/>
    <w:rsid w:val="24413E93"/>
    <w:rsid w:val="24424A6E"/>
    <w:rsid w:val="244E03E6"/>
    <w:rsid w:val="24535587"/>
    <w:rsid w:val="24565B3A"/>
    <w:rsid w:val="24754533"/>
    <w:rsid w:val="24A90873"/>
    <w:rsid w:val="24B81B41"/>
    <w:rsid w:val="24C45A46"/>
    <w:rsid w:val="24CA28B6"/>
    <w:rsid w:val="24D45A2D"/>
    <w:rsid w:val="24DC3896"/>
    <w:rsid w:val="24E3512D"/>
    <w:rsid w:val="24E444CC"/>
    <w:rsid w:val="24EA054D"/>
    <w:rsid w:val="24EE4DE2"/>
    <w:rsid w:val="24F072DB"/>
    <w:rsid w:val="251076B1"/>
    <w:rsid w:val="25213874"/>
    <w:rsid w:val="2527244E"/>
    <w:rsid w:val="25383D75"/>
    <w:rsid w:val="25396E06"/>
    <w:rsid w:val="25433F14"/>
    <w:rsid w:val="254D5571"/>
    <w:rsid w:val="254F3C66"/>
    <w:rsid w:val="25633F3D"/>
    <w:rsid w:val="256C056F"/>
    <w:rsid w:val="256C0DF2"/>
    <w:rsid w:val="257324A8"/>
    <w:rsid w:val="258624C1"/>
    <w:rsid w:val="25923550"/>
    <w:rsid w:val="25956E98"/>
    <w:rsid w:val="259D3FBA"/>
    <w:rsid w:val="25A96929"/>
    <w:rsid w:val="25AB1F27"/>
    <w:rsid w:val="25B90704"/>
    <w:rsid w:val="25DC4D1F"/>
    <w:rsid w:val="25E312AC"/>
    <w:rsid w:val="25EB65E2"/>
    <w:rsid w:val="25ED33D2"/>
    <w:rsid w:val="25F862B3"/>
    <w:rsid w:val="262D5689"/>
    <w:rsid w:val="266346E2"/>
    <w:rsid w:val="266F5831"/>
    <w:rsid w:val="267758CC"/>
    <w:rsid w:val="268A2E91"/>
    <w:rsid w:val="268C7C25"/>
    <w:rsid w:val="268E6E1C"/>
    <w:rsid w:val="269173C1"/>
    <w:rsid w:val="26967D4F"/>
    <w:rsid w:val="269A7114"/>
    <w:rsid w:val="26B3580F"/>
    <w:rsid w:val="26B4679E"/>
    <w:rsid w:val="26BC3415"/>
    <w:rsid w:val="26C95489"/>
    <w:rsid w:val="26E00AF2"/>
    <w:rsid w:val="26E312AF"/>
    <w:rsid w:val="26E35247"/>
    <w:rsid w:val="2713062B"/>
    <w:rsid w:val="27256622"/>
    <w:rsid w:val="272B516E"/>
    <w:rsid w:val="27410EC2"/>
    <w:rsid w:val="274A69E0"/>
    <w:rsid w:val="276175F4"/>
    <w:rsid w:val="276D0529"/>
    <w:rsid w:val="2779749B"/>
    <w:rsid w:val="27933927"/>
    <w:rsid w:val="27992A4C"/>
    <w:rsid w:val="27A33E35"/>
    <w:rsid w:val="27A94296"/>
    <w:rsid w:val="27B60BEB"/>
    <w:rsid w:val="27BD0064"/>
    <w:rsid w:val="27C34DE1"/>
    <w:rsid w:val="27D8374E"/>
    <w:rsid w:val="27DA0F13"/>
    <w:rsid w:val="27EB437A"/>
    <w:rsid w:val="27F56315"/>
    <w:rsid w:val="28110A08"/>
    <w:rsid w:val="2828350A"/>
    <w:rsid w:val="282F72FA"/>
    <w:rsid w:val="28571957"/>
    <w:rsid w:val="28623C15"/>
    <w:rsid w:val="286E334A"/>
    <w:rsid w:val="287050B3"/>
    <w:rsid w:val="2889440F"/>
    <w:rsid w:val="288F5571"/>
    <w:rsid w:val="28A052D3"/>
    <w:rsid w:val="28A06F4C"/>
    <w:rsid w:val="28D67316"/>
    <w:rsid w:val="290254C7"/>
    <w:rsid w:val="29087A30"/>
    <w:rsid w:val="291B5205"/>
    <w:rsid w:val="29236F16"/>
    <w:rsid w:val="292F6200"/>
    <w:rsid w:val="29331E5F"/>
    <w:rsid w:val="29334BDF"/>
    <w:rsid w:val="294C6C0B"/>
    <w:rsid w:val="29515B93"/>
    <w:rsid w:val="295676E3"/>
    <w:rsid w:val="295F57D7"/>
    <w:rsid w:val="297A56E5"/>
    <w:rsid w:val="29814635"/>
    <w:rsid w:val="29A36393"/>
    <w:rsid w:val="29A76063"/>
    <w:rsid w:val="29AB72C4"/>
    <w:rsid w:val="29B85251"/>
    <w:rsid w:val="29BA74BA"/>
    <w:rsid w:val="29CF5EA1"/>
    <w:rsid w:val="29F1767A"/>
    <w:rsid w:val="2A0019E0"/>
    <w:rsid w:val="2A045FE7"/>
    <w:rsid w:val="2A072146"/>
    <w:rsid w:val="2A0F729D"/>
    <w:rsid w:val="2A1D74F2"/>
    <w:rsid w:val="2A2D7895"/>
    <w:rsid w:val="2A3F0385"/>
    <w:rsid w:val="2A430216"/>
    <w:rsid w:val="2A444CBB"/>
    <w:rsid w:val="2A5670C9"/>
    <w:rsid w:val="2A5E0C02"/>
    <w:rsid w:val="2A685432"/>
    <w:rsid w:val="2A7351C7"/>
    <w:rsid w:val="2A822840"/>
    <w:rsid w:val="2A9602BA"/>
    <w:rsid w:val="2A985E6C"/>
    <w:rsid w:val="2AB56028"/>
    <w:rsid w:val="2ACE37B6"/>
    <w:rsid w:val="2AEA2A93"/>
    <w:rsid w:val="2AEF5470"/>
    <w:rsid w:val="2AF509B4"/>
    <w:rsid w:val="2AF86D11"/>
    <w:rsid w:val="2AFC44BE"/>
    <w:rsid w:val="2B192D0A"/>
    <w:rsid w:val="2B237536"/>
    <w:rsid w:val="2B293D78"/>
    <w:rsid w:val="2B394314"/>
    <w:rsid w:val="2B3B1E2D"/>
    <w:rsid w:val="2B3E5205"/>
    <w:rsid w:val="2B6C40D4"/>
    <w:rsid w:val="2B6E0D08"/>
    <w:rsid w:val="2B7447F6"/>
    <w:rsid w:val="2B8F3B05"/>
    <w:rsid w:val="2B997A76"/>
    <w:rsid w:val="2B9E755E"/>
    <w:rsid w:val="2BB16E20"/>
    <w:rsid w:val="2BD31423"/>
    <w:rsid w:val="2BD862CC"/>
    <w:rsid w:val="2BE06716"/>
    <w:rsid w:val="2BE96133"/>
    <w:rsid w:val="2BFB567E"/>
    <w:rsid w:val="2C085772"/>
    <w:rsid w:val="2C0B3A0F"/>
    <w:rsid w:val="2C233268"/>
    <w:rsid w:val="2C317BD6"/>
    <w:rsid w:val="2C34202D"/>
    <w:rsid w:val="2C3D4A6C"/>
    <w:rsid w:val="2C41392D"/>
    <w:rsid w:val="2C474C25"/>
    <w:rsid w:val="2C703BB0"/>
    <w:rsid w:val="2C7F2782"/>
    <w:rsid w:val="2C827724"/>
    <w:rsid w:val="2C935F3D"/>
    <w:rsid w:val="2CA32DB0"/>
    <w:rsid w:val="2CAF7EB1"/>
    <w:rsid w:val="2CB8065D"/>
    <w:rsid w:val="2CBC5486"/>
    <w:rsid w:val="2CBE1783"/>
    <w:rsid w:val="2CC124B9"/>
    <w:rsid w:val="2CC97325"/>
    <w:rsid w:val="2CCE168E"/>
    <w:rsid w:val="2CE3074D"/>
    <w:rsid w:val="2CE73DBF"/>
    <w:rsid w:val="2CEA56B6"/>
    <w:rsid w:val="2CF5740A"/>
    <w:rsid w:val="2CFE0737"/>
    <w:rsid w:val="2CFE4B72"/>
    <w:rsid w:val="2D023C70"/>
    <w:rsid w:val="2D0B00FE"/>
    <w:rsid w:val="2D0F4A83"/>
    <w:rsid w:val="2D1D6D45"/>
    <w:rsid w:val="2D31698D"/>
    <w:rsid w:val="2D3367EB"/>
    <w:rsid w:val="2D4E072A"/>
    <w:rsid w:val="2D5E5EA2"/>
    <w:rsid w:val="2D730FC1"/>
    <w:rsid w:val="2D8674BF"/>
    <w:rsid w:val="2D8874B6"/>
    <w:rsid w:val="2D8C76AE"/>
    <w:rsid w:val="2D956579"/>
    <w:rsid w:val="2D983348"/>
    <w:rsid w:val="2DA34493"/>
    <w:rsid w:val="2DAC2659"/>
    <w:rsid w:val="2DC168A1"/>
    <w:rsid w:val="2DC81E94"/>
    <w:rsid w:val="2DD37126"/>
    <w:rsid w:val="2DE32195"/>
    <w:rsid w:val="2DE96A14"/>
    <w:rsid w:val="2DF27D78"/>
    <w:rsid w:val="2DFF60D5"/>
    <w:rsid w:val="2E241E0A"/>
    <w:rsid w:val="2E283FBB"/>
    <w:rsid w:val="2E347B0A"/>
    <w:rsid w:val="2E3C2E20"/>
    <w:rsid w:val="2E3D0A0C"/>
    <w:rsid w:val="2E3F3833"/>
    <w:rsid w:val="2E4162D4"/>
    <w:rsid w:val="2E4A5F0A"/>
    <w:rsid w:val="2E633B8A"/>
    <w:rsid w:val="2E794AF3"/>
    <w:rsid w:val="2E8A51A3"/>
    <w:rsid w:val="2E9457B5"/>
    <w:rsid w:val="2E9A4F05"/>
    <w:rsid w:val="2E9B28AA"/>
    <w:rsid w:val="2EA46C95"/>
    <w:rsid w:val="2ECA0EEF"/>
    <w:rsid w:val="2ED02202"/>
    <w:rsid w:val="2EEC5878"/>
    <w:rsid w:val="2EF83766"/>
    <w:rsid w:val="2F084C9F"/>
    <w:rsid w:val="2F131BDA"/>
    <w:rsid w:val="2F1C2EDE"/>
    <w:rsid w:val="2F2626A7"/>
    <w:rsid w:val="2F277782"/>
    <w:rsid w:val="2F33425A"/>
    <w:rsid w:val="2F40795E"/>
    <w:rsid w:val="2F436A32"/>
    <w:rsid w:val="2F600A4D"/>
    <w:rsid w:val="2F7B24D1"/>
    <w:rsid w:val="2F83447A"/>
    <w:rsid w:val="2F8B0E09"/>
    <w:rsid w:val="2F9711E1"/>
    <w:rsid w:val="2FA249C7"/>
    <w:rsid w:val="2FBB48F5"/>
    <w:rsid w:val="2FC82F9D"/>
    <w:rsid w:val="2FD32DD7"/>
    <w:rsid w:val="2FD57D60"/>
    <w:rsid w:val="2FEF045A"/>
    <w:rsid w:val="2FFA067A"/>
    <w:rsid w:val="2FFF4CDE"/>
    <w:rsid w:val="302A358E"/>
    <w:rsid w:val="30341738"/>
    <w:rsid w:val="30403AEC"/>
    <w:rsid w:val="306A75D7"/>
    <w:rsid w:val="307B141B"/>
    <w:rsid w:val="3082744B"/>
    <w:rsid w:val="308D6AFB"/>
    <w:rsid w:val="30944600"/>
    <w:rsid w:val="30D66A99"/>
    <w:rsid w:val="30D768BF"/>
    <w:rsid w:val="30DF79C5"/>
    <w:rsid w:val="30E74543"/>
    <w:rsid w:val="30F2736A"/>
    <w:rsid w:val="30F40C14"/>
    <w:rsid w:val="30F42C52"/>
    <w:rsid w:val="30F620F0"/>
    <w:rsid w:val="31360F60"/>
    <w:rsid w:val="31485711"/>
    <w:rsid w:val="315B7E50"/>
    <w:rsid w:val="316C0946"/>
    <w:rsid w:val="318077DA"/>
    <w:rsid w:val="31952860"/>
    <w:rsid w:val="31B91BCA"/>
    <w:rsid w:val="31BD7603"/>
    <w:rsid w:val="31C765B0"/>
    <w:rsid w:val="31D04EA3"/>
    <w:rsid w:val="31D856DB"/>
    <w:rsid w:val="31E248BF"/>
    <w:rsid w:val="32147265"/>
    <w:rsid w:val="3230537A"/>
    <w:rsid w:val="323B5C06"/>
    <w:rsid w:val="32474245"/>
    <w:rsid w:val="32552601"/>
    <w:rsid w:val="32575271"/>
    <w:rsid w:val="3272345D"/>
    <w:rsid w:val="32765E32"/>
    <w:rsid w:val="32914DC9"/>
    <w:rsid w:val="329E7F73"/>
    <w:rsid w:val="32B02EB7"/>
    <w:rsid w:val="32B86B24"/>
    <w:rsid w:val="32CB6F7E"/>
    <w:rsid w:val="32D97036"/>
    <w:rsid w:val="32DF21C2"/>
    <w:rsid w:val="32E11FA2"/>
    <w:rsid w:val="32ED2891"/>
    <w:rsid w:val="32EE25C6"/>
    <w:rsid w:val="330208DF"/>
    <w:rsid w:val="33032076"/>
    <w:rsid w:val="330E0160"/>
    <w:rsid w:val="3312251F"/>
    <w:rsid w:val="33237F61"/>
    <w:rsid w:val="332467E5"/>
    <w:rsid w:val="33262E95"/>
    <w:rsid w:val="33337F0A"/>
    <w:rsid w:val="333E2CA0"/>
    <w:rsid w:val="335759EC"/>
    <w:rsid w:val="335C0183"/>
    <w:rsid w:val="335E3242"/>
    <w:rsid w:val="338E40D2"/>
    <w:rsid w:val="33A540C1"/>
    <w:rsid w:val="33B43691"/>
    <w:rsid w:val="33BA2267"/>
    <w:rsid w:val="33BD0809"/>
    <w:rsid w:val="33D47EAB"/>
    <w:rsid w:val="33DE7074"/>
    <w:rsid w:val="33F51BEA"/>
    <w:rsid w:val="34082A81"/>
    <w:rsid w:val="34093853"/>
    <w:rsid w:val="341A1C5C"/>
    <w:rsid w:val="342147A0"/>
    <w:rsid w:val="34236EE7"/>
    <w:rsid w:val="34290276"/>
    <w:rsid w:val="343612DE"/>
    <w:rsid w:val="344B1B35"/>
    <w:rsid w:val="344D4F8E"/>
    <w:rsid w:val="34557EB5"/>
    <w:rsid w:val="345C0111"/>
    <w:rsid w:val="3494067B"/>
    <w:rsid w:val="34A81304"/>
    <w:rsid w:val="34AF26D6"/>
    <w:rsid w:val="34B50F41"/>
    <w:rsid w:val="34BC2A3C"/>
    <w:rsid w:val="34BC7739"/>
    <w:rsid w:val="34DD0BBB"/>
    <w:rsid w:val="34DE3166"/>
    <w:rsid w:val="34DE523E"/>
    <w:rsid w:val="34E061B4"/>
    <w:rsid w:val="34EA1DE0"/>
    <w:rsid w:val="352263E4"/>
    <w:rsid w:val="352B7666"/>
    <w:rsid w:val="353F0589"/>
    <w:rsid w:val="355475E3"/>
    <w:rsid w:val="355A4DC7"/>
    <w:rsid w:val="35757D45"/>
    <w:rsid w:val="357D54E6"/>
    <w:rsid w:val="35A67C6D"/>
    <w:rsid w:val="35A97360"/>
    <w:rsid w:val="35AE6707"/>
    <w:rsid w:val="35B1695D"/>
    <w:rsid w:val="35C027FD"/>
    <w:rsid w:val="35C15C9F"/>
    <w:rsid w:val="35CB5AA1"/>
    <w:rsid w:val="35F82C92"/>
    <w:rsid w:val="360F1C77"/>
    <w:rsid w:val="36375033"/>
    <w:rsid w:val="364A2085"/>
    <w:rsid w:val="365432CA"/>
    <w:rsid w:val="365956B3"/>
    <w:rsid w:val="365A06D0"/>
    <w:rsid w:val="36627FCC"/>
    <w:rsid w:val="36636EEA"/>
    <w:rsid w:val="366D4287"/>
    <w:rsid w:val="366F7E88"/>
    <w:rsid w:val="36707B69"/>
    <w:rsid w:val="36733E42"/>
    <w:rsid w:val="36884F23"/>
    <w:rsid w:val="36B074E7"/>
    <w:rsid w:val="36CB22A7"/>
    <w:rsid w:val="36DE1E96"/>
    <w:rsid w:val="36F375F8"/>
    <w:rsid w:val="3713351B"/>
    <w:rsid w:val="37177C76"/>
    <w:rsid w:val="371F6BEB"/>
    <w:rsid w:val="37346A5E"/>
    <w:rsid w:val="37482AF0"/>
    <w:rsid w:val="374C5898"/>
    <w:rsid w:val="374C671D"/>
    <w:rsid w:val="375A7D15"/>
    <w:rsid w:val="37712B91"/>
    <w:rsid w:val="37743765"/>
    <w:rsid w:val="37793122"/>
    <w:rsid w:val="377F3E72"/>
    <w:rsid w:val="378055B2"/>
    <w:rsid w:val="378528A8"/>
    <w:rsid w:val="37B37D61"/>
    <w:rsid w:val="37C23051"/>
    <w:rsid w:val="37E118EB"/>
    <w:rsid w:val="380611BF"/>
    <w:rsid w:val="382429AE"/>
    <w:rsid w:val="382F4C63"/>
    <w:rsid w:val="3838196A"/>
    <w:rsid w:val="383C2B89"/>
    <w:rsid w:val="383F60A4"/>
    <w:rsid w:val="38560DF2"/>
    <w:rsid w:val="38601FC4"/>
    <w:rsid w:val="386661FF"/>
    <w:rsid w:val="386E6695"/>
    <w:rsid w:val="387E162E"/>
    <w:rsid w:val="388C6CF2"/>
    <w:rsid w:val="388D35F0"/>
    <w:rsid w:val="38914F5D"/>
    <w:rsid w:val="389A1BDF"/>
    <w:rsid w:val="38A54C47"/>
    <w:rsid w:val="38B13472"/>
    <w:rsid w:val="38B93642"/>
    <w:rsid w:val="38E12884"/>
    <w:rsid w:val="38FD5F09"/>
    <w:rsid w:val="391A645A"/>
    <w:rsid w:val="391B55AF"/>
    <w:rsid w:val="39521E9F"/>
    <w:rsid w:val="3954537C"/>
    <w:rsid w:val="3980064E"/>
    <w:rsid w:val="399601BD"/>
    <w:rsid w:val="399A58EA"/>
    <w:rsid w:val="399B2127"/>
    <w:rsid w:val="399F08F3"/>
    <w:rsid w:val="399F1332"/>
    <w:rsid w:val="39C73DB3"/>
    <w:rsid w:val="39E46FAD"/>
    <w:rsid w:val="39E91662"/>
    <w:rsid w:val="39F5297E"/>
    <w:rsid w:val="3A0258FE"/>
    <w:rsid w:val="3A3C78D6"/>
    <w:rsid w:val="3A3E3E9F"/>
    <w:rsid w:val="3A6B176D"/>
    <w:rsid w:val="3A6B710D"/>
    <w:rsid w:val="3A700D10"/>
    <w:rsid w:val="3A714443"/>
    <w:rsid w:val="3A84298B"/>
    <w:rsid w:val="3A997D1F"/>
    <w:rsid w:val="3AA26A5D"/>
    <w:rsid w:val="3AA844FF"/>
    <w:rsid w:val="3AAA4B7B"/>
    <w:rsid w:val="3AB1112B"/>
    <w:rsid w:val="3AC7743B"/>
    <w:rsid w:val="3ACE70B0"/>
    <w:rsid w:val="3AD60A60"/>
    <w:rsid w:val="3AD7738D"/>
    <w:rsid w:val="3ADC39B3"/>
    <w:rsid w:val="3AFC0789"/>
    <w:rsid w:val="3B0475E9"/>
    <w:rsid w:val="3B0A6176"/>
    <w:rsid w:val="3B10004F"/>
    <w:rsid w:val="3B19580D"/>
    <w:rsid w:val="3B1F0A32"/>
    <w:rsid w:val="3B21328C"/>
    <w:rsid w:val="3B235BCB"/>
    <w:rsid w:val="3B3F3F46"/>
    <w:rsid w:val="3B4874EB"/>
    <w:rsid w:val="3B5211E7"/>
    <w:rsid w:val="3B6B6801"/>
    <w:rsid w:val="3B84771D"/>
    <w:rsid w:val="3BB513C6"/>
    <w:rsid w:val="3BE10919"/>
    <w:rsid w:val="3C0274FD"/>
    <w:rsid w:val="3C0F4376"/>
    <w:rsid w:val="3C14548B"/>
    <w:rsid w:val="3C2F70BE"/>
    <w:rsid w:val="3C3073EF"/>
    <w:rsid w:val="3C320FE1"/>
    <w:rsid w:val="3C322442"/>
    <w:rsid w:val="3C325493"/>
    <w:rsid w:val="3C3616AF"/>
    <w:rsid w:val="3C3B6C18"/>
    <w:rsid w:val="3C4E0450"/>
    <w:rsid w:val="3C545870"/>
    <w:rsid w:val="3C7B3B44"/>
    <w:rsid w:val="3CA45331"/>
    <w:rsid w:val="3CA57CFE"/>
    <w:rsid w:val="3CAE4CF8"/>
    <w:rsid w:val="3CAE7AEC"/>
    <w:rsid w:val="3CCC781D"/>
    <w:rsid w:val="3CCE7C2A"/>
    <w:rsid w:val="3CE77340"/>
    <w:rsid w:val="3CE90379"/>
    <w:rsid w:val="3CFF37D8"/>
    <w:rsid w:val="3D195B95"/>
    <w:rsid w:val="3D2329FD"/>
    <w:rsid w:val="3D29684E"/>
    <w:rsid w:val="3D39578E"/>
    <w:rsid w:val="3D52619D"/>
    <w:rsid w:val="3D5D4D44"/>
    <w:rsid w:val="3D614D99"/>
    <w:rsid w:val="3D76742B"/>
    <w:rsid w:val="3D9C4C5C"/>
    <w:rsid w:val="3DA701B4"/>
    <w:rsid w:val="3DA83998"/>
    <w:rsid w:val="3DB16D2A"/>
    <w:rsid w:val="3DB80722"/>
    <w:rsid w:val="3DBD65F0"/>
    <w:rsid w:val="3DC7203E"/>
    <w:rsid w:val="3DD43D14"/>
    <w:rsid w:val="3DDA4533"/>
    <w:rsid w:val="3DE1146E"/>
    <w:rsid w:val="3DE12F32"/>
    <w:rsid w:val="3DE57A57"/>
    <w:rsid w:val="3DEA3F0C"/>
    <w:rsid w:val="3DFF226A"/>
    <w:rsid w:val="3E025CF4"/>
    <w:rsid w:val="3E144F0D"/>
    <w:rsid w:val="3E1A2100"/>
    <w:rsid w:val="3E1B7092"/>
    <w:rsid w:val="3E1F40C4"/>
    <w:rsid w:val="3E217503"/>
    <w:rsid w:val="3E2E234C"/>
    <w:rsid w:val="3E3D5661"/>
    <w:rsid w:val="3E5A71D5"/>
    <w:rsid w:val="3E73624E"/>
    <w:rsid w:val="3E960E27"/>
    <w:rsid w:val="3E985F61"/>
    <w:rsid w:val="3EA15311"/>
    <w:rsid w:val="3EAD3EF7"/>
    <w:rsid w:val="3EB97F81"/>
    <w:rsid w:val="3F002AB5"/>
    <w:rsid w:val="3F007F87"/>
    <w:rsid w:val="3F1339B8"/>
    <w:rsid w:val="3F196A9F"/>
    <w:rsid w:val="3F1C125E"/>
    <w:rsid w:val="3F1C1904"/>
    <w:rsid w:val="3F224B09"/>
    <w:rsid w:val="3F240B0A"/>
    <w:rsid w:val="3F24608D"/>
    <w:rsid w:val="3F2653A3"/>
    <w:rsid w:val="3F284847"/>
    <w:rsid w:val="3F2E191C"/>
    <w:rsid w:val="3F3E4D72"/>
    <w:rsid w:val="3F487A21"/>
    <w:rsid w:val="3F4D2FAB"/>
    <w:rsid w:val="3F625DFB"/>
    <w:rsid w:val="3F6741A7"/>
    <w:rsid w:val="3F9A38BF"/>
    <w:rsid w:val="3F9C5D3D"/>
    <w:rsid w:val="3FA615BB"/>
    <w:rsid w:val="3FAE6978"/>
    <w:rsid w:val="3FB65F72"/>
    <w:rsid w:val="3FC921C5"/>
    <w:rsid w:val="3FCF0135"/>
    <w:rsid w:val="3FE56688"/>
    <w:rsid w:val="3FEF543D"/>
    <w:rsid w:val="402F643A"/>
    <w:rsid w:val="40323DF2"/>
    <w:rsid w:val="4043244B"/>
    <w:rsid w:val="404B0AFD"/>
    <w:rsid w:val="405A761E"/>
    <w:rsid w:val="407511A9"/>
    <w:rsid w:val="408B409E"/>
    <w:rsid w:val="40B77ACC"/>
    <w:rsid w:val="40CE01B2"/>
    <w:rsid w:val="40D44447"/>
    <w:rsid w:val="40E3448C"/>
    <w:rsid w:val="40EE4695"/>
    <w:rsid w:val="40EF2E8F"/>
    <w:rsid w:val="40F42748"/>
    <w:rsid w:val="40FD344B"/>
    <w:rsid w:val="410B01A8"/>
    <w:rsid w:val="41252762"/>
    <w:rsid w:val="412E0DDF"/>
    <w:rsid w:val="41503639"/>
    <w:rsid w:val="415D50BB"/>
    <w:rsid w:val="41670752"/>
    <w:rsid w:val="416A0599"/>
    <w:rsid w:val="41735E9F"/>
    <w:rsid w:val="418C16CB"/>
    <w:rsid w:val="41A5473E"/>
    <w:rsid w:val="41A6399F"/>
    <w:rsid w:val="41B938EB"/>
    <w:rsid w:val="41BD4A1A"/>
    <w:rsid w:val="41C76C5D"/>
    <w:rsid w:val="41CD41ED"/>
    <w:rsid w:val="41DB6B04"/>
    <w:rsid w:val="41E63E46"/>
    <w:rsid w:val="41E64231"/>
    <w:rsid w:val="41ED4A55"/>
    <w:rsid w:val="42027EA1"/>
    <w:rsid w:val="420B1F27"/>
    <w:rsid w:val="42182D34"/>
    <w:rsid w:val="422B7135"/>
    <w:rsid w:val="423E343C"/>
    <w:rsid w:val="424259D6"/>
    <w:rsid w:val="424802AA"/>
    <w:rsid w:val="428A4FE0"/>
    <w:rsid w:val="428E2E24"/>
    <w:rsid w:val="429017FC"/>
    <w:rsid w:val="4297701F"/>
    <w:rsid w:val="429C554F"/>
    <w:rsid w:val="42A26D50"/>
    <w:rsid w:val="42A73EBF"/>
    <w:rsid w:val="42B00F6D"/>
    <w:rsid w:val="42B10DBC"/>
    <w:rsid w:val="42BA1E7D"/>
    <w:rsid w:val="42BC6219"/>
    <w:rsid w:val="42C512CA"/>
    <w:rsid w:val="42C7289D"/>
    <w:rsid w:val="42C85A7F"/>
    <w:rsid w:val="42D54D2A"/>
    <w:rsid w:val="42D86242"/>
    <w:rsid w:val="42F851DA"/>
    <w:rsid w:val="42FE4918"/>
    <w:rsid w:val="430355D1"/>
    <w:rsid w:val="430931EF"/>
    <w:rsid w:val="432927A6"/>
    <w:rsid w:val="432A5BD6"/>
    <w:rsid w:val="43342642"/>
    <w:rsid w:val="433821C6"/>
    <w:rsid w:val="433B122E"/>
    <w:rsid w:val="435E5073"/>
    <w:rsid w:val="43771E90"/>
    <w:rsid w:val="43821D42"/>
    <w:rsid w:val="43987604"/>
    <w:rsid w:val="43B7549F"/>
    <w:rsid w:val="43B9286F"/>
    <w:rsid w:val="43BB4049"/>
    <w:rsid w:val="43BB4C9D"/>
    <w:rsid w:val="43C93EA9"/>
    <w:rsid w:val="43DD2294"/>
    <w:rsid w:val="43E92280"/>
    <w:rsid w:val="43F421E8"/>
    <w:rsid w:val="43F707D8"/>
    <w:rsid w:val="4402298A"/>
    <w:rsid w:val="440A7998"/>
    <w:rsid w:val="440C2EEA"/>
    <w:rsid w:val="441D2BDD"/>
    <w:rsid w:val="441D3234"/>
    <w:rsid w:val="441F6C55"/>
    <w:rsid w:val="4420224D"/>
    <w:rsid w:val="442074C6"/>
    <w:rsid w:val="44243A14"/>
    <w:rsid w:val="44244565"/>
    <w:rsid w:val="44311C57"/>
    <w:rsid w:val="44370325"/>
    <w:rsid w:val="44514687"/>
    <w:rsid w:val="445459C2"/>
    <w:rsid w:val="44617D0A"/>
    <w:rsid w:val="44682D18"/>
    <w:rsid w:val="446944E9"/>
    <w:rsid w:val="446B2973"/>
    <w:rsid w:val="446F13F6"/>
    <w:rsid w:val="44723BA6"/>
    <w:rsid w:val="4473705C"/>
    <w:rsid w:val="447C5BAA"/>
    <w:rsid w:val="4480015B"/>
    <w:rsid w:val="448174D9"/>
    <w:rsid w:val="4490304D"/>
    <w:rsid w:val="44A9401A"/>
    <w:rsid w:val="44AC3086"/>
    <w:rsid w:val="44BD076D"/>
    <w:rsid w:val="44C30184"/>
    <w:rsid w:val="44C93ABA"/>
    <w:rsid w:val="44CC451B"/>
    <w:rsid w:val="44DB36D1"/>
    <w:rsid w:val="44EB3F4C"/>
    <w:rsid w:val="44F75C85"/>
    <w:rsid w:val="44FB6168"/>
    <w:rsid w:val="44FD00BD"/>
    <w:rsid w:val="4504637B"/>
    <w:rsid w:val="452E410D"/>
    <w:rsid w:val="453C4611"/>
    <w:rsid w:val="4542601F"/>
    <w:rsid w:val="45471252"/>
    <w:rsid w:val="455B0F07"/>
    <w:rsid w:val="455B70CF"/>
    <w:rsid w:val="456125FB"/>
    <w:rsid w:val="45646D5D"/>
    <w:rsid w:val="456B16C4"/>
    <w:rsid w:val="45B304D2"/>
    <w:rsid w:val="45C972E7"/>
    <w:rsid w:val="45CC14F4"/>
    <w:rsid w:val="45F146F2"/>
    <w:rsid w:val="45FB5F89"/>
    <w:rsid w:val="45FF1EFE"/>
    <w:rsid w:val="461058D9"/>
    <w:rsid w:val="46165015"/>
    <w:rsid w:val="46280A29"/>
    <w:rsid w:val="463B4251"/>
    <w:rsid w:val="465027ED"/>
    <w:rsid w:val="465F4343"/>
    <w:rsid w:val="468539A4"/>
    <w:rsid w:val="46C66179"/>
    <w:rsid w:val="46CB17EB"/>
    <w:rsid w:val="46DE668F"/>
    <w:rsid w:val="46E551CD"/>
    <w:rsid w:val="47014483"/>
    <w:rsid w:val="4703333D"/>
    <w:rsid w:val="470A2438"/>
    <w:rsid w:val="472F4367"/>
    <w:rsid w:val="47373712"/>
    <w:rsid w:val="473F3688"/>
    <w:rsid w:val="47522D9A"/>
    <w:rsid w:val="47763C9E"/>
    <w:rsid w:val="4778738B"/>
    <w:rsid w:val="477A3E46"/>
    <w:rsid w:val="47865720"/>
    <w:rsid w:val="478A29F0"/>
    <w:rsid w:val="478A3249"/>
    <w:rsid w:val="478C0ADF"/>
    <w:rsid w:val="4790736A"/>
    <w:rsid w:val="479A12BB"/>
    <w:rsid w:val="479E7121"/>
    <w:rsid w:val="47A80B00"/>
    <w:rsid w:val="47AD45F5"/>
    <w:rsid w:val="47BA4FF1"/>
    <w:rsid w:val="47E77EB6"/>
    <w:rsid w:val="47F20C0E"/>
    <w:rsid w:val="480515E9"/>
    <w:rsid w:val="48065890"/>
    <w:rsid w:val="48127D91"/>
    <w:rsid w:val="481E0218"/>
    <w:rsid w:val="48273063"/>
    <w:rsid w:val="482A5811"/>
    <w:rsid w:val="484031A0"/>
    <w:rsid w:val="48460E01"/>
    <w:rsid w:val="48474441"/>
    <w:rsid w:val="485A4946"/>
    <w:rsid w:val="48660C31"/>
    <w:rsid w:val="487F196B"/>
    <w:rsid w:val="48843707"/>
    <w:rsid w:val="48921589"/>
    <w:rsid w:val="48B1483E"/>
    <w:rsid w:val="48F0103C"/>
    <w:rsid w:val="48F3402C"/>
    <w:rsid w:val="48F62D03"/>
    <w:rsid w:val="48F77F22"/>
    <w:rsid w:val="49006A4D"/>
    <w:rsid w:val="492A6E95"/>
    <w:rsid w:val="493A24D0"/>
    <w:rsid w:val="493C6687"/>
    <w:rsid w:val="493D20BB"/>
    <w:rsid w:val="4959124E"/>
    <w:rsid w:val="495D071E"/>
    <w:rsid w:val="49664EA6"/>
    <w:rsid w:val="496B669D"/>
    <w:rsid w:val="496E712A"/>
    <w:rsid w:val="49722A47"/>
    <w:rsid w:val="4973140F"/>
    <w:rsid w:val="49B35477"/>
    <w:rsid w:val="49B66EC5"/>
    <w:rsid w:val="49B7682F"/>
    <w:rsid w:val="49BE306A"/>
    <w:rsid w:val="49C071A1"/>
    <w:rsid w:val="49C161D8"/>
    <w:rsid w:val="49CC3F16"/>
    <w:rsid w:val="49D81F13"/>
    <w:rsid w:val="49E31136"/>
    <w:rsid w:val="49ED057A"/>
    <w:rsid w:val="4A057339"/>
    <w:rsid w:val="4A194A0A"/>
    <w:rsid w:val="4A335BDC"/>
    <w:rsid w:val="4A360F96"/>
    <w:rsid w:val="4A3A2422"/>
    <w:rsid w:val="4A3B40B2"/>
    <w:rsid w:val="4A573C9B"/>
    <w:rsid w:val="4A5B1925"/>
    <w:rsid w:val="4A903143"/>
    <w:rsid w:val="4A9B73F3"/>
    <w:rsid w:val="4AAC1814"/>
    <w:rsid w:val="4AB50E42"/>
    <w:rsid w:val="4ABB4926"/>
    <w:rsid w:val="4ABE1639"/>
    <w:rsid w:val="4ADC4024"/>
    <w:rsid w:val="4AE17C2C"/>
    <w:rsid w:val="4AEA24F0"/>
    <w:rsid w:val="4AF5404E"/>
    <w:rsid w:val="4AF55886"/>
    <w:rsid w:val="4AF83131"/>
    <w:rsid w:val="4B063561"/>
    <w:rsid w:val="4B150032"/>
    <w:rsid w:val="4B6937DD"/>
    <w:rsid w:val="4B870600"/>
    <w:rsid w:val="4B8E0170"/>
    <w:rsid w:val="4B8E63E6"/>
    <w:rsid w:val="4B964E4F"/>
    <w:rsid w:val="4BC22732"/>
    <w:rsid w:val="4BCC6CA8"/>
    <w:rsid w:val="4BCD53D9"/>
    <w:rsid w:val="4BCF38CB"/>
    <w:rsid w:val="4BEF4C5D"/>
    <w:rsid w:val="4BF0140A"/>
    <w:rsid w:val="4BFB520C"/>
    <w:rsid w:val="4BFC046E"/>
    <w:rsid w:val="4BFC6236"/>
    <w:rsid w:val="4C073CF8"/>
    <w:rsid w:val="4C102782"/>
    <w:rsid w:val="4C24124B"/>
    <w:rsid w:val="4C4541E5"/>
    <w:rsid w:val="4C511CEE"/>
    <w:rsid w:val="4C5316E4"/>
    <w:rsid w:val="4C554428"/>
    <w:rsid w:val="4C5C3EA5"/>
    <w:rsid w:val="4C631272"/>
    <w:rsid w:val="4C8556B7"/>
    <w:rsid w:val="4C8A5A53"/>
    <w:rsid w:val="4C9F6D0C"/>
    <w:rsid w:val="4CA1222F"/>
    <w:rsid w:val="4CB76367"/>
    <w:rsid w:val="4CBF3179"/>
    <w:rsid w:val="4CCC16DA"/>
    <w:rsid w:val="4CDD168C"/>
    <w:rsid w:val="4CDE1580"/>
    <w:rsid w:val="4D05310C"/>
    <w:rsid w:val="4D0D559E"/>
    <w:rsid w:val="4D0F7EAD"/>
    <w:rsid w:val="4D15514C"/>
    <w:rsid w:val="4D166BD9"/>
    <w:rsid w:val="4D1C782A"/>
    <w:rsid w:val="4D2237E5"/>
    <w:rsid w:val="4D2A6914"/>
    <w:rsid w:val="4D341316"/>
    <w:rsid w:val="4D4F3E2D"/>
    <w:rsid w:val="4D5077DD"/>
    <w:rsid w:val="4D706C30"/>
    <w:rsid w:val="4DA15110"/>
    <w:rsid w:val="4DB1639D"/>
    <w:rsid w:val="4DB56ED5"/>
    <w:rsid w:val="4DB73A62"/>
    <w:rsid w:val="4DB97D79"/>
    <w:rsid w:val="4DD30E27"/>
    <w:rsid w:val="4E0C0C92"/>
    <w:rsid w:val="4E1D44D2"/>
    <w:rsid w:val="4E1E3793"/>
    <w:rsid w:val="4E2241CB"/>
    <w:rsid w:val="4E251856"/>
    <w:rsid w:val="4E282639"/>
    <w:rsid w:val="4E317E06"/>
    <w:rsid w:val="4E416B1D"/>
    <w:rsid w:val="4E4B212D"/>
    <w:rsid w:val="4E5C563B"/>
    <w:rsid w:val="4E7E3962"/>
    <w:rsid w:val="4E9B7400"/>
    <w:rsid w:val="4EA548AD"/>
    <w:rsid w:val="4EC30B2B"/>
    <w:rsid w:val="4EC30BAA"/>
    <w:rsid w:val="4ED47CB2"/>
    <w:rsid w:val="4EDB7799"/>
    <w:rsid w:val="4EE80F4D"/>
    <w:rsid w:val="4EED420F"/>
    <w:rsid w:val="4EF11B96"/>
    <w:rsid w:val="4EF5428A"/>
    <w:rsid w:val="4EF75441"/>
    <w:rsid w:val="4F0F0E50"/>
    <w:rsid w:val="4F18079A"/>
    <w:rsid w:val="4F1B620F"/>
    <w:rsid w:val="4F2717D1"/>
    <w:rsid w:val="4F563ED8"/>
    <w:rsid w:val="4F5C12A0"/>
    <w:rsid w:val="4F616F31"/>
    <w:rsid w:val="4F7760C5"/>
    <w:rsid w:val="4F7F2039"/>
    <w:rsid w:val="4F857B40"/>
    <w:rsid w:val="4F8D7933"/>
    <w:rsid w:val="4F923128"/>
    <w:rsid w:val="4F977A6A"/>
    <w:rsid w:val="4F9D7F82"/>
    <w:rsid w:val="4F9E10B3"/>
    <w:rsid w:val="4FB72501"/>
    <w:rsid w:val="4FDB2A14"/>
    <w:rsid w:val="4FDD0844"/>
    <w:rsid w:val="4FE5216E"/>
    <w:rsid w:val="4FEE43C5"/>
    <w:rsid w:val="4FF50AA2"/>
    <w:rsid w:val="4FF55E04"/>
    <w:rsid w:val="4FFA1F79"/>
    <w:rsid w:val="4FFE6D44"/>
    <w:rsid w:val="501C3419"/>
    <w:rsid w:val="501D4063"/>
    <w:rsid w:val="502A5FF4"/>
    <w:rsid w:val="50334961"/>
    <w:rsid w:val="504A2ECF"/>
    <w:rsid w:val="50611C44"/>
    <w:rsid w:val="50641F16"/>
    <w:rsid w:val="506D39BB"/>
    <w:rsid w:val="506F3338"/>
    <w:rsid w:val="509C1B97"/>
    <w:rsid w:val="50A40B8B"/>
    <w:rsid w:val="50AB2E49"/>
    <w:rsid w:val="50AC26DF"/>
    <w:rsid w:val="50AE19B8"/>
    <w:rsid w:val="50B00860"/>
    <w:rsid w:val="50C02457"/>
    <w:rsid w:val="50C22147"/>
    <w:rsid w:val="50DA5D1D"/>
    <w:rsid w:val="50DF3746"/>
    <w:rsid w:val="51065AE3"/>
    <w:rsid w:val="5130697A"/>
    <w:rsid w:val="51606D80"/>
    <w:rsid w:val="518D502C"/>
    <w:rsid w:val="51984E54"/>
    <w:rsid w:val="51A146B6"/>
    <w:rsid w:val="51AE3CED"/>
    <w:rsid w:val="51B97C10"/>
    <w:rsid w:val="51BB5FF1"/>
    <w:rsid w:val="51C606FB"/>
    <w:rsid w:val="51D854A9"/>
    <w:rsid w:val="51E30B6A"/>
    <w:rsid w:val="51EF1984"/>
    <w:rsid w:val="51F747E0"/>
    <w:rsid w:val="52103C34"/>
    <w:rsid w:val="52114A1C"/>
    <w:rsid w:val="52151D21"/>
    <w:rsid w:val="52252690"/>
    <w:rsid w:val="52252BF9"/>
    <w:rsid w:val="52337F1C"/>
    <w:rsid w:val="5236531B"/>
    <w:rsid w:val="5249689C"/>
    <w:rsid w:val="52525E85"/>
    <w:rsid w:val="52567E52"/>
    <w:rsid w:val="52802154"/>
    <w:rsid w:val="528B4CAA"/>
    <w:rsid w:val="52BF6099"/>
    <w:rsid w:val="52D935FA"/>
    <w:rsid w:val="52E84EAB"/>
    <w:rsid w:val="52FA4A88"/>
    <w:rsid w:val="52FE1DF8"/>
    <w:rsid w:val="530326EF"/>
    <w:rsid w:val="531955E1"/>
    <w:rsid w:val="532173A6"/>
    <w:rsid w:val="53264762"/>
    <w:rsid w:val="53311999"/>
    <w:rsid w:val="533C45DC"/>
    <w:rsid w:val="534534A3"/>
    <w:rsid w:val="534C36C4"/>
    <w:rsid w:val="535B5FF9"/>
    <w:rsid w:val="536D21D8"/>
    <w:rsid w:val="53796342"/>
    <w:rsid w:val="53820BB2"/>
    <w:rsid w:val="538D79B9"/>
    <w:rsid w:val="539911C5"/>
    <w:rsid w:val="53AA73C8"/>
    <w:rsid w:val="53C241C4"/>
    <w:rsid w:val="53C429B7"/>
    <w:rsid w:val="53E81D64"/>
    <w:rsid w:val="53EB712E"/>
    <w:rsid w:val="53F5628E"/>
    <w:rsid w:val="54183F4F"/>
    <w:rsid w:val="541C53CD"/>
    <w:rsid w:val="54241077"/>
    <w:rsid w:val="54251052"/>
    <w:rsid w:val="542E1E30"/>
    <w:rsid w:val="54391E2A"/>
    <w:rsid w:val="543F370E"/>
    <w:rsid w:val="54505D70"/>
    <w:rsid w:val="545872C3"/>
    <w:rsid w:val="54631A1F"/>
    <w:rsid w:val="54787ECC"/>
    <w:rsid w:val="54812C87"/>
    <w:rsid w:val="548361DF"/>
    <w:rsid w:val="54957EB4"/>
    <w:rsid w:val="54AA7585"/>
    <w:rsid w:val="54BB6BD3"/>
    <w:rsid w:val="54C63A10"/>
    <w:rsid w:val="54F70681"/>
    <w:rsid w:val="55006CF5"/>
    <w:rsid w:val="55132040"/>
    <w:rsid w:val="551A6E9C"/>
    <w:rsid w:val="553E6CB0"/>
    <w:rsid w:val="55437516"/>
    <w:rsid w:val="554A1CE4"/>
    <w:rsid w:val="554B0A2E"/>
    <w:rsid w:val="555A19E2"/>
    <w:rsid w:val="55667EA2"/>
    <w:rsid w:val="55755D7B"/>
    <w:rsid w:val="55757CBD"/>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3450DB"/>
    <w:rsid w:val="563E0D12"/>
    <w:rsid w:val="56444033"/>
    <w:rsid w:val="564A72D1"/>
    <w:rsid w:val="56582EC5"/>
    <w:rsid w:val="565A1147"/>
    <w:rsid w:val="56635A76"/>
    <w:rsid w:val="567808EC"/>
    <w:rsid w:val="56864983"/>
    <w:rsid w:val="568E7350"/>
    <w:rsid w:val="56984E38"/>
    <w:rsid w:val="56A47248"/>
    <w:rsid w:val="56B96F71"/>
    <w:rsid w:val="56C44362"/>
    <w:rsid w:val="56CA4BBB"/>
    <w:rsid w:val="56DD6AC9"/>
    <w:rsid w:val="56E03E16"/>
    <w:rsid w:val="56ED3EE4"/>
    <w:rsid w:val="56F00B76"/>
    <w:rsid w:val="56F55395"/>
    <w:rsid w:val="56F745A8"/>
    <w:rsid w:val="56FF6F78"/>
    <w:rsid w:val="571635A1"/>
    <w:rsid w:val="57352F0E"/>
    <w:rsid w:val="57354B82"/>
    <w:rsid w:val="573B48F4"/>
    <w:rsid w:val="57415D44"/>
    <w:rsid w:val="57492FF5"/>
    <w:rsid w:val="574A5AA3"/>
    <w:rsid w:val="575C1A86"/>
    <w:rsid w:val="57767700"/>
    <w:rsid w:val="579A6EF3"/>
    <w:rsid w:val="579B330C"/>
    <w:rsid w:val="57A37560"/>
    <w:rsid w:val="57A83858"/>
    <w:rsid w:val="57AF5C54"/>
    <w:rsid w:val="57B2713D"/>
    <w:rsid w:val="57B42188"/>
    <w:rsid w:val="57B4655E"/>
    <w:rsid w:val="57D903E2"/>
    <w:rsid w:val="57FB0019"/>
    <w:rsid w:val="581A5F5A"/>
    <w:rsid w:val="58215951"/>
    <w:rsid w:val="5822625D"/>
    <w:rsid w:val="58264612"/>
    <w:rsid w:val="58306021"/>
    <w:rsid w:val="583D2C7F"/>
    <w:rsid w:val="5843317B"/>
    <w:rsid w:val="58507329"/>
    <w:rsid w:val="587D5FE6"/>
    <w:rsid w:val="58821087"/>
    <w:rsid w:val="588F1C60"/>
    <w:rsid w:val="58953FF1"/>
    <w:rsid w:val="589849BB"/>
    <w:rsid w:val="58B41748"/>
    <w:rsid w:val="58C33DB9"/>
    <w:rsid w:val="58C36C7A"/>
    <w:rsid w:val="58C425E3"/>
    <w:rsid w:val="58CF4446"/>
    <w:rsid w:val="58EE76E8"/>
    <w:rsid w:val="58FD2B7C"/>
    <w:rsid w:val="58FF0E69"/>
    <w:rsid w:val="59174271"/>
    <w:rsid w:val="59206ABC"/>
    <w:rsid w:val="59256ED3"/>
    <w:rsid w:val="59271FEC"/>
    <w:rsid w:val="59393975"/>
    <w:rsid w:val="59417210"/>
    <w:rsid w:val="5946051F"/>
    <w:rsid w:val="59692FF0"/>
    <w:rsid w:val="597645D2"/>
    <w:rsid w:val="597E453F"/>
    <w:rsid w:val="59932EFC"/>
    <w:rsid w:val="59967306"/>
    <w:rsid w:val="599D37A3"/>
    <w:rsid w:val="59B76C32"/>
    <w:rsid w:val="59C67DEE"/>
    <w:rsid w:val="59C9568A"/>
    <w:rsid w:val="59CA08F9"/>
    <w:rsid w:val="59F2693D"/>
    <w:rsid w:val="5A002FA3"/>
    <w:rsid w:val="5A007E30"/>
    <w:rsid w:val="5A0343C9"/>
    <w:rsid w:val="5A08125A"/>
    <w:rsid w:val="5A160D56"/>
    <w:rsid w:val="5A2179FB"/>
    <w:rsid w:val="5A243921"/>
    <w:rsid w:val="5A2776EF"/>
    <w:rsid w:val="5A45521F"/>
    <w:rsid w:val="5A4752B6"/>
    <w:rsid w:val="5A5051A4"/>
    <w:rsid w:val="5A6A69B7"/>
    <w:rsid w:val="5A6B504C"/>
    <w:rsid w:val="5A885001"/>
    <w:rsid w:val="5A8960C5"/>
    <w:rsid w:val="5A99743F"/>
    <w:rsid w:val="5A9E1877"/>
    <w:rsid w:val="5AA87A7C"/>
    <w:rsid w:val="5AB216C4"/>
    <w:rsid w:val="5ADD4D11"/>
    <w:rsid w:val="5AE26CDD"/>
    <w:rsid w:val="5AEA0953"/>
    <w:rsid w:val="5AEC23B4"/>
    <w:rsid w:val="5B052047"/>
    <w:rsid w:val="5B0F7EB6"/>
    <w:rsid w:val="5B32108D"/>
    <w:rsid w:val="5B3625B8"/>
    <w:rsid w:val="5B3F47FC"/>
    <w:rsid w:val="5B41351D"/>
    <w:rsid w:val="5B7339AD"/>
    <w:rsid w:val="5B813703"/>
    <w:rsid w:val="5B842A8E"/>
    <w:rsid w:val="5B9F61D8"/>
    <w:rsid w:val="5BA86394"/>
    <w:rsid w:val="5BB82B14"/>
    <w:rsid w:val="5BB95B06"/>
    <w:rsid w:val="5BFA335F"/>
    <w:rsid w:val="5C322A65"/>
    <w:rsid w:val="5C526F7B"/>
    <w:rsid w:val="5C595364"/>
    <w:rsid w:val="5C6C51C1"/>
    <w:rsid w:val="5C7B6810"/>
    <w:rsid w:val="5C7E1616"/>
    <w:rsid w:val="5C805B19"/>
    <w:rsid w:val="5C84485C"/>
    <w:rsid w:val="5C861F85"/>
    <w:rsid w:val="5C917CB2"/>
    <w:rsid w:val="5C92145C"/>
    <w:rsid w:val="5C99030E"/>
    <w:rsid w:val="5C9A4295"/>
    <w:rsid w:val="5C9E3C9E"/>
    <w:rsid w:val="5CA967D6"/>
    <w:rsid w:val="5CAD01E8"/>
    <w:rsid w:val="5CD40035"/>
    <w:rsid w:val="5CDF2B73"/>
    <w:rsid w:val="5CE9458D"/>
    <w:rsid w:val="5D0449CF"/>
    <w:rsid w:val="5D0E21AC"/>
    <w:rsid w:val="5D3468C4"/>
    <w:rsid w:val="5D3B635D"/>
    <w:rsid w:val="5D434714"/>
    <w:rsid w:val="5D457A5D"/>
    <w:rsid w:val="5D4E3012"/>
    <w:rsid w:val="5D4E3C68"/>
    <w:rsid w:val="5D5F23EC"/>
    <w:rsid w:val="5D797731"/>
    <w:rsid w:val="5DA70253"/>
    <w:rsid w:val="5DCB09A1"/>
    <w:rsid w:val="5DDD28C3"/>
    <w:rsid w:val="5E0E1390"/>
    <w:rsid w:val="5E2C29D6"/>
    <w:rsid w:val="5E2F5CFC"/>
    <w:rsid w:val="5E3036B9"/>
    <w:rsid w:val="5E464496"/>
    <w:rsid w:val="5E61698D"/>
    <w:rsid w:val="5E7E60A9"/>
    <w:rsid w:val="5EBC2E54"/>
    <w:rsid w:val="5EDA2CAC"/>
    <w:rsid w:val="5EDB00E0"/>
    <w:rsid w:val="5EDE5287"/>
    <w:rsid w:val="5EE61F49"/>
    <w:rsid w:val="5F1950E1"/>
    <w:rsid w:val="5F1E54FC"/>
    <w:rsid w:val="5F1E7070"/>
    <w:rsid w:val="5F231924"/>
    <w:rsid w:val="5F315AA9"/>
    <w:rsid w:val="5F3F74F9"/>
    <w:rsid w:val="5F445B2E"/>
    <w:rsid w:val="5F5F359D"/>
    <w:rsid w:val="5F6E41B1"/>
    <w:rsid w:val="5F714A57"/>
    <w:rsid w:val="5F715D02"/>
    <w:rsid w:val="5F785CFF"/>
    <w:rsid w:val="5F7B5532"/>
    <w:rsid w:val="5F8C05DD"/>
    <w:rsid w:val="5F9136E2"/>
    <w:rsid w:val="5F9609A6"/>
    <w:rsid w:val="5F976056"/>
    <w:rsid w:val="5F9A541A"/>
    <w:rsid w:val="5FA03C55"/>
    <w:rsid w:val="5FA96BB5"/>
    <w:rsid w:val="5FC26490"/>
    <w:rsid w:val="5FCC0F20"/>
    <w:rsid w:val="5FE3287C"/>
    <w:rsid w:val="5FE502FA"/>
    <w:rsid w:val="5FEF66DA"/>
    <w:rsid w:val="5FF727EF"/>
    <w:rsid w:val="600A2620"/>
    <w:rsid w:val="600D7226"/>
    <w:rsid w:val="60177C95"/>
    <w:rsid w:val="601C03AD"/>
    <w:rsid w:val="60226395"/>
    <w:rsid w:val="602B20E7"/>
    <w:rsid w:val="602F7A19"/>
    <w:rsid w:val="603C224B"/>
    <w:rsid w:val="60612816"/>
    <w:rsid w:val="60615277"/>
    <w:rsid w:val="60695999"/>
    <w:rsid w:val="60A023E2"/>
    <w:rsid w:val="60C86DFB"/>
    <w:rsid w:val="60F87B91"/>
    <w:rsid w:val="6100676D"/>
    <w:rsid w:val="610757A6"/>
    <w:rsid w:val="610A1465"/>
    <w:rsid w:val="61224AC8"/>
    <w:rsid w:val="612416C4"/>
    <w:rsid w:val="612F062B"/>
    <w:rsid w:val="61355264"/>
    <w:rsid w:val="613D1908"/>
    <w:rsid w:val="61434C41"/>
    <w:rsid w:val="616B34F1"/>
    <w:rsid w:val="61B34920"/>
    <w:rsid w:val="61B8363E"/>
    <w:rsid w:val="61D35210"/>
    <w:rsid w:val="61E26A39"/>
    <w:rsid w:val="61E913A4"/>
    <w:rsid w:val="61EE361C"/>
    <w:rsid w:val="61F2346C"/>
    <w:rsid w:val="61F3564A"/>
    <w:rsid w:val="620455FF"/>
    <w:rsid w:val="62051E5E"/>
    <w:rsid w:val="62096860"/>
    <w:rsid w:val="620D5CAE"/>
    <w:rsid w:val="620F5FBB"/>
    <w:rsid w:val="621B439A"/>
    <w:rsid w:val="622542A4"/>
    <w:rsid w:val="62357B4C"/>
    <w:rsid w:val="623C3E79"/>
    <w:rsid w:val="624B1DCB"/>
    <w:rsid w:val="624D3860"/>
    <w:rsid w:val="627E4AA6"/>
    <w:rsid w:val="62B775E1"/>
    <w:rsid w:val="62B8695E"/>
    <w:rsid w:val="62C054DC"/>
    <w:rsid w:val="62C20E6C"/>
    <w:rsid w:val="62D50569"/>
    <w:rsid w:val="62D877BF"/>
    <w:rsid w:val="62DD303E"/>
    <w:rsid w:val="62E03F56"/>
    <w:rsid w:val="62EB1915"/>
    <w:rsid w:val="62F05B79"/>
    <w:rsid w:val="62F54D21"/>
    <w:rsid w:val="63145F63"/>
    <w:rsid w:val="63153B67"/>
    <w:rsid w:val="63191F45"/>
    <w:rsid w:val="631A114F"/>
    <w:rsid w:val="631F4897"/>
    <w:rsid w:val="6327117C"/>
    <w:rsid w:val="633270F6"/>
    <w:rsid w:val="63340F00"/>
    <w:rsid w:val="633849E8"/>
    <w:rsid w:val="633F742D"/>
    <w:rsid w:val="63446387"/>
    <w:rsid w:val="6359534E"/>
    <w:rsid w:val="63945C4D"/>
    <w:rsid w:val="63AA53D6"/>
    <w:rsid w:val="63AF6032"/>
    <w:rsid w:val="63BA23B1"/>
    <w:rsid w:val="63BE0768"/>
    <w:rsid w:val="63BE1EAF"/>
    <w:rsid w:val="63BE38DD"/>
    <w:rsid w:val="63BE4877"/>
    <w:rsid w:val="63CC1E6C"/>
    <w:rsid w:val="63D42E6F"/>
    <w:rsid w:val="63DF01FA"/>
    <w:rsid w:val="63ED7418"/>
    <w:rsid w:val="63F55F2B"/>
    <w:rsid w:val="640E09AC"/>
    <w:rsid w:val="641423F7"/>
    <w:rsid w:val="6414705B"/>
    <w:rsid w:val="6418742C"/>
    <w:rsid w:val="642E0DC1"/>
    <w:rsid w:val="64383811"/>
    <w:rsid w:val="643B1DDB"/>
    <w:rsid w:val="64527EE2"/>
    <w:rsid w:val="6463704A"/>
    <w:rsid w:val="64746411"/>
    <w:rsid w:val="64773568"/>
    <w:rsid w:val="64784319"/>
    <w:rsid w:val="648A53C3"/>
    <w:rsid w:val="64B1582E"/>
    <w:rsid w:val="64C007C5"/>
    <w:rsid w:val="64C25AE1"/>
    <w:rsid w:val="64D8522D"/>
    <w:rsid w:val="64F459EF"/>
    <w:rsid w:val="64F513F9"/>
    <w:rsid w:val="64FC6A39"/>
    <w:rsid w:val="64FF5554"/>
    <w:rsid w:val="64FF5B33"/>
    <w:rsid w:val="650C735C"/>
    <w:rsid w:val="651A528F"/>
    <w:rsid w:val="652210F7"/>
    <w:rsid w:val="65252373"/>
    <w:rsid w:val="65310787"/>
    <w:rsid w:val="653519CE"/>
    <w:rsid w:val="654A0485"/>
    <w:rsid w:val="655679F7"/>
    <w:rsid w:val="655C0221"/>
    <w:rsid w:val="6561496C"/>
    <w:rsid w:val="656B28FD"/>
    <w:rsid w:val="657958FF"/>
    <w:rsid w:val="6584001B"/>
    <w:rsid w:val="658558D2"/>
    <w:rsid w:val="658B2995"/>
    <w:rsid w:val="65981B19"/>
    <w:rsid w:val="65A264C4"/>
    <w:rsid w:val="65D63A96"/>
    <w:rsid w:val="65F46A63"/>
    <w:rsid w:val="65FF233E"/>
    <w:rsid w:val="660367A1"/>
    <w:rsid w:val="6607745E"/>
    <w:rsid w:val="66093FCB"/>
    <w:rsid w:val="660C1008"/>
    <w:rsid w:val="66130AAB"/>
    <w:rsid w:val="66247877"/>
    <w:rsid w:val="66442B47"/>
    <w:rsid w:val="6645606B"/>
    <w:rsid w:val="664A5DB0"/>
    <w:rsid w:val="664F5592"/>
    <w:rsid w:val="666138BE"/>
    <w:rsid w:val="666B61C1"/>
    <w:rsid w:val="66704DB8"/>
    <w:rsid w:val="667430BA"/>
    <w:rsid w:val="6687181F"/>
    <w:rsid w:val="66A04B27"/>
    <w:rsid w:val="66AB0232"/>
    <w:rsid w:val="66AC42E9"/>
    <w:rsid w:val="66B20A89"/>
    <w:rsid w:val="66B327B0"/>
    <w:rsid w:val="66B57968"/>
    <w:rsid w:val="66B92610"/>
    <w:rsid w:val="66C65DA4"/>
    <w:rsid w:val="66CB27C0"/>
    <w:rsid w:val="66CD7497"/>
    <w:rsid w:val="66E14E8E"/>
    <w:rsid w:val="66E67C21"/>
    <w:rsid w:val="66F06BD4"/>
    <w:rsid w:val="66F939B6"/>
    <w:rsid w:val="673F3AC6"/>
    <w:rsid w:val="67475E38"/>
    <w:rsid w:val="67537032"/>
    <w:rsid w:val="67631754"/>
    <w:rsid w:val="67656864"/>
    <w:rsid w:val="6766467F"/>
    <w:rsid w:val="676B362B"/>
    <w:rsid w:val="676D60D7"/>
    <w:rsid w:val="67775F53"/>
    <w:rsid w:val="67873F03"/>
    <w:rsid w:val="67A2624C"/>
    <w:rsid w:val="67AE39D7"/>
    <w:rsid w:val="67B42723"/>
    <w:rsid w:val="67C26BE9"/>
    <w:rsid w:val="67CD5390"/>
    <w:rsid w:val="67CF66A0"/>
    <w:rsid w:val="67F41BB8"/>
    <w:rsid w:val="67F60BB7"/>
    <w:rsid w:val="67FC1404"/>
    <w:rsid w:val="68022384"/>
    <w:rsid w:val="6806232A"/>
    <w:rsid w:val="680B049B"/>
    <w:rsid w:val="681329CD"/>
    <w:rsid w:val="682870E2"/>
    <w:rsid w:val="68514045"/>
    <w:rsid w:val="686E2CBE"/>
    <w:rsid w:val="68995A67"/>
    <w:rsid w:val="689E408E"/>
    <w:rsid w:val="68B77FEA"/>
    <w:rsid w:val="68CC65D0"/>
    <w:rsid w:val="68D8103F"/>
    <w:rsid w:val="68EE6D9D"/>
    <w:rsid w:val="68FB681C"/>
    <w:rsid w:val="69010FD4"/>
    <w:rsid w:val="69053679"/>
    <w:rsid w:val="690737B5"/>
    <w:rsid w:val="6934460D"/>
    <w:rsid w:val="694E280C"/>
    <w:rsid w:val="69607A6C"/>
    <w:rsid w:val="696B7A43"/>
    <w:rsid w:val="696D0FD1"/>
    <w:rsid w:val="697C6401"/>
    <w:rsid w:val="697D34E1"/>
    <w:rsid w:val="69865073"/>
    <w:rsid w:val="698C58DA"/>
    <w:rsid w:val="69A7696E"/>
    <w:rsid w:val="69AB6664"/>
    <w:rsid w:val="69B55183"/>
    <w:rsid w:val="69C37CDD"/>
    <w:rsid w:val="69CD70A4"/>
    <w:rsid w:val="69F27551"/>
    <w:rsid w:val="6A017D99"/>
    <w:rsid w:val="6A114CCF"/>
    <w:rsid w:val="6A195EB9"/>
    <w:rsid w:val="6A322912"/>
    <w:rsid w:val="6A483D54"/>
    <w:rsid w:val="6A4E7F60"/>
    <w:rsid w:val="6A4F0FE3"/>
    <w:rsid w:val="6A6E3D8A"/>
    <w:rsid w:val="6A907C90"/>
    <w:rsid w:val="6ABD2B8A"/>
    <w:rsid w:val="6AC122A3"/>
    <w:rsid w:val="6ACA5FB0"/>
    <w:rsid w:val="6ADE18EE"/>
    <w:rsid w:val="6ADF3594"/>
    <w:rsid w:val="6AE73F4D"/>
    <w:rsid w:val="6B0B1D32"/>
    <w:rsid w:val="6B0F0139"/>
    <w:rsid w:val="6B2142CE"/>
    <w:rsid w:val="6B2315D2"/>
    <w:rsid w:val="6B25182E"/>
    <w:rsid w:val="6B30021B"/>
    <w:rsid w:val="6B3B0707"/>
    <w:rsid w:val="6B471513"/>
    <w:rsid w:val="6B56083E"/>
    <w:rsid w:val="6B6B376C"/>
    <w:rsid w:val="6B7C613A"/>
    <w:rsid w:val="6B850C29"/>
    <w:rsid w:val="6B954CEF"/>
    <w:rsid w:val="6BA840D6"/>
    <w:rsid w:val="6BBE61C0"/>
    <w:rsid w:val="6BD46B4D"/>
    <w:rsid w:val="6BE73798"/>
    <w:rsid w:val="6BEA061A"/>
    <w:rsid w:val="6C1A082E"/>
    <w:rsid w:val="6C3707E3"/>
    <w:rsid w:val="6C693AEA"/>
    <w:rsid w:val="6C6958BA"/>
    <w:rsid w:val="6C6E6BE1"/>
    <w:rsid w:val="6C860712"/>
    <w:rsid w:val="6C860B71"/>
    <w:rsid w:val="6C863AD3"/>
    <w:rsid w:val="6C8F0FB6"/>
    <w:rsid w:val="6C995B9F"/>
    <w:rsid w:val="6CB03800"/>
    <w:rsid w:val="6CB543F8"/>
    <w:rsid w:val="6CD3191A"/>
    <w:rsid w:val="6CE83B52"/>
    <w:rsid w:val="6CFD7470"/>
    <w:rsid w:val="6D193B0B"/>
    <w:rsid w:val="6D2162B4"/>
    <w:rsid w:val="6D222178"/>
    <w:rsid w:val="6D2C13DF"/>
    <w:rsid w:val="6D351109"/>
    <w:rsid w:val="6D535020"/>
    <w:rsid w:val="6D6A5CC8"/>
    <w:rsid w:val="6D6B3F91"/>
    <w:rsid w:val="6D7707C3"/>
    <w:rsid w:val="6D8901BC"/>
    <w:rsid w:val="6D9346AE"/>
    <w:rsid w:val="6DB22D18"/>
    <w:rsid w:val="6DB96B12"/>
    <w:rsid w:val="6DC918BA"/>
    <w:rsid w:val="6DD16FED"/>
    <w:rsid w:val="6DE04488"/>
    <w:rsid w:val="6DEE7E36"/>
    <w:rsid w:val="6E0C08E6"/>
    <w:rsid w:val="6E132BBF"/>
    <w:rsid w:val="6E156AB9"/>
    <w:rsid w:val="6E2A1D7A"/>
    <w:rsid w:val="6E347D9E"/>
    <w:rsid w:val="6E457FD7"/>
    <w:rsid w:val="6E5140E8"/>
    <w:rsid w:val="6E523ECC"/>
    <w:rsid w:val="6E777980"/>
    <w:rsid w:val="6E8C433E"/>
    <w:rsid w:val="6E9C45CA"/>
    <w:rsid w:val="6EBF54EA"/>
    <w:rsid w:val="6ECB09B7"/>
    <w:rsid w:val="6ECC5B21"/>
    <w:rsid w:val="6ED0560A"/>
    <w:rsid w:val="6EE62D04"/>
    <w:rsid w:val="6F2C025F"/>
    <w:rsid w:val="6F2C25D4"/>
    <w:rsid w:val="6F4308A1"/>
    <w:rsid w:val="6F46405D"/>
    <w:rsid w:val="6F5603AA"/>
    <w:rsid w:val="6F582142"/>
    <w:rsid w:val="6F6311C3"/>
    <w:rsid w:val="6F7B4F57"/>
    <w:rsid w:val="6F8173A5"/>
    <w:rsid w:val="6F8731F0"/>
    <w:rsid w:val="6F98023F"/>
    <w:rsid w:val="6FBC0E57"/>
    <w:rsid w:val="6FC57B35"/>
    <w:rsid w:val="6FCB5618"/>
    <w:rsid w:val="6FF551F5"/>
    <w:rsid w:val="6FF901E4"/>
    <w:rsid w:val="703503A4"/>
    <w:rsid w:val="7036351C"/>
    <w:rsid w:val="703D6CEF"/>
    <w:rsid w:val="70412B93"/>
    <w:rsid w:val="70553D44"/>
    <w:rsid w:val="705D42D1"/>
    <w:rsid w:val="7062375F"/>
    <w:rsid w:val="70706378"/>
    <w:rsid w:val="708B2925"/>
    <w:rsid w:val="70B16ED7"/>
    <w:rsid w:val="70C06B12"/>
    <w:rsid w:val="70C55B89"/>
    <w:rsid w:val="70CE5088"/>
    <w:rsid w:val="70D900D5"/>
    <w:rsid w:val="70EC759C"/>
    <w:rsid w:val="71050BFD"/>
    <w:rsid w:val="710A05D6"/>
    <w:rsid w:val="71164870"/>
    <w:rsid w:val="71215B48"/>
    <w:rsid w:val="712357B2"/>
    <w:rsid w:val="713425DE"/>
    <w:rsid w:val="71362F91"/>
    <w:rsid w:val="71395FAD"/>
    <w:rsid w:val="713C7860"/>
    <w:rsid w:val="7158707F"/>
    <w:rsid w:val="715F7096"/>
    <w:rsid w:val="71634934"/>
    <w:rsid w:val="71684551"/>
    <w:rsid w:val="716C7616"/>
    <w:rsid w:val="71723E36"/>
    <w:rsid w:val="71895007"/>
    <w:rsid w:val="718C2955"/>
    <w:rsid w:val="718C3250"/>
    <w:rsid w:val="719C38AD"/>
    <w:rsid w:val="71BA2D03"/>
    <w:rsid w:val="71DD2475"/>
    <w:rsid w:val="71DD54E0"/>
    <w:rsid w:val="71E25D9B"/>
    <w:rsid w:val="71EA1849"/>
    <w:rsid w:val="71FC4024"/>
    <w:rsid w:val="72097561"/>
    <w:rsid w:val="724033F7"/>
    <w:rsid w:val="72433065"/>
    <w:rsid w:val="728175C3"/>
    <w:rsid w:val="728E5109"/>
    <w:rsid w:val="72A2415E"/>
    <w:rsid w:val="72AC288B"/>
    <w:rsid w:val="72B266AC"/>
    <w:rsid w:val="72C03295"/>
    <w:rsid w:val="72C346BD"/>
    <w:rsid w:val="72CE404E"/>
    <w:rsid w:val="72E065A9"/>
    <w:rsid w:val="72E47A77"/>
    <w:rsid w:val="72ED4786"/>
    <w:rsid w:val="72F5500F"/>
    <w:rsid w:val="72FD4B94"/>
    <w:rsid w:val="73035024"/>
    <w:rsid w:val="731822C5"/>
    <w:rsid w:val="73261C73"/>
    <w:rsid w:val="73274383"/>
    <w:rsid w:val="73296A24"/>
    <w:rsid w:val="733B25A8"/>
    <w:rsid w:val="733E766B"/>
    <w:rsid w:val="734A04E5"/>
    <w:rsid w:val="736F044F"/>
    <w:rsid w:val="737410AC"/>
    <w:rsid w:val="73785F09"/>
    <w:rsid w:val="7391679E"/>
    <w:rsid w:val="73A53482"/>
    <w:rsid w:val="73AA5EEC"/>
    <w:rsid w:val="73B04236"/>
    <w:rsid w:val="73BB09D2"/>
    <w:rsid w:val="73BF77D7"/>
    <w:rsid w:val="73CB6CEC"/>
    <w:rsid w:val="73E27B00"/>
    <w:rsid w:val="73E65029"/>
    <w:rsid w:val="73EF42A9"/>
    <w:rsid w:val="73F017DA"/>
    <w:rsid w:val="73F07D9A"/>
    <w:rsid w:val="73F41526"/>
    <w:rsid w:val="74180BBF"/>
    <w:rsid w:val="74266B95"/>
    <w:rsid w:val="742E73BF"/>
    <w:rsid w:val="743D2A5D"/>
    <w:rsid w:val="74451C3B"/>
    <w:rsid w:val="74566DBA"/>
    <w:rsid w:val="745A0BA9"/>
    <w:rsid w:val="745D2796"/>
    <w:rsid w:val="7460605D"/>
    <w:rsid w:val="74645E2C"/>
    <w:rsid w:val="747A5C59"/>
    <w:rsid w:val="748D4D0B"/>
    <w:rsid w:val="748F2873"/>
    <w:rsid w:val="74C07362"/>
    <w:rsid w:val="74E0416E"/>
    <w:rsid w:val="74EE09B3"/>
    <w:rsid w:val="74F16FF8"/>
    <w:rsid w:val="75032417"/>
    <w:rsid w:val="751630F3"/>
    <w:rsid w:val="751B0EF7"/>
    <w:rsid w:val="751D677C"/>
    <w:rsid w:val="75231E7F"/>
    <w:rsid w:val="75494DE0"/>
    <w:rsid w:val="754A58F7"/>
    <w:rsid w:val="75684184"/>
    <w:rsid w:val="759146BB"/>
    <w:rsid w:val="75B30DD6"/>
    <w:rsid w:val="75C25231"/>
    <w:rsid w:val="75C876B4"/>
    <w:rsid w:val="75DF4381"/>
    <w:rsid w:val="75E142B9"/>
    <w:rsid w:val="75E5151B"/>
    <w:rsid w:val="75EC37AE"/>
    <w:rsid w:val="75F16CCA"/>
    <w:rsid w:val="76054A17"/>
    <w:rsid w:val="76211AF6"/>
    <w:rsid w:val="76275FAE"/>
    <w:rsid w:val="762E39BD"/>
    <w:rsid w:val="763537F6"/>
    <w:rsid w:val="763B3B81"/>
    <w:rsid w:val="76417696"/>
    <w:rsid w:val="76686B17"/>
    <w:rsid w:val="76780767"/>
    <w:rsid w:val="767F314F"/>
    <w:rsid w:val="76940D5A"/>
    <w:rsid w:val="769F638C"/>
    <w:rsid w:val="77241334"/>
    <w:rsid w:val="772E3EC9"/>
    <w:rsid w:val="77311CB9"/>
    <w:rsid w:val="778B74B3"/>
    <w:rsid w:val="779C66D3"/>
    <w:rsid w:val="77A52D33"/>
    <w:rsid w:val="77B86D8D"/>
    <w:rsid w:val="77B95085"/>
    <w:rsid w:val="77C82507"/>
    <w:rsid w:val="77C94A5C"/>
    <w:rsid w:val="77D51602"/>
    <w:rsid w:val="77F359E9"/>
    <w:rsid w:val="780E6346"/>
    <w:rsid w:val="7810476F"/>
    <w:rsid w:val="781B6277"/>
    <w:rsid w:val="782402F6"/>
    <w:rsid w:val="7826124C"/>
    <w:rsid w:val="782D5E70"/>
    <w:rsid w:val="782E0211"/>
    <w:rsid w:val="783E6B68"/>
    <w:rsid w:val="786660BB"/>
    <w:rsid w:val="787967A0"/>
    <w:rsid w:val="787E5DA4"/>
    <w:rsid w:val="7886011F"/>
    <w:rsid w:val="788E4C33"/>
    <w:rsid w:val="78A23C35"/>
    <w:rsid w:val="78AE55B9"/>
    <w:rsid w:val="78B1241F"/>
    <w:rsid w:val="78B5402C"/>
    <w:rsid w:val="78C33580"/>
    <w:rsid w:val="78CA3104"/>
    <w:rsid w:val="78DD724E"/>
    <w:rsid w:val="78E144CE"/>
    <w:rsid w:val="78E46F81"/>
    <w:rsid w:val="78E97DB2"/>
    <w:rsid w:val="78FB0EF8"/>
    <w:rsid w:val="78FE7A25"/>
    <w:rsid w:val="790300B9"/>
    <w:rsid w:val="792C6D0B"/>
    <w:rsid w:val="793731E3"/>
    <w:rsid w:val="79392389"/>
    <w:rsid w:val="793F4619"/>
    <w:rsid w:val="79433F94"/>
    <w:rsid w:val="79476D94"/>
    <w:rsid w:val="795200ED"/>
    <w:rsid w:val="79533E74"/>
    <w:rsid w:val="79537BB7"/>
    <w:rsid w:val="79651C45"/>
    <w:rsid w:val="796C1BE9"/>
    <w:rsid w:val="7972462B"/>
    <w:rsid w:val="797C1FFB"/>
    <w:rsid w:val="798F727F"/>
    <w:rsid w:val="7998292C"/>
    <w:rsid w:val="79BC5130"/>
    <w:rsid w:val="79E3591D"/>
    <w:rsid w:val="79F075B1"/>
    <w:rsid w:val="79FB0C04"/>
    <w:rsid w:val="79FD459D"/>
    <w:rsid w:val="79FE5779"/>
    <w:rsid w:val="7A0144E6"/>
    <w:rsid w:val="7A082841"/>
    <w:rsid w:val="7A0C5205"/>
    <w:rsid w:val="7A314E83"/>
    <w:rsid w:val="7A444B44"/>
    <w:rsid w:val="7A4568FC"/>
    <w:rsid w:val="7A6639DD"/>
    <w:rsid w:val="7A697475"/>
    <w:rsid w:val="7A6D79AA"/>
    <w:rsid w:val="7A7A62B5"/>
    <w:rsid w:val="7A8157F4"/>
    <w:rsid w:val="7A8210D7"/>
    <w:rsid w:val="7A8E0619"/>
    <w:rsid w:val="7AD47A51"/>
    <w:rsid w:val="7AD53C91"/>
    <w:rsid w:val="7AD91D8E"/>
    <w:rsid w:val="7ADB5C40"/>
    <w:rsid w:val="7ADD7099"/>
    <w:rsid w:val="7AE53FA2"/>
    <w:rsid w:val="7AE91E92"/>
    <w:rsid w:val="7AF37660"/>
    <w:rsid w:val="7B126289"/>
    <w:rsid w:val="7B30530E"/>
    <w:rsid w:val="7B3846C8"/>
    <w:rsid w:val="7B390DDA"/>
    <w:rsid w:val="7B693808"/>
    <w:rsid w:val="7B6D58DE"/>
    <w:rsid w:val="7B8F488C"/>
    <w:rsid w:val="7B993DA4"/>
    <w:rsid w:val="7B9E0E8A"/>
    <w:rsid w:val="7BAA71B9"/>
    <w:rsid w:val="7BAF7D8E"/>
    <w:rsid w:val="7BB10B07"/>
    <w:rsid w:val="7BBF1BA5"/>
    <w:rsid w:val="7BDC2D7A"/>
    <w:rsid w:val="7BF71F56"/>
    <w:rsid w:val="7BFB33F0"/>
    <w:rsid w:val="7C0433BA"/>
    <w:rsid w:val="7C0467F7"/>
    <w:rsid w:val="7C052A99"/>
    <w:rsid w:val="7C1C2365"/>
    <w:rsid w:val="7C440D38"/>
    <w:rsid w:val="7C4A0704"/>
    <w:rsid w:val="7C4A26E6"/>
    <w:rsid w:val="7C59098D"/>
    <w:rsid w:val="7C816640"/>
    <w:rsid w:val="7C907C58"/>
    <w:rsid w:val="7C973CE5"/>
    <w:rsid w:val="7C9C5AAF"/>
    <w:rsid w:val="7CA26400"/>
    <w:rsid w:val="7CA504FC"/>
    <w:rsid w:val="7CA92D22"/>
    <w:rsid w:val="7CAB1228"/>
    <w:rsid w:val="7CB53CE5"/>
    <w:rsid w:val="7CB8747E"/>
    <w:rsid w:val="7CC66EA5"/>
    <w:rsid w:val="7CD91ED4"/>
    <w:rsid w:val="7CDA4FD7"/>
    <w:rsid w:val="7CDE6632"/>
    <w:rsid w:val="7CE31486"/>
    <w:rsid w:val="7CE355AB"/>
    <w:rsid w:val="7CED4739"/>
    <w:rsid w:val="7CF81AC1"/>
    <w:rsid w:val="7D051E6D"/>
    <w:rsid w:val="7D130BAA"/>
    <w:rsid w:val="7D293E37"/>
    <w:rsid w:val="7D2C2A2C"/>
    <w:rsid w:val="7D3C3A40"/>
    <w:rsid w:val="7D3D1E08"/>
    <w:rsid w:val="7D3F49EB"/>
    <w:rsid w:val="7D42460F"/>
    <w:rsid w:val="7D491923"/>
    <w:rsid w:val="7D4B0579"/>
    <w:rsid w:val="7D555FAC"/>
    <w:rsid w:val="7D6B63FA"/>
    <w:rsid w:val="7D6C6BA9"/>
    <w:rsid w:val="7D7F0A40"/>
    <w:rsid w:val="7D8E409D"/>
    <w:rsid w:val="7DDA0FC1"/>
    <w:rsid w:val="7DDC6964"/>
    <w:rsid w:val="7DE065A7"/>
    <w:rsid w:val="7DEB5334"/>
    <w:rsid w:val="7DEB5814"/>
    <w:rsid w:val="7DF52D47"/>
    <w:rsid w:val="7DFA7B58"/>
    <w:rsid w:val="7E054DC3"/>
    <w:rsid w:val="7E0E2884"/>
    <w:rsid w:val="7E1813FE"/>
    <w:rsid w:val="7E250A47"/>
    <w:rsid w:val="7E2E5534"/>
    <w:rsid w:val="7E2E67D3"/>
    <w:rsid w:val="7E3139AB"/>
    <w:rsid w:val="7E631219"/>
    <w:rsid w:val="7E7517E8"/>
    <w:rsid w:val="7E7E2375"/>
    <w:rsid w:val="7E8E203F"/>
    <w:rsid w:val="7E8F25D0"/>
    <w:rsid w:val="7EAC6DCF"/>
    <w:rsid w:val="7EBC1F58"/>
    <w:rsid w:val="7EC9106A"/>
    <w:rsid w:val="7EC957DD"/>
    <w:rsid w:val="7ED14DB6"/>
    <w:rsid w:val="7EDC3B37"/>
    <w:rsid w:val="7EE76915"/>
    <w:rsid w:val="7EEC6E13"/>
    <w:rsid w:val="7EF118F1"/>
    <w:rsid w:val="7EF47DC2"/>
    <w:rsid w:val="7F0B68A2"/>
    <w:rsid w:val="7F115E56"/>
    <w:rsid w:val="7F2039B5"/>
    <w:rsid w:val="7F24500C"/>
    <w:rsid w:val="7F2A6727"/>
    <w:rsid w:val="7F4419AA"/>
    <w:rsid w:val="7F45214C"/>
    <w:rsid w:val="7F4E793F"/>
    <w:rsid w:val="7F5579B0"/>
    <w:rsid w:val="7F617E8B"/>
    <w:rsid w:val="7F837A9D"/>
    <w:rsid w:val="7F893C50"/>
    <w:rsid w:val="7F947FF8"/>
    <w:rsid w:val="7F977394"/>
    <w:rsid w:val="7FA450A9"/>
    <w:rsid w:val="7FA87001"/>
    <w:rsid w:val="7FB3330A"/>
    <w:rsid w:val="7FCC0E95"/>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outlineLvl w:val="0"/>
    </w:pPr>
    <w:rPr>
      <w:b/>
      <w:bCs/>
      <w:kern w:val="44"/>
      <w:szCs w:val="44"/>
    </w:rPr>
  </w:style>
  <w:style w:type="paragraph" w:styleId="5">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6">
    <w:name w:val="heading 3"/>
    <w:basedOn w:val="1"/>
    <w:next w:val="1"/>
    <w:qFormat/>
    <w:uiPriority w:val="0"/>
    <w:pPr>
      <w:keepNext/>
      <w:outlineLvl w:val="2"/>
    </w:pPr>
    <w:rPr>
      <w:sz w:val="44"/>
      <w:shd w:val="pct10" w:color="auto" w:fill="FFFFFF"/>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sz w:val="18"/>
    </w:rPr>
  </w:style>
  <w:style w:type="paragraph" w:styleId="3">
    <w:name w:val="Body Text"/>
    <w:basedOn w:val="1"/>
    <w:qFormat/>
    <w:uiPriority w:val="0"/>
    <w:rPr>
      <w:rFonts w:eastAsia="楷体_GB2312"/>
      <w:spacing w:val="-8"/>
      <w:sz w:val="24"/>
    </w:rPr>
  </w:style>
  <w:style w:type="paragraph" w:styleId="7">
    <w:name w:val="table of authorities"/>
    <w:basedOn w:val="1"/>
    <w:next w:val="1"/>
    <w:semiHidden/>
    <w:qFormat/>
    <w:uiPriority w:val="0"/>
    <w:pPr>
      <w:ind w:left="420" w:leftChars="200"/>
    </w:pPr>
  </w:style>
  <w:style w:type="paragraph" w:styleId="8">
    <w:name w:val="Normal Indent"/>
    <w:basedOn w:val="1"/>
    <w:qFormat/>
    <w:uiPriority w:val="0"/>
    <w:pPr>
      <w:widowControl w:val="0"/>
      <w:spacing w:beforeLines="50" w:line="360" w:lineRule="auto"/>
      <w:ind w:firstLine="560" w:firstLineChars="200"/>
      <w:jc w:val="both"/>
    </w:pPr>
    <w:rPr>
      <w:kern w:val="2"/>
      <w:sz w:val="28"/>
    </w:rPr>
  </w:style>
  <w:style w:type="paragraph" w:styleId="9">
    <w:name w:val="Document Map"/>
    <w:basedOn w:val="1"/>
    <w:link w:val="60"/>
    <w:qFormat/>
    <w:uiPriority w:val="0"/>
    <w:rPr>
      <w:rFonts w:ascii="宋体" w:eastAsia="宋体"/>
      <w:sz w:val="18"/>
      <w:szCs w:val="18"/>
    </w:rPr>
  </w:style>
  <w:style w:type="paragraph" w:styleId="10">
    <w:name w:val="annotation text"/>
    <w:basedOn w:val="1"/>
    <w:qFormat/>
    <w:uiPriority w:val="0"/>
  </w:style>
  <w:style w:type="paragraph" w:styleId="11">
    <w:name w:val="Body Text Indent"/>
    <w:basedOn w:val="1"/>
    <w:qFormat/>
    <w:uiPriority w:val="0"/>
    <w:pPr>
      <w:jc w:val="center"/>
    </w:pPr>
    <w:rPr>
      <w:rFonts w:eastAsia="楷体_GB2312"/>
      <w:sz w:val="24"/>
    </w:rPr>
  </w:style>
  <w:style w:type="paragraph" w:styleId="12">
    <w:name w:val="Block Text"/>
    <w:basedOn w:val="1"/>
    <w:qFormat/>
    <w:uiPriority w:val="0"/>
    <w:pPr>
      <w:spacing w:line="440" w:lineRule="exact"/>
      <w:ind w:left="113" w:right="113" w:firstLine="567"/>
    </w:pPr>
    <w:rPr>
      <w:rFonts w:ascii="仿宋_GB2312" w:eastAsia="仿宋_GB2312"/>
      <w:sz w:val="28"/>
      <w:szCs w:val="20"/>
    </w:rPr>
  </w:style>
  <w:style w:type="paragraph" w:styleId="13">
    <w:name w:val="Plain Text"/>
    <w:basedOn w:val="1"/>
    <w:unhideWhenUsed/>
    <w:qFormat/>
    <w:uiPriority w:val="99"/>
    <w:rPr>
      <w:rFonts w:ascii="宋体" w:hAnsi="Courier New"/>
      <w:sz w:val="20"/>
      <w:szCs w:val="21"/>
    </w:rPr>
  </w:style>
  <w:style w:type="paragraph" w:styleId="14">
    <w:name w:val="Balloon Text"/>
    <w:basedOn w:val="1"/>
    <w:link w:val="58"/>
    <w:qFormat/>
    <w:uiPriority w:val="0"/>
    <w:rPr>
      <w:sz w:val="18"/>
      <w:szCs w:val="18"/>
    </w:rPr>
  </w:style>
  <w:style w:type="paragraph" w:styleId="15">
    <w:name w:val="footer"/>
    <w:basedOn w:val="1"/>
    <w:link w:val="59"/>
    <w:qFormat/>
    <w:uiPriority w:val="99"/>
    <w:pPr>
      <w:tabs>
        <w:tab w:val="center" w:pos="4153"/>
        <w:tab w:val="right" w:pos="8306"/>
      </w:tabs>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7">
    <w:name w:val="toc 1"/>
    <w:basedOn w:val="1"/>
    <w:next w:val="1"/>
    <w:qFormat/>
    <w:uiPriority w:val="0"/>
  </w:style>
  <w:style w:type="paragraph" w:styleId="18">
    <w:name w:val="List"/>
    <w:basedOn w:val="1"/>
    <w:qFormat/>
    <w:uiPriority w:val="0"/>
    <w:pPr>
      <w:ind w:left="200" w:hanging="200" w:hangingChars="200"/>
    </w:pPr>
  </w:style>
  <w:style w:type="paragraph" w:styleId="19">
    <w:name w:val="Normal (Web)"/>
    <w:basedOn w:val="1"/>
    <w:qFormat/>
    <w:uiPriority w:val="0"/>
    <w:pPr>
      <w:spacing w:before="100" w:beforeAutospacing="1" w:after="100" w:afterAutospacing="1"/>
    </w:pPr>
    <w:rPr>
      <w:rFonts w:ascii="宋体" w:hAnsi="宋体" w:cs="宋体"/>
      <w:sz w:val="24"/>
    </w:rPr>
  </w:style>
  <w:style w:type="paragraph" w:styleId="20">
    <w:name w:val="Body Text First Indent 2"/>
    <w:basedOn w:val="11"/>
    <w:qFormat/>
    <w:uiPriority w:val="0"/>
    <w:pPr>
      <w:ind w:firstLine="4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qFormat/>
    <w:uiPriority w:val="0"/>
  </w:style>
  <w:style w:type="character" w:styleId="25">
    <w:name w:val="Emphasis"/>
    <w:basedOn w:val="23"/>
    <w:qFormat/>
    <w:uiPriority w:val="0"/>
    <w:rPr>
      <w:i/>
    </w:rPr>
  </w:style>
  <w:style w:type="character" w:styleId="26">
    <w:name w:val="annotation reference"/>
    <w:semiHidden/>
    <w:qFormat/>
    <w:uiPriority w:val="0"/>
    <w:rPr>
      <w:sz w:val="21"/>
      <w:szCs w:val="21"/>
    </w:rPr>
  </w:style>
  <w:style w:type="paragraph" w:customStyle="1" w:styleId="27">
    <w:name w:val="Char Char Char Char Char2 Char Char Char Char"/>
    <w:basedOn w:val="1"/>
    <w:qFormat/>
    <w:uiPriority w:val="0"/>
    <w:pPr>
      <w:spacing w:line="360" w:lineRule="auto"/>
      <w:ind w:firstLine="200" w:firstLineChars="200"/>
    </w:pPr>
  </w:style>
  <w:style w:type="paragraph" w:customStyle="1" w:styleId="2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0">
    <w:name w:val="谢—正文"/>
    <w:basedOn w:val="1"/>
    <w:qFormat/>
    <w:uiPriority w:val="0"/>
    <w:pPr>
      <w:spacing w:line="500" w:lineRule="exact"/>
      <w:ind w:firstLine="200" w:firstLineChars="200"/>
    </w:pPr>
    <w:rPr>
      <w:rFonts w:eastAsia="楷体_GB2312"/>
      <w:sz w:val="28"/>
    </w:rPr>
  </w:style>
  <w:style w:type="paragraph" w:customStyle="1" w:styleId="31">
    <w:name w:val="p0"/>
    <w:basedOn w:val="1"/>
    <w:qFormat/>
    <w:uiPriority w:val="0"/>
    <w:pPr>
      <w:spacing w:line="365" w:lineRule="atLeast"/>
      <w:ind w:left="1"/>
      <w:textAlignment w:val="bottom"/>
    </w:pPr>
    <w:rPr>
      <w:sz w:val="20"/>
      <w:szCs w:val="20"/>
    </w:rPr>
  </w:style>
  <w:style w:type="paragraph" w:customStyle="1" w:styleId="32">
    <w:name w:val="表格1"/>
    <w:basedOn w:val="13"/>
    <w:next w:val="1"/>
    <w:qFormat/>
    <w:uiPriority w:val="0"/>
  </w:style>
  <w:style w:type="paragraph" w:customStyle="1" w:styleId="33">
    <w:name w:val="0正文"/>
    <w:basedOn w:val="1"/>
    <w:semiHidden/>
    <w:qFormat/>
    <w:uiPriority w:val="99"/>
    <w:pPr>
      <w:spacing w:line="360" w:lineRule="auto"/>
      <w:ind w:firstLine="720" w:firstLineChars="200"/>
    </w:pPr>
    <w:rPr>
      <w:sz w:val="24"/>
      <w:szCs w:val="24"/>
    </w:rPr>
  </w:style>
  <w:style w:type="paragraph" w:customStyle="1" w:styleId="34">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35">
    <w:name w:val="样式4"/>
    <w:basedOn w:val="3"/>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36">
    <w:name w:val="样式1"/>
    <w:basedOn w:val="1"/>
    <w:qFormat/>
    <w:uiPriority w:val="0"/>
    <w:pPr>
      <w:jc w:val="center"/>
    </w:pPr>
    <w:rPr>
      <w:sz w:val="21"/>
      <w:szCs w:val="21"/>
    </w:rPr>
  </w:style>
  <w:style w:type="paragraph" w:customStyle="1" w:styleId="37">
    <w:name w:val="图图正文"/>
    <w:basedOn w:val="1"/>
    <w:qFormat/>
    <w:uiPriority w:val="0"/>
    <w:pPr>
      <w:widowControl w:val="0"/>
      <w:spacing w:line="360" w:lineRule="auto"/>
      <w:ind w:firstLine="200" w:firstLineChars="200"/>
      <w:jc w:val="both"/>
    </w:pPr>
    <w:rPr>
      <w:kern w:val="2"/>
      <w:sz w:val="24"/>
      <w:szCs w:val="24"/>
    </w:rPr>
  </w:style>
  <w:style w:type="paragraph" w:customStyle="1" w:styleId="38">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39">
    <w:name w:val="样式 首行缩进:  2 字符1"/>
    <w:basedOn w:val="1"/>
    <w:qFormat/>
    <w:uiPriority w:val="0"/>
    <w:pPr>
      <w:spacing w:line="360" w:lineRule="auto"/>
      <w:ind w:firstLine="480" w:firstLineChars="200"/>
    </w:pPr>
    <w:rPr>
      <w:rFonts w:cs="宋体"/>
      <w:szCs w:val="20"/>
    </w:rPr>
  </w:style>
  <w:style w:type="paragraph" w:customStyle="1" w:styleId="40">
    <w:name w:val="宗兴正文"/>
    <w:basedOn w:val="1"/>
    <w:qFormat/>
    <w:uiPriority w:val="0"/>
    <w:pPr>
      <w:ind w:firstLine="200"/>
      <w:jc w:val="both"/>
    </w:pPr>
    <w:rPr>
      <w:rFonts w:ascii="宋体" w:hAnsi="宋体"/>
      <w:spacing w:val="2"/>
      <w:sz w:val="21"/>
    </w:rPr>
  </w:style>
  <w:style w:type="paragraph" w:customStyle="1" w:styleId="41">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标题3"/>
    <w:basedOn w:val="7"/>
    <w:next w:val="6"/>
    <w:qFormat/>
    <w:uiPriority w:val="0"/>
    <w:pPr>
      <w:ind w:left="0" w:leftChars="0"/>
      <w:jc w:val="both"/>
    </w:pPr>
    <w:rPr>
      <w:rFonts w:ascii="宋体" w:hAnsi="宋体"/>
      <w:b/>
      <w:bCs/>
      <w:szCs w:val="24"/>
    </w:rPr>
  </w:style>
  <w:style w:type="paragraph" w:customStyle="1" w:styleId="44">
    <w:name w:val="标题2"/>
    <w:basedOn w:val="7"/>
    <w:qFormat/>
    <w:uiPriority w:val="0"/>
    <w:pPr>
      <w:spacing w:beforeLines="50" w:afterLines="50"/>
      <w:ind w:left="0" w:leftChars="0"/>
      <w:jc w:val="both"/>
    </w:pPr>
    <w:rPr>
      <w:rFonts w:ascii="宋体" w:hAnsi="宋体"/>
      <w:b/>
      <w:sz w:val="28"/>
      <w:szCs w:val="28"/>
    </w:rPr>
  </w:style>
  <w:style w:type="paragraph" w:customStyle="1" w:styleId="45">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46">
    <w:name w:val="正文表格"/>
    <w:basedOn w:val="1"/>
    <w:qFormat/>
    <w:uiPriority w:val="0"/>
    <w:pPr>
      <w:jc w:val="center"/>
    </w:pPr>
    <w:rPr>
      <w:rFonts w:eastAsia="楷体_GB2312"/>
      <w:bCs/>
      <w:sz w:val="24"/>
      <w:szCs w:val="20"/>
    </w:rPr>
  </w:style>
  <w:style w:type="paragraph" w:customStyle="1" w:styleId="47">
    <w:name w:val="Table Paragraph"/>
    <w:basedOn w:val="1"/>
    <w:qFormat/>
    <w:uiPriority w:val="0"/>
    <w:rPr>
      <w:rFonts w:ascii="Calibri" w:hAnsi="Calibri"/>
      <w:lang w:eastAsia="en-US"/>
    </w:rPr>
  </w:style>
  <w:style w:type="paragraph" w:customStyle="1" w:styleId="48">
    <w:name w:val="样式2"/>
    <w:basedOn w:val="1"/>
    <w:qFormat/>
    <w:uiPriority w:val="0"/>
    <w:pPr>
      <w:ind w:firstLine="964" w:firstLineChars="400"/>
    </w:pPr>
    <w:rPr>
      <w:rFonts w:ascii="黑体" w:eastAsia="黑体"/>
      <w:b/>
      <w:bCs/>
      <w:sz w:val="24"/>
    </w:rPr>
  </w:style>
  <w:style w:type="paragraph" w:customStyle="1" w:styleId="49">
    <w:name w:val="表"/>
    <w:basedOn w:val="18"/>
    <w:qFormat/>
    <w:uiPriority w:val="0"/>
    <w:pPr>
      <w:keepNext/>
      <w:keepLines/>
      <w:spacing w:line="240" w:lineRule="exact"/>
      <w:ind w:left="0" w:firstLine="0" w:firstLineChars="0"/>
      <w:jc w:val="center"/>
    </w:pPr>
  </w:style>
  <w:style w:type="character" w:customStyle="1" w:styleId="50">
    <w:name w:val="font31"/>
    <w:qFormat/>
    <w:uiPriority w:val="0"/>
    <w:rPr>
      <w:rFonts w:hint="eastAsia" w:ascii="宋体" w:hAnsi="宋体" w:eastAsia="宋体" w:cs="宋体"/>
      <w:color w:val="000000"/>
      <w:sz w:val="22"/>
      <w:szCs w:val="22"/>
      <w:u w:val="none"/>
    </w:rPr>
  </w:style>
  <w:style w:type="paragraph" w:customStyle="1" w:styleId="51">
    <w:name w:val="123正文"/>
    <w:basedOn w:val="1"/>
    <w:link w:val="52"/>
    <w:qFormat/>
    <w:uiPriority w:val="0"/>
    <w:pPr>
      <w:spacing w:line="360" w:lineRule="auto"/>
      <w:ind w:firstLine="480" w:firstLineChars="200"/>
    </w:pPr>
    <w:rPr>
      <w:color w:val="0000FF"/>
      <w:sz w:val="24"/>
      <w:lang w:val="zh-CN"/>
    </w:rPr>
  </w:style>
  <w:style w:type="character" w:customStyle="1" w:styleId="52">
    <w:name w:val="123正文 Char"/>
    <w:link w:val="51"/>
    <w:qFormat/>
    <w:uiPriority w:val="0"/>
    <w:rPr>
      <w:color w:val="0000FF"/>
      <w:sz w:val="24"/>
      <w:lang w:val="zh-CN"/>
    </w:rPr>
  </w:style>
  <w:style w:type="paragraph" w:customStyle="1" w:styleId="53">
    <w:name w:val="1.1."/>
    <w:basedOn w:val="5"/>
    <w:qFormat/>
    <w:uiPriority w:val="0"/>
    <w:pPr>
      <w:spacing w:beforeLines="50" w:afterLines="50" w:line="360" w:lineRule="auto"/>
    </w:pPr>
    <w:rPr>
      <w:color w:val="0000FF"/>
      <w:sz w:val="28"/>
      <w:szCs w:val="28"/>
    </w:rPr>
  </w:style>
  <w:style w:type="paragraph" w:customStyle="1" w:styleId="54">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56">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7">
    <w:name w:val="一级aaa"/>
    <w:basedOn w:val="4"/>
    <w:qFormat/>
    <w:uiPriority w:val="0"/>
    <w:pPr>
      <w:keepNext w:val="0"/>
      <w:keepLines w:val="0"/>
      <w:widowControl w:val="0"/>
      <w:spacing w:beforeLines="100" w:afterLines="100" w:line="360" w:lineRule="auto"/>
    </w:pPr>
    <w:rPr>
      <w:kern w:val="0"/>
      <w:sz w:val="32"/>
      <w:szCs w:val="20"/>
    </w:rPr>
  </w:style>
  <w:style w:type="character" w:customStyle="1" w:styleId="58">
    <w:name w:val="批注框文本 Char"/>
    <w:basedOn w:val="23"/>
    <w:link w:val="14"/>
    <w:qFormat/>
    <w:uiPriority w:val="0"/>
    <w:rPr>
      <w:rFonts w:ascii="Tahoma" w:hAnsi="Tahoma" w:eastAsia="微软雅黑" w:cstheme="minorBidi"/>
      <w:sz w:val="18"/>
      <w:szCs w:val="18"/>
    </w:rPr>
  </w:style>
  <w:style w:type="character" w:customStyle="1" w:styleId="59">
    <w:name w:val="页脚 Char"/>
    <w:basedOn w:val="23"/>
    <w:link w:val="15"/>
    <w:qFormat/>
    <w:uiPriority w:val="99"/>
    <w:rPr>
      <w:rFonts w:ascii="Tahoma" w:hAnsi="Tahoma" w:eastAsia="微软雅黑" w:cstheme="minorBidi"/>
      <w:sz w:val="18"/>
      <w:szCs w:val="18"/>
    </w:rPr>
  </w:style>
  <w:style w:type="character" w:customStyle="1" w:styleId="60">
    <w:name w:val="文档结构图 Char"/>
    <w:basedOn w:val="23"/>
    <w:link w:val="9"/>
    <w:qFormat/>
    <w:uiPriority w:val="0"/>
    <w:rPr>
      <w:rFonts w:ascii="宋体" w:hAnsi="Tahoma"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2</TotalTime>
  <ScaleCrop>false</ScaleCrop>
  <LinksUpToDate>false</LinksUpToDate>
  <CharactersWithSpaces>18783</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2020-08-17T02:58:28Z</cp:lastPrinted>
  <dcterms:modified xsi:type="dcterms:W3CDTF">2020-08-17T03:00:12Z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