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b/>
          <w:color w:val="0000FF"/>
          <w:sz w:val="44"/>
          <w:szCs w:val="44"/>
        </w:rPr>
      </w:pPr>
    </w:p>
    <w:p>
      <w:pPr>
        <w:spacing w:line="360" w:lineRule="auto"/>
        <w:jc w:val="center"/>
        <w:rPr>
          <w:rFonts w:ascii="Times New Roman" w:hAnsi="Times New Roman" w:eastAsia="宋体" w:cs="Times New Roman"/>
          <w:b/>
          <w:color w:val="auto"/>
          <w:sz w:val="44"/>
          <w:szCs w:val="44"/>
        </w:rPr>
      </w:pPr>
    </w:p>
    <w:p>
      <w:pPr>
        <w:spacing w:line="360" w:lineRule="auto"/>
        <w:jc w:val="center"/>
        <w:rPr>
          <w:rFonts w:ascii="Times New Roman" w:hAnsi="Times New Roman" w:eastAsia="宋体" w:cs="Times New Roman"/>
          <w:color w:val="auto"/>
          <w:sz w:val="44"/>
          <w:szCs w:val="44"/>
        </w:rPr>
      </w:pPr>
      <w:r>
        <w:rPr>
          <w:rFonts w:hint="eastAsia" w:ascii="Times New Roman" w:hAnsi="Times New Roman" w:eastAsia="宋体" w:cs="Times New Roman"/>
          <w:b/>
          <w:color w:val="auto"/>
          <w:sz w:val="44"/>
          <w:szCs w:val="44"/>
          <w:lang w:val="en-US" w:eastAsia="zh-CN"/>
        </w:rPr>
        <w:t>恩仕（长泰）休闲卫浴有限公司浴缸、淋浴房、亚克力板材生产项目</w:t>
      </w:r>
      <w:r>
        <w:rPr>
          <w:rFonts w:ascii="Times New Roman" w:hAnsi="Times New Roman" w:eastAsia="宋体" w:cs="Times New Roman"/>
          <w:b/>
          <w:color w:val="auto"/>
          <w:sz w:val="44"/>
          <w:szCs w:val="44"/>
        </w:rPr>
        <w:t>竣工环境保护验收监测报告表</w:t>
      </w:r>
    </w:p>
    <w:p>
      <w:pPr>
        <w:jc w:val="center"/>
        <w:rPr>
          <w:rFonts w:ascii="Times New Roman" w:hAnsi="Times New Roman" w:eastAsia="宋体" w:cs="Times New Roman"/>
          <w:color w:val="auto"/>
          <w:sz w:val="28"/>
        </w:rPr>
      </w:pPr>
    </w:p>
    <w:p>
      <w:pPr>
        <w:pStyle w:val="2"/>
      </w:pPr>
    </w:p>
    <w:p>
      <w:pPr>
        <w:jc w:val="center"/>
        <w:rPr>
          <w:rFonts w:ascii="Times New Roman" w:hAnsi="Times New Roman" w:eastAsia="宋体" w:cs="Times New Roman"/>
          <w:color w:val="auto"/>
          <w:sz w:val="28"/>
        </w:rPr>
      </w:pPr>
    </w:p>
    <w:p>
      <w:pPr>
        <w:jc w:val="center"/>
        <w:rPr>
          <w:rFonts w:ascii="Times New Roman" w:hAnsi="Times New Roman" w:eastAsia="宋体" w:cs="Times New Roman"/>
          <w:color w:val="auto"/>
          <w:sz w:val="28"/>
        </w:rPr>
      </w:pPr>
    </w:p>
    <w:p>
      <w:pPr>
        <w:pStyle w:val="2"/>
        <w:rPr>
          <w:rFonts w:ascii="Times New Roman" w:hAnsi="Times New Roman" w:eastAsia="宋体" w:cs="Times New Roman"/>
          <w:color w:val="auto"/>
          <w:sz w:val="28"/>
        </w:rPr>
      </w:pPr>
    </w:p>
    <w:p>
      <w:pPr>
        <w:pStyle w:val="2"/>
        <w:rPr>
          <w:rFonts w:ascii="Times New Roman" w:hAnsi="Times New Roman" w:eastAsia="宋体" w:cs="Times New Roman"/>
          <w:color w:val="auto"/>
          <w:sz w:val="28"/>
        </w:rPr>
      </w:pPr>
    </w:p>
    <w:p>
      <w:pPr>
        <w:pStyle w:val="20"/>
        <w:rPr>
          <w:rFonts w:ascii="Times New Roman" w:hAnsi="Times New Roman" w:eastAsia="宋体" w:cs="Times New Roman"/>
          <w:color w:val="auto"/>
        </w:rPr>
      </w:pPr>
    </w:p>
    <w:p>
      <w:pPr>
        <w:pStyle w:val="2"/>
        <w:ind w:firstLine="164"/>
        <w:rPr>
          <w:rFonts w:ascii="Times New Roman" w:hAnsi="Times New Roman" w:eastAsia="宋体" w:cs="Times New Roman"/>
          <w:color w:val="auto"/>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8"/>
        <w:rPr>
          <w:rFonts w:ascii="Times New Roman" w:hAnsi="Times New Roman" w:cs="Times New Roman"/>
          <w:color w:val="auto"/>
        </w:rPr>
      </w:pPr>
    </w:p>
    <w:p>
      <w:pPr>
        <w:ind w:firstLine="720" w:firstLineChars="200"/>
        <w:rPr>
          <w:rFonts w:ascii="Times New Roman" w:hAnsi="Times New Roman" w:eastAsia="宋体" w:cs="Times New Roman"/>
          <w:color w:val="auto"/>
          <w:sz w:val="36"/>
          <w:szCs w:val="36"/>
          <w:u w:val="single"/>
        </w:rPr>
      </w:pPr>
      <w:r>
        <w:rPr>
          <w:rFonts w:ascii="Times New Roman" w:hAnsi="Times New Roman" w:eastAsia="宋体" w:cs="Times New Roman"/>
          <w:color w:val="auto"/>
          <w:sz w:val="36"/>
          <w:szCs w:val="36"/>
        </w:rPr>
        <w:t>建设单位：</w:t>
      </w:r>
      <w:r>
        <w:rPr>
          <w:rFonts w:hint="eastAsia" w:ascii="Times New Roman" w:hAnsi="Times New Roman" w:eastAsia="宋体" w:cs="Times New Roman"/>
          <w:color w:val="auto"/>
          <w:sz w:val="36"/>
          <w:szCs w:val="36"/>
          <w:u w:val="single"/>
          <w:lang w:val="en-US" w:eastAsia="zh-CN"/>
        </w:rPr>
        <w:t xml:space="preserve">  恩仕（长泰）休闲卫浴有限公司</w:t>
      </w:r>
      <w:r>
        <w:rPr>
          <w:rFonts w:ascii="Times New Roman" w:hAnsi="Times New Roman" w:eastAsia="宋体" w:cs="Times New Roman"/>
          <w:color w:val="auto"/>
          <w:sz w:val="36"/>
          <w:szCs w:val="36"/>
          <w:u w:val="single"/>
        </w:rPr>
        <w:t xml:space="preserve"> </w:t>
      </w:r>
    </w:p>
    <w:p>
      <w:pPr>
        <w:ind w:firstLine="720" w:firstLineChars="200"/>
        <w:rPr>
          <w:rFonts w:hint="eastAsia" w:ascii="Times New Roman" w:hAnsi="Times New Roman" w:eastAsia="宋体" w:cs="Times New Roman"/>
          <w:color w:val="auto"/>
          <w:sz w:val="36"/>
          <w:szCs w:val="36"/>
          <w:u w:val="single"/>
          <w:lang w:val="en-US" w:eastAsia="zh-CN"/>
        </w:rPr>
      </w:pPr>
      <w:r>
        <w:rPr>
          <w:rFonts w:ascii="Times New Roman" w:hAnsi="Times New Roman" w:eastAsia="宋体" w:cs="Times New Roman"/>
          <w:color w:val="auto"/>
          <w:sz w:val="36"/>
          <w:szCs w:val="36"/>
        </w:rPr>
        <w:t>编制单位：</w:t>
      </w:r>
      <w:r>
        <w:rPr>
          <w:rFonts w:hint="eastAsia" w:ascii="Times New Roman" w:hAnsi="Times New Roman" w:eastAsia="宋体" w:cs="Times New Roman"/>
          <w:color w:val="auto"/>
          <w:sz w:val="36"/>
          <w:szCs w:val="36"/>
          <w:u w:val="single"/>
          <w:lang w:val="en-US" w:eastAsia="zh-CN"/>
        </w:rPr>
        <w:t xml:space="preserve">  恩仕（长泰）休闲卫浴有限公司 </w:t>
      </w: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jc w:val="center"/>
        <w:rPr>
          <w:rFonts w:ascii="Times New Roman" w:hAnsi="Times New Roman" w:eastAsia="宋体" w:cs="Times New Roman"/>
          <w:bCs/>
          <w:color w:val="auto"/>
          <w:sz w:val="32"/>
          <w:szCs w:val="32"/>
        </w:rPr>
      </w:pPr>
      <w:r>
        <w:rPr>
          <w:rFonts w:ascii="Times New Roman" w:hAnsi="Times New Roman" w:eastAsia="宋体" w:cs="Times New Roman"/>
          <w:bCs/>
          <w:color w:val="auto"/>
          <w:sz w:val="32"/>
          <w:szCs w:val="32"/>
        </w:rPr>
        <w:t>2020年0</w:t>
      </w:r>
      <w:r>
        <w:rPr>
          <w:rFonts w:hint="eastAsia" w:ascii="Times New Roman" w:hAnsi="Times New Roman" w:eastAsia="宋体" w:cs="Times New Roman"/>
          <w:bCs/>
          <w:color w:val="auto"/>
          <w:sz w:val="32"/>
          <w:szCs w:val="32"/>
          <w:lang w:val="en-US" w:eastAsia="zh-CN"/>
        </w:rPr>
        <w:t>8</w:t>
      </w:r>
      <w:r>
        <w:rPr>
          <w:rFonts w:ascii="Times New Roman" w:hAnsi="Times New Roman" w:eastAsia="宋体" w:cs="Times New Roman"/>
          <w:bCs/>
          <w:color w:val="auto"/>
          <w:sz w:val="32"/>
          <w:szCs w:val="32"/>
        </w:rPr>
        <w:t>月</w:t>
      </w:r>
    </w:p>
    <w:p>
      <w:pPr>
        <w:spacing w:line="360" w:lineRule="auto"/>
        <w:rPr>
          <w:rFonts w:ascii="Times New Roman" w:hAnsi="Times New Roman" w:eastAsia="宋体" w:cs="Times New Roman"/>
          <w:bCs/>
          <w:color w:val="0000FF"/>
          <w:sz w:val="28"/>
        </w:rPr>
        <w:sectPr>
          <w:footerReference r:id="rId3" w:type="default"/>
          <w:pgSz w:w="11906" w:h="16838"/>
          <w:pgMar w:top="1440" w:right="1440" w:bottom="1440" w:left="1701" w:header="709" w:footer="709" w:gutter="0"/>
          <w:pgNumType w:start="1"/>
          <w:cols w:space="0" w:num="1"/>
          <w:docGrid w:linePitch="360" w:charSpace="0"/>
        </w:sectPr>
      </w:pP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rPr>
        <w:t>建设单</w:t>
      </w:r>
      <w:r>
        <w:rPr>
          <w:rFonts w:ascii="Times New Roman" w:hAnsi="Times New Roman" w:eastAsia="宋体" w:cs="Times New Roman"/>
          <w:bCs/>
          <w:color w:val="auto"/>
          <w:sz w:val="28"/>
          <w:szCs w:val="28"/>
        </w:rPr>
        <w:t xml:space="preserve">位法人代表:  </w:t>
      </w:r>
      <w:r>
        <w:rPr>
          <w:rFonts w:hint="eastAsia" w:ascii="Times New Roman" w:hAnsi="Times New Roman" w:eastAsia="宋体" w:cs="Times New Roman"/>
          <w:bCs/>
          <w:color w:val="auto"/>
          <w:sz w:val="28"/>
          <w:szCs w:val="28"/>
          <w:lang w:val="en-US" w:eastAsia="zh-CN"/>
        </w:rPr>
        <w:t>李飞宇</w:t>
      </w:r>
      <w:r>
        <w:rPr>
          <w:rFonts w:ascii="Times New Roman" w:hAnsi="Times New Roman" w:eastAsia="宋体" w:cs="Times New Roman"/>
          <w:bCs/>
          <w:color w:val="auto"/>
          <w:sz w:val="28"/>
          <w:szCs w:val="28"/>
        </w:rPr>
        <w:t xml:space="preserve">  </w:t>
      </w: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 xml:space="preserve">     </w:t>
      </w: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 xml:space="preserve">编制单位法人代表:  </w:t>
      </w:r>
      <w:r>
        <w:rPr>
          <w:rFonts w:hint="eastAsia" w:ascii="Times New Roman" w:hAnsi="Times New Roman" w:eastAsia="宋体" w:cs="Times New Roman"/>
          <w:bCs/>
          <w:color w:val="auto"/>
          <w:sz w:val="28"/>
          <w:szCs w:val="28"/>
          <w:lang w:val="en-US" w:eastAsia="zh-CN"/>
        </w:rPr>
        <w:t>李飞宇</w:t>
      </w:r>
      <w:r>
        <w:rPr>
          <w:rFonts w:ascii="Times New Roman" w:hAnsi="Times New Roman" w:eastAsia="宋体" w:cs="Times New Roman"/>
          <w:bCs/>
          <w:color w:val="auto"/>
          <w:sz w:val="28"/>
          <w:szCs w:val="28"/>
        </w:rPr>
        <w:t xml:space="preserve"> </w:t>
      </w: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 xml:space="preserve">        </w:t>
      </w:r>
    </w:p>
    <w:p>
      <w:pPr>
        <w:spacing w:line="360" w:lineRule="auto"/>
        <w:rPr>
          <w:rFonts w:hint="eastAsia" w:ascii="Times New Roman" w:hAnsi="Times New Roman" w:eastAsia="宋体" w:cs="Times New Roman"/>
          <w:bCs/>
          <w:color w:val="auto"/>
          <w:sz w:val="28"/>
          <w:szCs w:val="28"/>
          <w:lang w:val="en-US" w:eastAsia="zh-CN"/>
        </w:rPr>
      </w:pPr>
      <w:r>
        <w:rPr>
          <w:rFonts w:ascii="Times New Roman" w:hAnsi="Times New Roman" w:eastAsia="宋体" w:cs="Times New Roman"/>
          <w:bCs/>
          <w:color w:val="auto"/>
          <w:sz w:val="28"/>
          <w:szCs w:val="28"/>
        </w:rPr>
        <w:t xml:space="preserve">项目负责人: </w:t>
      </w:r>
      <w:r>
        <w:rPr>
          <w:rFonts w:hint="eastAsia" w:ascii="Times New Roman" w:hAnsi="Times New Roman" w:eastAsia="宋体" w:cs="Times New Roman"/>
          <w:bCs/>
          <w:color w:val="auto"/>
          <w:sz w:val="28"/>
          <w:szCs w:val="28"/>
          <w:lang w:val="en-US" w:eastAsia="zh-CN"/>
        </w:rPr>
        <w:t>杨秋香</w:t>
      </w:r>
    </w:p>
    <w:p>
      <w:pPr>
        <w:pStyle w:val="20"/>
        <w:rPr>
          <w:rFonts w:hint="eastAsia"/>
          <w:sz w:val="28"/>
          <w:szCs w:val="28"/>
          <w:lang w:val="en-US" w:eastAsia="zh-CN"/>
        </w:rPr>
      </w:pP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填表人：</w:t>
      </w:r>
      <w:r>
        <w:rPr>
          <w:rFonts w:hint="eastAsia" w:ascii="Times New Roman" w:hAnsi="Times New Roman" w:eastAsia="宋体" w:cs="Times New Roman"/>
          <w:bCs/>
          <w:color w:val="auto"/>
          <w:sz w:val="28"/>
          <w:szCs w:val="28"/>
          <w:lang w:val="en-US" w:eastAsia="zh-CN"/>
        </w:rPr>
        <w:t>杨秋香</w:t>
      </w:r>
    </w:p>
    <w:p>
      <w:pPr>
        <w:spacing w:line="360" w:lineRule="auto"/>
        <w:rPr>
          <w:rFonts w:ascii="Times New Roman" w:hAnsi="Times New Roman" w:eastAsia="宋体" w:cs="Times New Roman"/>
          <w:color w:val="auto"/>
          <w:sz w:val="28"/>
        </w:rPr>
      </w:pPr>
      <w:r>
        <w:rPr>
          <w:rFonts w:ascii="Times New Roman" w:hAnsi="Times New Roman" w:eastAsia="宋体" w:cs="Times New Roman"/>
          <w:color w:val="auto"/>
          <w:sz w:val="28"/>
        </w:rPr>
        <w:tab/>
      </w: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pStyle w:val="20"/>
        <w:rPr>
          <w:rFonts w:ascii="Times New Roman" w:hAnsi="Times New Roman" w:eastAsia="宋体" w:cs="Times New Roman"/>
          <w:color w:val="0000FF"/>
          <w:sz w:val="28"/>
        </w:rPr>
      </w:pPr>
    </w:p>
    <w:p>
      <w:pPr>
        <w:spacing w:line="360" w:lineRule="auto"/>
        <w:rPr>
          <w:rFonts w:ascii="Times New Roman" w:hAnsi="Times New Roman" w:eastAsia="宋体" w:cs="Times New Roman"/>
          <w:color w:val="0000FF"/>
          <w:sz w:val="28"/>
        </w:rPr>
      </w:pPr>
    </w:p>
    <w:tbl>
      <w:tblPr>
        <w:tblStyle w:val="22"/>
        <w:tblW w:w="9900" w:type="dxa"/>
        <w:tblInd w:w="-4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0"/>
        <w:gridCol w:w="4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建设单位：</w:t>
            </w:r>
          </w:p>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恩仕（长泰）休闲卫浴有限公司</w:t>
            </w:r>
          </w:p>
        </w:tc>
        <w:tc>
          <w:tcPr>
            <w:tcW w:w="489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编制单位：</w:t>
            </w:r>
          </w:p>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恩仕（长泰）休闲卫浴有限公司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8"/>
              </w:rPr>
              <w:t>电话:</w:t>
            </w:r>
            <w:r>
              <w:rPr>
                <w:rFonts w:hint="eastAsia" w:ascii="Times New Roman" w:hAnsi="Times New Roman" w:eastAsia="宋体" w:cs="Times New Roman"/>
                <w:color w:val="auto"/>
                <w:sz w:val="28"/>
                <w:lang w:val="en-US" w:eastAsia="zh-CN"/>
              </w:rPr>
              <w:t>18350675702</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电话:</w:t>
            </w:r>
            <w:r>
              <w:rPr>
                <w:rFonts w:hint="eastAsia" w:ascii="Times New Roman" w:hAnsi="Times New Roman" w:eastAsia="宋体" w:cs="Times New Roman"/>
                <w:color w:val="auto"/>
                <w:sz w:val="28"/>
                <w:lang w:val="en-US" w:eastAsia="zh-CN"/>
              </w:rPr>
              <w:t>18350675702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传真:     /</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8"/>
              </w:rPr>
              <w:t>邮编:</w:t>
            </w:r>
            <w:r>
              <w:rPr>
                <w:rFonts w:hint="eastAsia" w:ascii="Times New Roman" w:hAnsi="Times New Roman" w:eastAsia="宋体" w:cs="Times New Roman"/>
                <w:color w:val="auto"/>
                <w:sz w:val="28"/>
              </w:rPr>
              <w:t>36</w:t>
            </w:r>
            <w:r>
              <w:rPr>
                <w:rFonts w:hint="eastAsia" w:ascii="Times New Roman" w:hAnsi="Times New Roman" w:eastAsia="宋体" w:cs="Times New Roman"/>
                <w:color w:val="auto"/>
                <w:sz w:val="28"/>
                <w:lang w:val="en-US" w:eastAsia="zh-CN"/>
              </w:rPr>
              <w:t>3900</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邮编:</w:t>
            </w:r>
            <w:r>
              <w:rPr>
                <w:rFonts w:hint="eastAsia" w:ascii="Times New Roman" w:hAnsi="Times New Roman" w:eastAsia="宋体" w:cs="Times New Roman"/>
                <w:color w:val="auto"/>
                <w:sz w:val="28"/>
              </w:rPr>
              <w:t>36</w:t>
            </w:r>
            <w:r>
              <w:rPr>
                <w:rFonts w:hint="eastAsia" w:ascii="Times New Roman" w:hAnsi="Times New Roman" w:eastAsia="宋体" w:cs="Times New Roman"/>
                <w:color w:val="auto"/>
                <w:sz w:val="28"/>
                <w:lang w:val="en-US" w:eastAsia="zh-CN"/>
              </w:rPr>
              <w:t>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ascii="Times New Roman" w:hAnsi="Times New Roman" w:eastAsia="宋体" w:cs="Times New Roman"/>
                <w:color w:val="auto"/>
                <w:sz w:val="28"/>
              </w:rPr>
            </w:pPr>
            <w:r>
              <w:rPr>
                <w:rFonts w:ascii="Times New Roman" w:hAnsi="Times New Roman" w:eastAsia="宋体" w:cs="Times New Roman"/>
                <w:color w:val="auto"/>
                <w:sz w:val="28"/>
              </w:rPr>
              <w:t xml:space="preserve">地址: </w:t>
            </w:r>
          </w:p>
          <w:p>
            <w:pPr>
              <w:widowControl/>
              <w:tabs>
                <w:tab w:val="left" w:pos="984"/>
              </w:tabs>
              <w:spacing w:line="360" w:lineRule="auto"/>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8"/>
                <w:lang w:val="en-US" w:eastAsia="zh-CN"/>
              </w:rPr>
              <w:t>长泰经济开发区古农泰坤工业园</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8"/>
              </w:rPr>
            </w:pPr>
            <w:r>
              <w:rPr>
                <w:rFonts w:ascii="Times New Roman" w:hAnsi="Times New Roman" w:eastAsia="宋体" w:cs="Times New Roman"/>
                <w:color w:val="auto"/>
                <w:sz w:val="28"/>
              </w:rPr>
              <w:t xml:space="preserve">地址: </w:t>
            </w:r>
          </w:p>
          <w:p>
            <w:pPr>
              <w:widowControl/>
              <w:tabs>
                <w:tab w:val="left" w:pos="984"/>
              </w:tabs>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8"/>
                <w:lang w:val="en-US" w:eastAsia="zh-CN"/>
              </w:rPr>
              <w:t>长泰经济开发区古农泰坤工业园</w:t>
            </w:r>
          </w:p>
        </w:tc>
      </w:tr>
    </w:tbl>
    <w:p>
      <w:pPr>
        <w:jc w:val="center"/>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NumType w:start="1"/>
          <w:cols w:space="0" w:num="1"/>
          <w:docGrid w:linePitch="360" w:charSpace="0"/>
        </w:sectPr>
      </w:pPr>
    </w:p>
    <w:tbl>
      <w:tblPr>
        <w:tblStyle w:val="21"/>
        <w:tblpPr w:leftFromText="180" w:rightFromText="180" w:vertAnchor="page" w:horzAnchor="page" w:tblpX="1614" w:tblpY="1803"/>
        <w:tblOverlap w:val="never"/>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105"/>
        <w:gridCol w:w="1785"/>
        <w:gridCol w:w="984"/>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建设项目名称</w:t>
            </w:r>
          </w:p>
        </w:tc>
        <w:tc>
          <w:tcPr>
            <w:tcW w:w="6674" w:type="dxa"/>
            <w:gridSpan w:val="5"/>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恩仕（长泰）休闲卫浴有限公司浴缸、淋浴房、亚克力板材生产项目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建设单位名称</w:t>
            </w:r>
          </w:p>
        </w:tc>
        <w:tc>
          <w:tcPr>
            <w:tcW w:w="6674" w:type="dxa"/>
            <w:gridSpan w:val="5"/>
            <w:vAlign w:val="center"/>
          </w:tcPr>
          <w:p>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恩仕（长泰）休闲卫浴有限公司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建设项目性质</w:t>
            </w:r>
          </w:p>
        </w:tc>
        <w:tc>
          <w:tcPr>
            <w:tcW w:w="6674" w:type="dxa"/>
            <w:gridSpan w:val="5"/>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建设地点</w:t>
            </w:r>
          </w:p>
        </w:tc>
        <w:tc>
          <w:tcPr>
            <w:tcW w:w="6674" w:type="dxa"/>
            <w:gridSpan w:val="5"/>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长泰</w:t>
            </w:r>
            <w:r>
              <w:rPr>
                <w:rFonts w:hint="eastAsia" w:ascii="Times New Roman" w:hAnsi="Times New Roman" w:eastAsia="宋体" w:cs="Times New Roman"/>
                <w:color w:val="auto"/>
                <w:sz w:val="21"/>
                <w:szCs w:val="21"/>
                <w:lang w:val="en-US" w:eastAsia="zh-CN"/>
              </w:rPr>
              <w:t>经济开发区古农泰坤工业园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主要产品名称</w:t>
            </w:r>
          </w:p>
        </w:tc>
        <w:tc>
          <w:tcPr>
            <w:tcW w:w="6674" w:type="dxa"/>
            <w:gridSpan w:val="5"/>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卫浴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建设规模</w:t>
            </w:r>
          </w:p>
        </w:tc>
        <w:tc>
          <w:tcPr>
            <w:tcW w:w="6674"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年产浴缸60000套、淋浴盆20000套、淋浴房18000套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总规模</w:t>
            </w:r>
          </w:p>
        </w:tc>
        <w:tc>
          <w:tcPr>
            <w:tcW w:w="6674" w:type="dxa"/>
            <w:gridSpan w:val="5"/>
            <w:vAlign w:val="center"/>
          </w:tcPr>
          <w:p>
            <w:pPr>
              <w:spacing w:line="240" w:lineRule="auto"/>
              <w:jc w:val="center"/>
              <w:rPr>
                <w:rFonts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年产浴缸60000套、淋浴盆20000套、淋浴房18000套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建设项目环评时间</w:t>
            </w:r>
          </w:p>
        </w:tc>
        <w:tc>
          <w:tcPr>
            <w:tcW w:w="210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12</w:t>
            </w:r>
            <w:r>
              <w:rPr>
                <w:rFonts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12</w:t>
            </w:r>
            <w:r>
              <w:rPr>
                <w:rFonts w:ascii="Times New Roman" w:hAnsi="Times New Roman" w:eastAsia="宋体" w:cs="Times New Roman"/>
                <w:color w:val="auto"/>
                <w:sz w:val="21"/>
                <w:szCs w:val="21"/>
              </w:rPr>
              <w:t>月</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开工建设时间</w:t>
            </w:r>
          </w:p>
        </w:tc>
        <w:tc>
          <w:tcPr>
            <w:tcW w:w="2784" w:type="dxa"/>
            <w:gridSpan w:val="3"/>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13</w:t>
            </w:r>
            <w:r>
              <w:rPr>
                <w:rFonts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1</w:t>
            </w:r>
            <w:r>
              <w:rPr>
                <w:rFonts w:ascii="Times New Roman" w:hAnsi="Times New Roman" w:eastAsia="宋体" w:cs="Times New Roman"/>
                <w:color w:val="auto"/>
                <w:sz w:val="21"/>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竣工时间</w:t>
            </w:r>
          </w:p>
        </w:tc>
        <w:tc>
          <w:tcPr>
            <w:tcW w:w="210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13</w:t>
            </w:r>
            <w:r>
              <w:rPr>
                <w:rFonts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11</w:t>
            </w:r>
            <w:r>
              <w:rPr>
                <w:rFonts w:ascii="Times New Roman" w:hAnsi="Times New Roman" w:eastAsia="宋体" w:cs="Times New Roman"/>
                <w:color w:val="auto"/>
                <w:sz w:val="21"/>
                <w:szCs w:val="21"/>
              </w:rPr>
              <w:t>月</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验收现场监测</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2784" w:type="dxa"/>
            <w:gridSpan w:val="3"/>
            <w:vAlign w:val="center"/>
          </w:tcPr>
          <w:p>
            <w:pPr>
              <w:pStyle w:val="20"/>
              <w:ind w:firstLine="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bidi="ar-SA"/>
              </w:rPr>
              <w:t>2020.8.5~2020.8.6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环评报告表</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审批部门</w:t>
            </w:r>
          </w:p>
        </w:tc>
        <w:tc>
          <w:tcPr>
            <w:tcW w:w="2105"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漳州市长泰</w:t>
            </w:r>
            <w:r>
              <w:rPr>
                <w:rFonts w:hint="eastAsia" w:ascii="Times New Roman" w:hAnsi="Times New Roman" w:eastAsia="宋体" w:cs="Times New Roman"/>
                <w:color w:val="auto"/>
                <w:sz w:val="21"/>
                <w:szCs w:val="21"/>
              </w:rPr>
              <w:t>生态环境</w:t>
            </w:r>
            <w:r>
              <w:rPr>
                <w:rFonts w:ascii="Times New Roman" w:hAnsi="Times New Roman" w:eastAsia="宋体" w:cs="Times New Roman"/>
                <w:color w:val="auto"/>
                <w:sz w:val="21"/>
                <w:szCs w:val="21"/>
              </w:rPr>
              <w:t>局</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环评报告表</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编制单位</w:t>
            </w:r>
          </w:p>
        </w:tc>
        <w:tc>
          <w:tcPr>
            <w:tcW w:w="2784" w:type="dxa"/>
            <w:gridSpan w:val="3"/>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浙江商达环保</w:t>
            </w:r>
            <w:r>
              <w:rPr>
                <w:rFonts w:ascii="Times New Roman" w:hAnsi="Times New Roman" w:eastAsia="宋体" w:cs="Times New Roman"/>
                <w:color w:val="auto"/>
                <w:sz w:val="21"/>
                <w:szCs w:val="21"/>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环保设施设计单位</w:t>
            </w:r>
          </w:p>
        </w:tc>
        <w:tc>
          <w:tcPr>
            <w:tcW w:w="210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自建</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环保设施施工</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单位</w:t>
            </w:r>
          </w:p>
        </w:tc>
        <w:tc>
          <w:tcPr>
            <w:tcW w:w="2784" w:type="dxa"/>
            <w:gridSpan w:val="3"/>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投资总概算</w:t>
            </w:r>
          </w:p>
        </w:tc>
        <w:tc>
          <w:tcPr>
            <w:tcW w:w="2105"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1200</w:t>
            </w:r>
            <w:r>
              <w:rPr>
                <w:rFonts w:ascii="Times New Roman" w:hAnsi="Times New Roman" w:eastAsia="宋体" w:cs="Times New Roman"/>
                <w:color w:val="auto"/>
                <w:sz w:val="21"/>
                <w:szCs w:val="21"/>
              </w:rPr>
              <w:t>万元</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环保投资总概算</w:t>
            </w:r>
          </w:p>
        </w:tc>
        <w:tc>
          <w:tcPr>
            <w:tcW w:w="984"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w:t>
            </w:r>
            <w:r>
              <w:rPr>
                <w:rFonts w:ascii="Times New Roman" w:hAnsi="Times New Roman" w:eastAsia="宋体" w:cs="Times New Roman"/>
                <w:color w:val="auto"/>
                <w:sz w:val="21"/>
                <w:szCs w:val="21"/>
              </w:rPr>
              <w:t>万元</w:t>
            </w:r>
          </w:p>
        </w:tc>
        <w:tc>
          <w:tcPr>
            <w:tcW w:w="76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比例</w:t>
            </w:r>
          </w:p>
        </w:tc>
        <w:tc>
          <w:tcPr>
            <w:tcW w:w="1035"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1.25</w:t>
            </w:r>
            <w:r>
              <w:rPr>
                <w:rFonts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实际总概算</w:t>
            </w:r>
          </w:p>
        </w:tc>
        <w:tc>
          <w:tcPr>
            <w:tcW w:w="2105"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1200</w:t>
            </w:r>
            <w:r>
              <w:rPr>
                <w:rFonts w:ascii="Times New Roman" w:hAnsi="Times New Roman" w:eastAsia="宋体" w:cs="Times New Roman"/>
                <w:color w:val="auto"/>
                <w:sz w:val="21"/>
                <w:szCs w:val="21"/>
              </w:rPr>
              <w:t>万元</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环保投资</w:t>
            </w:r>
          </w:p>
        </w:tc>
        <w:tc>
          <w:tcPr>
            <w:tcW w:w="984"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w:t>
            </w:r>
            <w:r>
              <w:rPr>
                <w:rFonts w:ascii="Times New Roman" w:hAnsi="Times New Roman" w:eastAsia="宋体" w:cs="Times New Roman"/>
                <w:color w:val="auto"/>
                <w:sz w:val="21"/>
                <w:szCs w:val="21"/>
              </w:rPr>
              <w:t>万元</w:t>
            </w:r>
          </w:p>
        </w:tc>
        <w:tc>
          <w:tcPr>
            <w:tcW w:w="76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比例</w:t>
            </w:r>
          </w:p>
        </w:tc>
        <w:tc>
          <w:tcPr>
            <w:tcW w:w="1035"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1.25</w:t>
            </w:r>
            <w:r>
              <w:rPr>
                <w:rFonts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验收监测依据</w:t>
            </w:r>
          </w:p>
        </w:tc>
        <w:tc>
          <w:tcPr>
            <w:tcW w:w="6674" w:type="dxa"/>
            <w:gridSpan w:val="5"/>
            <w:vAlign w:val="center"/>
          </w:tcPr>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1、《建设项目竣工环境保护验收暂行办法》国环规环评【2017】4号；</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2、《建设项目环境保护管理条例》修订（第682号令）；</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3、《建设项目竣工环境保护验收技术指南污染影响类》；</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4、《中华人民共和国环境保护法》，2014 年4 月24 日修订；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5、《中华人民共和国环境影响评价法》，2016 年修订；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6、《中华人民共和国大气污染防治法》，2015 年修订；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7、《中华人民共和国环境噪声污染防治法》，1996 年；</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8、《中华人民共和国固体废物污染环境防治法》，2004 年修订；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9、《中华人民共和国清洁生产促进法》，2012 年；</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10、《产业结构调整指导目录（2011 年本）》（2013 年修正）；</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11、《福建省环境保护条例》，2012 年3 月31 日实施。</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r>
              <w:rPr>
                <w:rFonts w:hint="eastAsia" w:ascii="Times New Roman" w:hAnsi="Times New Roman" w:eastAsia="宋体" w:cs="Times New Roman"/>
                <w:color w:val="auto"/>
                <w:sz w:val="21"/>
                <w:szCs w:val="21"/>
                <w:lang w:val="en-US" w:eastAsia="zh-CN"/>
              </w:rPr>
              <w:t>恩仕（长泰）休闲卫浴有限公司浴缸、淋浴房、亚克力板材生产项目</w:t>
            </w:r>
            <w:r>
              <w:rPr>
                <w:rFonts w:ascii="Times New Roman" w:hAnsi="Times New Roman" w:eastAsia="宋体" w:cs="Times New Roman"/>
                <w:color w:val="auto"/>
                <w:sz w:val="21"/>
                <w:szCs w:val="21"/>
              </w:rPr>
              <w:t>环境影响报告表》；</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w:t>
            </w:r>
            <w:r>
              <w:rPr>
                <w:rFonts w:hint="eastAsia" w:ascii="Times New Roman" w:hAnsi="Times New Roman" w:eastAsia="宋体" w:cs="Times New Roman"/>
                <w:color w:val="auto"/>
                <w:sz w:val="21"/>
                <w:szCs w:val="21"/>
                <w:lang w:val="en-US" w:eastAsia="zh-CN"/>
              </w:rPr>
              <w:t>漳州市长泰</w:t>
            </w:r>
            <w:r>
              <w:rPr>
                <w:rFonts w:hint="eastAsia" w:ascii="Times New Roman" w:hAnsi="Times New Roman" w:eastAsia="宋体" w:cs="Times New Roman"/>
                <w:color w:val="auto"/>
                <w:sz w:val="21"/>
                <w:szCs w:val="21"/>
              </w:rPr>
              <w:t>生态环境</w:t>
            </w:r>
            <w:r>
              <w:rPr>
                <w:rFonts w:ascii="Times New Roman" w:hAnsi="Times New Roman" w:eastAsia="宋体" w:cs="Times New Roman"/>
                <w:color w:val="auto"/>
                <w:sz w:val="21"/>
                <w:szCs w:val="21"/>
              </w:rPr>
              <w:t>局《</w:t>
            </w:r>
            <w:r>
              <w:rPr>
                <w:rFonts w:hint="eastAsia" w:ascii="Times New Roman" w:hAnsi="Times New Roman" w:eastAsia="宋体" w:cs="Times New Roman"/>
                <w:color w:val="auto"/>
                <w:sz w:val="21"/>
                <w:szCs w:val="21"/>
                <w:lang w:val="en-US" w:eastAsia="zh-CN"/>
              </w:rPr>
              <w:t>恩仕（长泰）休闲卫浴有限公司浴缸、淋浴房、亚克力板材生产项目</w:t>
            </w:r>
            <w:r>
              <w:rPr>
                <w:rFonts w:ascii="Times New Roman" w:hAnsi="Times New Roman" w:eastAsia="宋体" w:cs="Times New Roman"/>
                <w:color w:val="auto"/>
                <w:sz w:val="21"/>
                <w:szCs w:val="21"/>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4" w:hRule="atLeast"/>
        </w:trPr>
        <w:tc>
          <w:tcPr>
            <w:tcW w:w="225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验收监测评价标准、标号、级别、限值</w:t>
            </w:r>
          </w:p>
        </w:tc>
        <w:tc>
          <w:tcPr>
            <w:tcW w:w="6674" w:type="dxa"/>
            <w:gridSpan w:val="5"/>
            <w:vAlign w:val="center"/>
          </w:tcPr>
          <w:p>
            <w:pPr>
              <w:pStyle w:val="20"/>
              <w:numPr>
                <w:ilvl w:val="0"/>
                <w:numId w:val="1"/>
              </w:numPr>
              <w:spacing w:after="60" w:line="240" w:lineRule="auto"/>
              <w:ind w:firstLine="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GB12348-2008《工业企业厂界环境噪声排放标准》的</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类标准；</w:t>
            </w:r>
          </w:p>
          <w:p>
            <w:pPr>
              <w:pStyle w:val="20"/>
              <w:spacing w:after="60" w:line="240" w:lineRule="auto"/>
              <w:ind w:firstLine="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即：昼间≤6</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dB（A），夜间≤5</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dB（A）</w:t>
            </w:r>
          </w:p>
          <w:p>
            <w:pPr>
              <w:pStyle w:val="20"/>
              <w:numPr>
                <w:ilvl w:val="0"/>
                <w:numId w:val="1"/>
              </w:numPr>
              <w:spacing w:after="6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GB8978-1996《污水综合排放标准》的表4三级标准；即：pH：6~9，SS≤400mg/L，COD≤500mg/L，BOD5≤300mg/L</w:t>
            </w:r>
          </w:p>
          <w:p>
            <w:pPr>
              <w:pStyle w:val="20"/>
              <w:numPr>
                <w:ilvl w:val="0"/>
                <w:numId w:val="1"/>
              </w:numPr>
              <w:spacing w:after="6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DB35/1782-2018《工业企业挥发性有机物排放标准》中的表3标准；即：非甲烷总烃≤2.0mg/m</w:t>
            </w:r>
            <w:r>
              <w:rPr>
                <w:rFonts w:hint="eastAsia" w:ascii="Times New Roman" w:hAnsi="Times New Roman" w:eastAsia="宋体" w:cs="Times New Roman"/>
                <w:color w:val="auto"/>
                <w:sz w:val="21"/>
                <w:szCs w:val="21"/>
                <w:vertAlign w:val="superscript"/>
                <w:lang w:val="en-US" w:eastAsia="zh-CN"/>
              </w:rPr>
              <w:t>3</w:t>
            </w:r>
          </w:p>
          <w:p>
            <w:pPr>
              <w:pStyle w:val="20"/>
              <w:numPr>
                <w:ilvl w:val="0"/>
                <w:numId w:val="1"/>
              </w:numPr>
              <w:spacing w:after="6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GB16297-1996《大气污染物综合排放标准》中表2无组织排放标准；即：颗粒物≤1.0mg/m</w:t>
            </w:r>
            <w:r>
              <w:rPr>
                <w:rFonts w:hint="eastAsia" w:ascii="Times New Roman" w:hAnsi="Times New Roman" w:eastAsia="宋体" w:cs="Times New Roman"/>
                <w:color w:val="auto"/>
                <w:sz w:val="21"/>
                <w:szCs w:val="21"/>
                <w:vertAlign w:val="superscript"/>
                <w:lang w:val="en-US" w:eastAsia="zh-CN"/>
              </w:rPr>
              <w:t>3</w:t>
            </w:r>
          </w:p>
          <w:p>
            <w:pPr>
              <w:pStyle w:val="20"/>
              <w:numPr>
                <w:ilvl w:val="0"/>
                <w:numId w:val="1"/>
              </w:numPr>
              <w:spacing w:after="6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GB/T 31962 - 2015</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污水排入城镇下水道水质标准</w:t>
            </w:r>
            <w:r>
              <w:rPr>
                <w:rFonts w:hint="eastAsia" w:ascii="Times New Roman" w:hAnsi="Times New Roman" w:eastAsia="宋体" w:cs="Times New Roman"/>
                <w:color w:val="auto"/>
                <w:sz w:val="21"/>
                <w:szCs w:val="21"/>
                <w:lang w:val="en-US" w:eastAsia="zh-CN"/>
              </w:rPr>
              <w:t>》，即：氨氮≤45mg/L</w:t>
            </w:r>
          </w:p>
        </w:tc>
      </w:tr>
    </w:tbl>
    <w:p>
      <w:pPr>
        <w:outlineLvl w:val="0"/>
        <w:rPr>
          <w:rFonts w:ascii="Times New Roman" w:hAnsi="Times New Roman" w:eastAsia="宋体" w:cs="Times New Roman"/>
          <w:color w:val="auto"/>
          <w:sz w:val="21"/>
          <w:szCs w:val="21"/>
        </w:rPr>
        <w:sectPr>
          <w:footerReference r:id="rId5" w:type="default"/>
          <w:pgSz w:w="11906" w:h="16838"/>
          <w:pgMar w:top="1440" w:right="1440" w:bottom="1440" w:left="1701" w:header="709" w:footer="709" w:gutter="0"/>
          <w:pgNumType w:start="1"/>
          <w:cols w:space="0" w:num="1"/>
          <w:docGrid w:linePitch="360" w:charSpace="0"/>
        </w:sectPr>
      </w:pPr>
      <w:r>
        <w:rPr>
          <w:rFonts w:ascii="Times New Roman" w:hAnsi="Times New Roman" w:eastAsia="宋体" w:cs="Times New Roman"/>
          <w:b/>
          <w:color w:val="auto"/>
          <w:sz w:val="21"/>
          <w:szCs w:val="21"/>
        </w:rPr>
        <w:t>表一</w:t>
      </w: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表二</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项目概况</w:t>
            </w:r>
          </w:p>
          <w:p>
            <w:pPr>
              <w:pStyle w:val="20"/>
              <w:keepNext w:val="0"/>
              <w:keepLines w:val="0"/>
              <w:pageBreakBefore w:val="0"/>
              <w:widowControl/>
              <w:kinsoku/>
              <w:wordWrap/>
              <w:overflowPunct/>
              <w:topLinePunct w:val="0"/>
              <w:autoSpaceDE/>
              <w:autoSpaceDN/>
              <w:bidi w:val="0"/>
              <w:adjustRightInd w:val="0"/>
              <w:snapToGrid w:val="0"/>
              <w:spacing w:after="0" w:line="360" w:lineRule="auto"/>
              <w:ind w:firstLine="42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河北优胜洁具有限公司和安承有限公司共同出资，租用威迪亚（长泰）科技有限公司厂区内的空置厂房，在长泰经济开发区古农泰坤工业园成立恩仕（长泰）休闲卫浴有限公司，专门从事浴缸、浴盆的研发、生产及销售。</w:t>
            </w:r>
            <w:r>
              <w:rPr>
                <w:rFonts w:hint="default" w:ascii="Times New Roman" w:hAnsi="Times New Roman" w:eastAsia="宋体" w:cs="Times New Roman"/>
                <w:color w:val="auto"/>
                <w:sz w:val="24"/>
                <w:szCs w:val="24"/>
                <w:vertAlign w:val="baseline"/>
                <w:lang w:val="en-US" w:eastAsia="zh-CN"/>
              </w:rPr>
              <w:t>本项目环评设计总投资为</w:t>
            </w:r>
            <w:r>
              <w:rPr>
                <w:rFonts w:hint="eastAsia" w:ascii="Times New Roman" w:hAnsi="Times New Roman" w:eastAsia="宋体" w:cs="Times New Roman"/>
                <w:color w:val="auto"/>
                <w:sz w:val="24"/>
                <w:szCs w:val="24"/>
                <w:vertAlign w:val="baseline"/>
                <w:lang w:val="en-US" w:eastAsia="zh-CN"/>
              </w:rPr>
              <w:t>1200</w:t>
            </w:r>
            <w:r>
              <w:rPr>
                <w:rFonts w:hint="default" w:ascii="Times New Roman" w:hAnsi="Times New Roman" w:eastAsia="宋体" w:cs="Times New Roman"/>
                <w:color w:val="auto"/>
                <w:sz w:val="24"/>
                <w:szCs w:val="24"/>
                <w:vertAlign w:val="baseline"/>
                <w:lang w:val="zh-CN" w:eastAsia="zh-CN"/>
              </w:rPr>
              <w:t>万元</w:t>
            </w:r>
            <w:r>
              <w:rPr>
                <w:rFonts w:hint="default" w:ascii="Times New Roman" w:hAnsi="Times New Roman" w:eastAsia="宋体" w:cs="Times New Roman"/>
                <w:color w:val="auto"/>
                <w:sz w:val="24"/>
                <w:szCs w:val="24"/>
                <w:vertAlign w:val="baseline"/>
                <w:lang w:val="en-US" w:eastAsia="zh-CN"/>
              </w:rPr>
              <w:t>，环保投资</w:t>
            </w:r>
            <w:r>
              <w:rPr>
                <w:rFonts w:hint="eastAsia" w:ascii="Times New Roman" w:hAnsi="Times New Roman" w:eastAsia="宋体" w:cs="Times New Roman"/>
                <w:color w:val="auto"/>
                <w:sz w:val="24"/>
                <w:szCs w:val="24"/>
                <w:vertAlign w:val="baseline"/>
                <w:lang w:val="en-US" w:eastAsia="zh-CN"/>
              </w:rPr>
              <w:t>15</w:t>
            </w:r>
            <w:r>
              <w:rPr>
                <w:rFonts w:hint="default" w:ascii="Times New Roman" w:hAnsi="Times New Roman" w:eastAsia="宋体" w:cs="Times New Roman"/>
                <w:color w:val="auto"/>
                <w:sz w:val="24"/>
                <w:szCs w:val="24"/>
                <w:vertAlign w:val="baseline"/>
                <w:lang w:val="en-US" w:eastAsia="zh-CN"/>
              </w:rPr>
              <w:t>万元，生产规模为</w:t>
            </w:r>
            <w:r>
              <w:rPr>
                <w:rFonts w:hint="eastAsia" w:ascii="Times New Roman" w:hAnsi="Times New Roman" w:eastAsia="宋体" w:cs="Times New Roman"/>
                <w:color w:val="auto"/>
                <w:sz w:val="24"/>
                <w:szCs w:val="24"/>
                <w:vertAlign w:val="baseline"/>
                <w:lang w:val="en-US" w:eastAsia="zh-CN"/>
              </w:rPr>
              <w:t>年产浴缸60000套、淋浴盆20000套、淋浴房18000套</w:t>
            </w:r>
            <w:r>
              <w:rPr>
                <w:rFonts w:hint="default" w:ascii="Times New Roman" w:hAnsi="Times New Roman" w:eastAsia="宋体" w:cs="Times New Roman"/>
                <w:color w:val="auto"/>
                <w:sz w:val="24"/>
                <w:szCs w:val="24"/>
                <w:vertAlign w:val="baseline"/>
                <w:lang w:val="en-US" w:eastAsia="zh-CN"/>
              </w:rPr>
              <w:t>。根据《中华人民共和国环境保护法》、《中华人民共和国环境影响评价法》、《建设项目环境保护管理条例》【（1998）国务院令第253号】等相关法律法规规定，项目应办理环境影响评价手续。故本公司于201</w:t>
            </w:r>
            <w:r>
              <w:rPr>
                <w:rFonts w:hint="eastAsia" w:ascii="Times New Roman" w:hAnsi="Times New Roman" w:eastAsia="宋体" w:cs="Times New Roman"/>
                <w:color w:val="auto"/>
                <w:sz w:val="24"/>
                <w:szCs w:val="24"/>
                <w:vertAlign w:val="baseline"/>
                <w:lang w:val="en-US" w:eastAsia="zh-CN"/>
              </w:rPr>
              <w:t>2</w:t>
            </w:r>
            <w:r>
              <w:rPr>
                <w:rFonts w:hint="default" w:ascii="Times New Roman" w:hAnsi="Times New Roman" w:eastAsia="宋体" w:cs="Times New Roman"/>
                <w:color w:val="auto"/>
                <w:sz w:val="24"/>
                <w:szCs w:val="24"/>
                <w:vertAlign w:val="baseline"/>
                <w:lang w:val="en-US" w:eastAsia="zh-CN"/>
              </w:rPr>
              <w:t>年</w:t>
            </w:r>
            <w:r>
              <w:rPr>
                <w:rFonts w:hint="eastAsia" w:ascii="Times New Roman" w:hAnsi="Times New Roman" w:eastAsia="宋体" w:cs="Times New Roman"/>
                <w:color w:val="auto"/>
                <w:sz w:val="24"/>
                <w:szCs w:val="24"/>
                <w:vertAlign w:val="baseline"/>
                <w:lang w:val="en-US" w:eastAsia="zh-CN"/>
              </w:rPr>
              <w:t>12</w:t>
            </w:r>
            <w:r>
              <w:rPr>
                <w:rFonts w:hint="default" w:ascii="Times New Roman" w:hAnsi="Times New Roman" w:eastAsia="宋体" w:cs="Times New Roman"/>
                <w:color w:val="auto"/>
                <w:sz w:val="24"/>
                <w:szCs w:val="24"/>
                <w:vertAlign w:val="baseline"/>
                <w:lang w:val="en-US" w:eastAsia="zh-CN"/>
              </w:rPr>
              <w:t>月委托</w:t>
            </w:r>
            <w:r>
              <w:rPr>
                <w:rFonts w:hint="eastAsia" w:ascii="Times New Roman" w:hAnsi="Times New Roman" w:eastAsia="宋体" w:cs="Times New Roman"/>
                <w:color w:val="auto"/>
                <w:sz w:val="24"/>
                <w:szCs w:val="24"/>
                <w:vertAlign w:val="baseline"/>
                <w:lang w:val="en-US" w:eastAsia="zh-CN"/>
              </w:rPr>
              <w:t>浙江商达环保有限公司</w:t>
            </w:r>
            <w:r>
              <w:rPr>
                <w:rFonts w:hint="default" w:ascii="Times New Roman" w:hAnsi="Times New Roman" w:eastAsia="宋体" w:cs="Times New Roman"/>
                <w:color w:val="auto"/>
                <w:sz w:val="24"/>
                <w:szCs w:val="24"/>
                <w:vertAlign w:val="baseline"/>
                <w:lang w:val="en-US" w:eastAsia="zh-CN"/>
              </w:rPr>
              <w:t>编制《</w:t>
            </w:r>
            <w:r>
              <w:rPr>
                <w:rFonts w:hint="eastAsia" w:ascii="Times New Roman" w:hAnsi="Times New Roman" w:eastAsia="宋体" w:cs="Times New Roman"/>
                <w:color w:val="auto"/>
                <w:sz w:val="24"/>
                <w:szCs w:val="24"/>
                <w:vertAlign w:val="baseline"/>
                <w:lang w:val="en-US" w:eastAsia="zh-CN"/>
              </w:rPr>
              <w:t>恩仕（长泰）休闲卫浴有限公司浴缸、淋浴房、亚克力板材生产项目</w:t>
            </w:r>
            <w:r>
              <w:rPr>
                <w:rFonts w:hint="default" w:ascii="Times New Roman" w:hAnsi="Times New Roman" w:eastAsia="宋体" w:cs="Times New Roman"/>
                <w:color w:val="auto"/>
                <w:sz w:val="24"/>
                <w:szCs w:val="24"/>
                <w:vertAlign w:val="baseline"/>
                <w:lang w:val="en-US" w:eastAsia="zh-CN"/>
              </w:rPr>
              <w:t>环境影响报告表》，并于201</w:t>
            </w:r>
            <w:r>
              <w:rPr>
                <w:rFonts w:hint="eastAsia" w:ascii="Times New Roman" w:hAnsi="Times New Roman" w:eastAsia="宋体" w:cs="Times New Roman"/>
                <w:color w:val="auto"/>
                <w:sz w:val="24"/>
                <w:szCs w:val="24"/>
                <w:vertAlign w:val="baseline"/>
                <w:lang w:val="en-US" w:eastAsia="zh-CN"/>
              </w:rPr>
              <w:t>3</w:t>
            </w:r>
            <w:r>
              <w:rPr>
                <w:rFonts w:hint="default" w:ascii="Times New Roman" w:hAnsi="Times New Roman" w:eastAsia="宋体" w:cs="Times New Roman"/>
                <w:color w:val="auto"/>
                <w:sz w:val="24"/>
                <w:szCs w:val="24"/>
                <w:vertAlign w:val="baseline"/>
                <w:lang w:val="en-US" w:eastAsia="zh-CN"/>
              </w:rPr>
              <w:t>年</w:t>
            </w:r>
            <w:r>
              <w:rPr>
                <w:rFonts w:hint="eastAsia" w:ascii="Times New Roman" w:hAnsi="Times New Roman" w:eastAsia="宋体"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eastAsia="宋体" w:cs="Times New Roman"/>
                <w:color w:val="auto"/>
                <w:sz w:val="24"/>
                <w:szCs w:val="24"/>
                <w:vertAlign w:val="baseline"/>
                <w:lang w:val="en-US" w:eastAsia="zh-CN"/>
              </w:rPr>
              <w:t>4日</w:t>
            </w:r>
            <w:r>
              <w:rPr>
                <w:rFonts w:hint="default" w:ascii="Times New Roman" w:hAnsi="Times New Roman" w:eastAsia="宋体" w:cs="Times New Roman"/>
                <w:color w:val="auto"/>
                <w:sz w:val="24"/>
                <w:szCs w:val="24"/>
                <w:vertAlign w:val="baseline"/>
                <w:lang w:val="en-US" w:eastAsia="zh-CN"/>
              </w:rPr>
              <w:t>通过漳州市</w:t>
            </w:r>
            <w:r>
              <w:rPr>
                <w:rFonts w:hint="eastAsia" w:ascii="Times New Roman" w:hAnsi="Times New Roman" w:eastAsia="宋体" w:cs="Times New Roman"/>
                <w:color w:val="auto"/>
                <w:sz w:val="24"/>
                <w:szCs w:val="24"/>
                <w:vertAlign w:val="baseline"/>
                <w:lang w:val="en-US" w:eastAsia="zh-CN"/>
              </w:rPr>
              <w:t>长泰</w:t>
            </w:r>
            <w:r>
              <w:rPr>
                <w:rFonts w:hint="default" w:ascii="Times New Roman" w:hAnsi="Times New Roman" w:eastAsia="宋体" w:cs="Times New Roman"/>
                <w:color w:val="auto"/>
                <w:sz w:val="24"/>
                <w:szCs w:val="24"/>
                <w:vertAlign w:val="baseline"/>
                <w:lang w:val="en-US" w:eastAsia="zh-CN"/>
              </w:rPr>
              <w:t>生态环境局审批，批复编号为：</w:t>
            </w:r>
            <w:r>
              <w:rPr>
                <w:rFonts w:hint="eastAsia" w:ascii="Times New Roman" w:hAnsi="Times New Roman" w:eastAsia="宋体" w:cs="Times New Roman"/>
                <w:color w:val="auto"/>
                <w:sz w:val="24"/>
                <w:szCs w:val="24"/>
                <w:vertAlign w:val="baseline"/>
                <w:lang w:val="en-US" w:eastAsia="zh-CN"/>
              </w:rPr>
              <w:t>泰环审【2013】2号</w:t>
            </w:r>
            <w:r>
              <w:rPr>
                <w:rFonts w:hint="default" w:ascii="Times New Roman" w:hAnsi="Times New Roman" w:eastAsia="宋体" w:cs="Times New Roman"/>
                <w:color w:val="auto"/>
                <w:sz w:val="24"/>
                <w:szCs w:val="24"/>
                <w:vertAlign w:val="baseline"/>
                <w:lang w:val="en-US" w:eastAsia="zh-CN"/>
              </w:rPr>
              <w:t>。</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四周情况为：西面200m处为零星居户；东面为其他工业用地；北面为威迪亚厂区；南面为碧山食品有限公司及工业用地。</w:t>
            </w:r>
            <w:r>
              <w:rPr>
                <w:rFonts w:hint="eastAsia" w:ascii="Times New Roman" w:hAnsi="Times New Roman" w:eastAsia="宋体" w:cs="Times New Roman"/>
                <w:color w:val="auto"/>
                <w:sz w:val="24"/>
                <w:szCs w:val="24"/>
              </w:rPr>
              <w:t>目前</w:t>
            </w:r>
            <w:r>
              <w:rPr>
                <w:rFonts w:ascii="Times New Roman" w:hAnsi="Times New Roman" w:eastAsia="宋体" w:cs="Times New Roman"/>
                <w:color w:val="auto"/>
                <w:sz w:val="24"/>
                <w:szCs w:val="24"/>
              </w:rPr>
              <w:t>实际生产能力为</w:t>
            </w:r>
            <w:r>
              <w:rPr>
                <w:rFonts w:hint="eastAsia" w:ascii="Times New Roman" w:hAnsi="Times New Roman" w:eastAsia="宋体" w:cs="Times New Roman"/>
                <w:color w:val="auto"/>
                <w:sz w:val="24"/>
                <w:szCs w:val="24"/>
                <w:vertAlign w:val="baseline"/>
                <w:lang w:val="en-US" w:eastAsia="zh-CN"/>
              </w:rPr>
              <w:t>年产浴缸60000套、淋浴盆20000套、淋浴房18000套</w:t>
            </w:r>
            <w:r>
              <w:rPr>
                <w:rFonts w:ascii="Times New Roman" w:hAnsi="Times New Roman" w:eastAsia="宋体" w:cs="Times New Roman"/>
                <w:color w:val="auto"/>
                <w:sz w:val="24"/>
                <w:szCs w:val="24"/>
              </w:rPr>
              <w:t>；职工人数</w:t>
            </w:r>
            <w:r>
              <w:rPr>
                <w:rFonts w:hint="eastAsia" w:ascii="Times New Roman" w:hAnsi="Times New Roman" w:eastAsia="宋体" w:cs="Times New Roman"/>
                <w:color w:val="auto"/>
                <w:sz w:val="24"/>
                <w:szCs w:val="24"/>
                <w:lang w:val="en-US" w:eastAsia="zh-CN"/>
              </w:rPr>
              <w:t>50</w:t>
            </w:r>
            <w:r>
              <w:rPr>
                <w:rFonts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rPr>
              <w:t>均在厂区食宿</w:t>
            </w:r>
            <w:r>
              <w:rPr>
                <w:rFonts w:ascii="Times New Roman" w:hAnsi="Times New Roman" w:eastAsia="宋体" w:cs="Times New Roman"/>
                <w:color w:val="auto"/>
                <w:sz w:val="24"/>
                <w:szCs w:val="24"/>
              </w:rPr>
              <w:t>，年工作天数</w:t>
            </w:r>
            <w:r>
              <w:rPr>
                <w:rFonts w:hint="eastAsia" w:ascii="Times New Roman" w:hAnsi="Times New Roman" w:eastAsia="宋体" w:cs="Times New Roman"/>
                <w:color w:val="auto"/>
                <w:sz w:val="24"/>
                <w:szCs w:val="24"/>
                <w:lang w:val="en-US" w:eastAsia="zh-CN"/>
              </w:rPr>
              <w:t>252</w:t>
            </w:r>
            <w:r>
              <w:rPr>
                <w:rFonts w:ascii="Times New Roman" w:hAnsi="Times New Roman" w:eastAsia="宋体" w:cs="Times New Roman"/>
                <w:color w:val="auto"/>
                <w:sz w:val="24"/>
                <w:szCs w:val="24"/>
              </w:rPr>
              <w:t>天</w:t>
            </w:r>
            <w:r>
              <w:rPr>
                <w:rFonts w:hint="eastAsia" w:ascii="Times New Roman" w:hAnsi="Times New Roman" w:eastAsia="宋体" w:cs="Times New Roman"/>
                <w:color w:val="auto"/>
                <w:sz w:val="24"/>
                <w:szCs w:val="24"/>
              </w:rPr>
              <w:t>，每天工作</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小时</w:t>
            </w:r>
            <w:r>
              <w:rPr>
                <w:rFonts w:ascii="Times New Roman" w:hAnsi="Times New Roman" w:eastAsia="宋体" w:cs="Times New Roman"/>
                <w:color w:val="auto"/>
                <w:sz w:val="24"/>
                <w:szCs w:val="24"/>
              </w:rPr>
              <w:t>。</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项目于20</w:t>
            </w:r>
            <w:r>
              <w:rPr>
                <w:rFonts w:hint="eastAsia"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月开工建设</w:t>
            </w:r>
            <w:r>
              <w:rPr>
                <w:rFonts w:hint="eastAsia"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11</w:t>
            </w:r>
            <w:r>
              <w:rPr>
                <w:rFonts w:hint="eastAsia" w:ascii="Times New Roman" w:hAnsi="Times New Roman" w:eastAsia="宋体" w:cs="Times New Roman"/>
                <w:color w:val="auto"/>
                <w:sz w:val="24"/>
                <w:szCs w:val="24"/>
              </w:rPr>
              <w:t>月建成，20</w:t>
            </w: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月进行试生产。</w:t>
            </w:r>
            <w:r>
              <w:rPr>
                <w:rFonts w:ascii="Times New Roman" w:hAnsi="Times New Roman" w:eastAsia="宋体" w:cs="Times New Roman"/>
                <w:color w:val="auto"/>
                <w:sz w:val="24"/>
                <w:szCs w:val="24"/>
              </w:rPr>
              <w:t>目前</w:t>
            </w: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项目已全部建成投产</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根据《建设项目环境保护管理条例》和《建设项目竣工环境保护验收技术指南污染影响类》等法律法规文件的要求，公司依据国家有关法规文件、技术标准及经审批后的本项目环境影响报告表并结合现场实际情况制定了本项目的环境保护验收监测方案，并于2020年</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日至2020年</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日委托</w:t>
            </w:r>
            <w:r>
              <w:rPr>
                <w:rFonts w:hint="eastAsia" w:ascii="Times New Roman" w:hAnsi="Times New Roman" w:eastAsia="宋体" w:cs="Times New Roman"/>
                <w:color w:val="auto"/>
                <w:sz w:val="24"/>
                <w:szCs w:val="24"/>
                <w:lang w:val="en-US" w:eastAsia="zh-CN"/>
              </w:rPr>
              <w:t>厦门科仪检测技术有限公司</w:t>
            </w:r>
            <w:r>
              <w:rPr>
                <w:rFonts w:ascii="Times New Roman" w:hAnsi="Times New Roman" w:eastAsia="宋体" w:cs="Times New Roman"/>
                <w:color w:val="auto"/>
                <w:sz w:val="24"/>
                <w:szCs w:val="24"/>
              </w:rPr>
              <w:t>到本项目开展竣工环境保护验收监测，根据现场监测情况、样品监测分析结果及现场调查情况，编制本验收监测报告表。</w:t>
            </w: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b/>
                <w:bCs/>
                <w:color w:val="auto"/>
              </w:rPr>
            </w:pPr>
            <w:r>
              <w:rPr>
                <w:rFonts w:ascii="Times New Roman" w:hAnsi="Times New Roman" w:cs="Times New Roman"/>
                <w:color w:val="auto"/>
              </w:rPr>
              <w:t>具体建设内容见下表</w:t>
            </w:r>
            <w:r>
              <w:rPr>
                <w:rFonts w:hint="eastAsia" w:ascii="Times New Roman" w:hAnsi="Times New Roman" w:cs="Times New Roman"/>
                <w:color w:val="auto"/>
              </w:rPr>
              <w:t>2-1</w:t>
            </w:r>
            <w:r>
              <w:rPr>
                <w:rFonts w:ascii="Times New Roman" w:hAnsi="Times New Roman" w:cs="Times New Roman"/>
                <w:color w:val="auto"/>
              </w:rPr>
              <w:t>：</w:t>
            </w:r>
          </w:p>
          <w:p>
            <w:pPr>
              <w:widowControl/>
              <w:numPr>
                <w:ilvl w:val="0"/>
                <w:numId w:val="2"/>
              </w:numPr>
              <w:spacing w:line="360" w:lineRule="auto"/>
              <w:ind w:firstLine="482" w:firstLineChars="200"/>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项目建设内容</w:t>
            </w:r>
          </w:p>
          <w:p>
            <w:pPr>
              <w:pStyle w:val="20"/>
              <w:widowControl w:val="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 xml:space="preserve">表2-1 </w:t>
            </w:r>
            <w:r>
              <w:rPr>
                <w:rFonts w:ascii="Times New Roman" w:hAnsi="Times New Roman" w:eastAsia="宋体" w:cs="Times New Roman"/>
                <w:b/>
                <w:bCs/>
                <w:color w:val="auto"/>
                <w:sz w:val="21"/>
                <w:szCs w:val="21"/>
              </w:rPr>
              <w:t>项目建设内容</w:t>
            </w:r>
            <w:r>
              <w:rPr>
                <w:rFonts w:hint="eastAsia" w:ascii="Times New Roman" w:hAnsi="Times New Roman" w:eastAsia="宋体" w:cs="Times New Roman"/>
                <w:b/>
                <w:bCs/>
                <w:color w:val="auto"/>
                <w:sz w:val="21"/>
                <w:szCs w:val="21"/>
              </w:rPr>
              <w:t>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773"/>
              <w:gridCol w:w="4415"/>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工程类别</w:t>
                  </w: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项目名称</w:t>
                  </w:r>
                </w:p>
              </w:tc>
              <w:tc>
                <w:tcPr>
                  <w:tcW w:w="2522"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建设内容</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主体工程</w:t>
                  </w: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2522"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Merge w:val="continue"/>
                  <w:vAlign w:val="center"/>
                </w:tcPr>
                <w:p>
                  <w:pPr>
                    <w:widowControl w:val="0"/>
                    <w:autoSpaceDE w:val="0"/>
                    <w:autoSpaceDN w:val="0"/>
                    <w:snapToGrid/>
                    <w:jc w:val="center"/>
                    <w:rPr>
                      <w:rFonts w:hint="eastAsia"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原料、成品仓库</w:t>
                  </w:r>
                </w:p>
              </w:tc>
              <w:tc>
                <w:tcPr>
                  <w:tcW w:w="2522"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5" w:type="pct"/>
                  <w:vAlign w:val="center"/>
                </w:tcPr>
                <w:p>
                  <w:pPr>
                    <w:widowControl w:val="0"/>
                    <w:autoSpaceDE w:val="0"/>
                    <w:autoSpaceDN w:val="0"/>
                    <w:snapToGrid/>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公用及辅助工程</w:t>
                  </w: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供水系统</w:t>
                  </w:r>
                </w:p>
              </w:tc>
              <w:tc>
                <w:tcPr>
                  <w:tcW w:w="2522"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市政自来水提供</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供电系统</w:t>
                  </w:r>
                </w:p>
              </w:tc>
              <w:tc>
                <w:tcPr>
                  <w:tcW w:w="2522"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由市政电网统一提供</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排水工程</w:t>
                  </w:r>
                </w:p>
              </w:tc>
              <w:tc>
                <w:tcPr>
                  <w:tcW w:w="2522"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雨污分流</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环保设施</w:t>
                  </w: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废气治理</w:t>
                  </w:r>
                </w:p>
              </w:tc>
              <w:tc>
                <w:tcPr>
                  <w:tcW w:w="2522" w:type="pct"/>
                  <w:vAlign w:val="center"/>
                </w:tcPr>
                <w:p>
                  <w:pPr>
                    <w:widowControl w:val="0"/>
                    <w:autoSpaceDE w:val="0"/>
                    <w:autoSpaceDN w:val="0"/>
                    <w:snapToGrid/>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车间通风</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9"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废水治理</w:t>
                  </w:r>
                </w:p>
              </w:tc>
              <w:tc>
                <w:tcPr>
                  <w:tcW w:w="2522"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无生产废水产生，生活污水经三级化粪池处理</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29"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噪声治理</w:t>
                  </w:r>
                </w:p>
              </w:tc>
              <w:tc>
                <w:tcPr>
                  <w:tcW w:w="2522" w:type="pct"/>
                  <w:vAlign w:val="center"/>
                </w:tcPr>
                <w:p>
                  <w:pPr>
                    <w:widowControl w:val="0"/>
                    <w:autoSpaceDE w:val="0"/>
                    <w:autoSpaceDN w:val="0"/>
                    <w:snapToGrid/>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采用低噪声设备，机械设备合理布局</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29"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固废处置</w:t>
                  </w:r>
                </w:p>
              </w:tc>
              <w:tc>
                <w:tcPr>
                  <w:tcW w:w="2522"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部分回用于吸塑工序，无法回用的外售给相关单位</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29"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Merge w:val="continue"/>
                  <w:vAlign w:val="center"/>
                </w:tcPr>
                <w:p>
                  <w:pPr>
                    <w:widowControl w:val="0"/>
                    <w:autoSpaceDE w:val="0"/>
                    <w:autoSpaceDN w:val="0"/>
                    <w:snapToGrid/>
                    <w:jc w:val="center"/>
                    <w:rPr>
                      <w:rFonts w:hint="eastAsia" w:ascii="Times New Roman" w:hAnsi="Times New Roman" w:eastAsia="宋体" w:cs="Times New Roman"/>
                      <w:color w:val="auto"/>
                      <w:sz w:val="21"/>
                      <w:szCs w:val="21"/>
                    </w:rPr>
                  </w:pPr>
                </w:p>
              </w:tc>
              <w:tc>
                <w:tcPr>
                  <w:tcW w:w="2522" w:type="pct"/>
                  <w:vAlign w:val="center"/>
                </w:tcPr>
                <w:p>
                  <w:pPr>
                    <w:widowControl w:val="0"/>
                    <w:autoSpaceDE w:val="0"/>
                    <w:autoSpaceDN w:val="0"/>
                    <w:snapToGrid/>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设置生活垃圾桶，统一收集后，委托环卫部门每日清运处置。</w:t>
                  </w:r>
                </w:p>
              </w:tc>
              <w:tc>
                <w:tcPr>
                  <w:tcW w:w="835"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bl>
          <w:p>
            <w:pPr>
              <w:pStyle w:val="28"/>
              <w:jc w:val="center"/>
              <w:rPr>
                <w:rFonts w:ascii="Times New Roman" w:hAnsi="Times New Roman" w:cs="Times New Roman"/>
                <w:b/>
                <w:bCs/>
                <w:color w:val="0000FF"/>
                <w:sz w:val="21"/>
                <w:szCs w:val="21"/>
              </w:rPr>
            </w:pPr>
          </w:p>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 xml:space="preserve">表2-2 </w:t>
            </w:r>
            <w:r>
              <w:rPr>
                <w:rFonts w:ascii="Times New Roman" w:hAnsi="Times New Roman" w:cs="Times New Roman"/>
                <w:b/>
                <w:bCs/>
                <w:color w:val="auto"/>
                <w:sz w:val="21"/>
                <w:szCs w:val="21"/>
              </w:rPr>
              <w:t>项目</w:t>
            </w:r>
            <w:r>
              <w:rPr>
                <w:rFonts w:hint="eastAsia" w:ascii="Times New Roman" w:hAnsi="Times New Roman" w:cs="Times New Roman"/>
                <w:b/>
                <w:bCs/>
                <w:color w:val="auto"/>
                <w:sz w:val="21"/>
                <w:szCs w:val="21"/>
              </w:rPr>
              <w:t>产品方案</w:t>
            </w:r>
          </w:p>
          <w:tbl>
            <w:tblPr>
              <w:tblStyle w:val="22"/>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3440"/>
              <w:gridCol w:w="391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92" w:type="pct"/>
                  <w:tcBorders>
                    <w:tl2br w:val="nil"/>
                    <w:tr2bl w:val="nil"/>
                  </w:tcBorders>
                  <w:vAlign w:val="center"/>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产品</w:t>
                  </w:r>
                </w:p>
              </w:tc>
              <w:tc>
                <w:tcPr>
                  <w:tcW w:w="1966" w:type="pct"/>
                  <w:tcBorders>
                    <w:tl2br w:val="nil"/>
                    <w:tr2bl w:val="nil"/>
                  </w:tcBorders>
                  <w:vAlign w:val="center"/>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环评设计生产能力</w:t>
                  </w:r>
                </w:p>
              </w:tc>
              <w:tc>
                <w:tcPr>
                  <w:tcW w:w="2240" w:type="pct"/>
                  <w:tcBorders>
                    <w:tl2br w:val="nil"/>
                    <w:tr2bl w:val="nil"/>
                  </w:tcBorders>
                  <w:vAlign w:val="center"/>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实际生产能力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92" w:type="pct"/>
                  <w:tcBorders>
                    <w:tl2br w:val="nil"/>
                    <w:tr2bl w:val="nil"/>
                  </w:tcBorders>
                  <w:vAlign w:val="center"/>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卫浴</w:t>
                  </w:r>
                </w:p>
              </w:tc>
              <w:tc>
                <w:tcPr>
                  <w:tcW w:w="1966" w:type="pct"/>
                  <w:tcBorders>
                    <w:tl2br w:val="nil"/>
                    <w:tr2bl w:val="nil"/>
                  </w:tcBorders>
                  <w:vAlign w:val="center"/>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年产浴缸60000套、淋浴盆20000套、淋浴房18000套</w:t>
                  </w:r>
                </w:p>
              </w:tc>
              <w:tc>
                <w:tcPr>
                  <w:tcW w:w="2240" w:type="pct"/>
                  <w:tcBorders>
                    <w:tl2br w:val="nil"/>
                    <w:tr2bl w:val="nil"/>
                  </w:tcBorders>
                  <w:vAlign w:val="center"/>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年产浴缸60000套、淋浴盆20000套、淋浴房18000套</w:t>
                  </w:r>
                </w:p>
              </w:tc>
            </w:tr>
          </w:tbl>
          <w:p>
            <w:pPr>
              <w:pStyle w:val="28"/>
              <w:jc w:val="center"/>
              <w:rPr>
                <w:rFonts w:ascii="Times New Roman" w:hAnsi="Times New Roman" w:cs="Times New Roman"/>
                <w:b/>
                <w:bCs/>
                <w:color w:val="0000FF"/>
                <w:sz w:val="21"/>
                <w:szCs w:val="21"/>
              </w:rPr>
            </w:pPr>
          </w:p>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表2-3 主要生产设备一览表</w:t>
            </w:r>
          </w:p>
          <w:tbl>
            <w:tblPr>
              <w:tblStyle w:val="21"/>
              <w:tblW w:w="498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790"/>
              <w:gridCol w:w="1864"/>
              <w:gridCol w:w="1111"/>
              <w:gridCol w:w="2175"/>
              <w:gridCol w:w="1114"/>
              <w:gridCol w:w="1677"/>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序号</w:t>
                  </w:r>
                </w:p>
              </w:tc>
              <w:tc>
                <w:tcPr>
                  <w:tcW w:w="1067"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设备名称</w:t>
                  </w:r>
                </w:p>
              </w:tc>
              <w:tc>
                <w:tcPr>
                  <w:tcW w:w="636"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环评数量</w:t>
                  </w:r>
                </w:p>
              </w:tc>
              <w:tc>
                <w:tcPr>
                  <w:tcW w:w="1245" w:type="pct"/>
                  <w:tcBorders>
                    <w:tl2br w:val="nil"/>
                    <w:tr2bl w:val="nil"/>
                  </w:tcBorders>
                  <w:vAlign w:val="center"/>
                </w:tcPr>
                <w:p>
                  <w:pPr>
                    <w:pStyle w:val="28"/>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型号</w:t>
                  </w:r>
                </w:p>
              </w:tc>
              <w:tc>
                <w:tcPr>
                  <w:tcW w:w="638" w:type="pct"/>
                  <w:tcBorders>
                    <w:tl2br w:val="nil"/>
                    <w:tr2bl w:val="nil"/>
                  </w:tcBorders>
                  <w:vAlign w:val="center"/>
                </w:tcPr>
                <w:p>
                  <w:pPr>
                    <w:pStyle w:val="28"/>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实际数量</w:t>
                  </w:r>
                </w:p>
              </w:tc>
              <w:tc>
                <w:tcPr>
                  <w:tcW w:w="960" w:type="pct"/>
                  <w:tcBorders>
                    <w:tl2br w:val="nil"/>
                    <w:tr2bl w:val="nil"/>
                  </w:tcBorders>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备注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自动成型机</w:t>
                  </w:r>
                </w:p>
              </w:tc>
              <w:tc>
                <w:tcPr>
                  <w:tcW w:w="636"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2台</w:t>
                  </w:r>
                </w:p>
              </w:tc>
              <w:tc>
                <w:tcPr>
                  <w:tcW w:w="1245"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4" w:type="dxa"/>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2台</w:t>
                  </w:r>
                </w:p>
              </w:tc>
              <w:tc>
                <w:tcPr>
                  <w:tcW w:w="960" w:type="pc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1067" w:type="pct"/>
                  <w:tcBorders>
                    <w:tl2br w:val="nil"/>
                    <w:tr2bl w:val="nil"/>
                  </w:tcBorders>
                  <w:vAlign w:val="center"/>
                </w:tcPr>
                <w:p>
                  <w:pPr>
                    <w:pStyle w:val="28"/>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固化烘干机</w:t>
                  </w:r>
                </w:p>
              </w:tc>
              <w:tc>
                <w:tcPr>
                  <w:tcW w:w="636"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1台</w:t>
                  </w:r>
                </w:p>
              </w:tc>
              <w:tc>
                <w:tcPr>
                  <w:tcW w:w="124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4" w:type="dxa"/>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1台</w:t>
                  </w:r>
                </w:p>
              </w:tc>
              <w:tc>
                <w:tcPr>
                  <w:tcW w:w="960" w:type="pc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自动喷纤机</w:t>
                  </w:r>
                </w:p>
              </w:tc>
              <w:tc>
                <w:tcPr>
                  <w:tcW w:w="636"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1台</w:t>
                  </w:r>
                </w:p>
              </w:tc>
              <w:tc>
                <w:tcPr>
                  <w:tcW w:w="1245"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4" w:type="dxa"/>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1台</w:t>
                  </w:r>
                </w:p>
              </w:tc>
              <w:tc>
                <w:tcPr>
                  <w:tcW w:w="960" w:type="pc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4</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自动裁切机</w:t>
                  </w:r>
                </w:p>
              </w:tc>
              <w:tc>
                <w:tcPr>
                  <w:tcW w:w="636"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2台</w:t>
                  </w:r>
                </w:p>
              </w:tc>
              <w:tc>
                <w:tcPr>
                  <w:tcW w:w="124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4" w:type="dxa"/>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2台</w:t>
                  </w:r>
                </w:p>
              </w:tc>
              <w:tc>
                <w:tcPr>
                  <w:tcW w:w="960" w:type="pc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组装装配输送机</w:t>
                  </w:r>
                </w:p>
              </w:tc>
              <w:tc>
                <w:tcPr>
                  <w:tcW w:w="636" w:type="pct"/>
                  <w:tcBorders>
                    <w:tl2br w:val="nil"/>
                    <w:tr2bl w:val="nil"/>
                  </w:tcBorders>
                  <w:vAlign w:val="center"/>
                </w:tcPr>
                <w:p>
                  <w:pPr>
                    <w:pStyle w:val="28"/>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2台</w:t>
                  </w:r>
                </w:p>
              </w:tc>
              <w:tc>
                <w:tcPr>
                  <w:tcW w:w="124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4" w:type="dxa"/>
                  <w:tcBorders>
                    <w:tl2br w:val="nil"/>
                    <w:tr2bl w:val="nil"/>
                  </w:tcBorders>
                  <w:vAlign w:val="center"/>
                </w:tcPr>
                <w:p>
                  <w:pPr>
                    <w:pStyle w:val="28"/>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2台</w:t>
                  </w:r>
                </w:p>
              </w:tc>
              <w:tc>
                <w:tcPr>
                  <w:tcW w:w="96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自动上料搅拌机</w:t>
                  </w:r>
                </w:p>
              </w:tc>
              <w:tc>
                <w:tcPr>
                  <w:tcW w:w="636" w:type="pct"/>
                  <w:tcBorders>
                    <w:tl2br w:val="nil"/>
                    <w:tr2bl w:val="nil"/>
                  </w:tcBorders>
                  <w:vAlign w:val="center"/>
                </w:tcPr>
                <w:p>
                  <w:pPr>
                    <w:pStyle w:val="28"/>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1台</w:t>
                  </w:r>
                </w:p>
              </w:tc>
              <w:tc>
                <w:tcPr>
                  <w:tcW w:w="1245"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4" w:type="dxa"/>
                  <w:tcBorders>
                    <w:tl2br w:val="nil"/>
                    <w:tr2bl w:val="nil"/>
                  </w:tcBorders>
                  <w:vAlign w:val="center"/>
                </w:tcPr>
                <w:p>
                  <w:pPr>
                    <w:pStyle w:val="28"/>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1台</w:t>
                  </w:r>
                </w:p>
              </w:tc>
              <w:tc>
                <w:tcPr>
                  <w:tcW w:w="960"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pStyle w:val="28"/>
              <w:spacing w:before="200" w:line="360" w:lineRule="auto"/>
              <w:ind w:left="440" w:leftChars="200"/>
              <w:jc w:val="both"/>
              <w:rPr>
                <w:rFonts w:ascii="Times New Roman" w:hAnsi="Times New Roman" w:cs="Times New Roman"/>
                <w:b/>
                <w:bCs/>
                <w:color w:val="auto"/>
              </w:rPr>
            </w:pPr>
            <w:r>
              <w:rPr>
                <w:rFonts w:ascii="Times New Roman" w:hAnsi="Times New Roman" w:cs="Times New Roman"/>
                <w:b/>
                <w:bCs/>
                <w:color w:val="auto"/>
              </w:rPr>
              <w:t>3、验收范围</w:t>
            </w:r>
          </w:p>
          <w:p>
            <w:pPr>
              <w:pStyle w:val="28"/>
              <w:spacing w:line="360" w:lineRule="auto"/>
              <w:ind w:firstLine="480" w:firstLineChars="200"/>
              <w:jc w:val="both"/>
              <w:rPr>
                <w:rFonts w:ascii="Times New Roman" w:hAnsi="Times New Roman" w:cs="Times New Roman"/>
                <w:b/>
                <w:bCs/>
                <w:color w:val="auto"/>
              </w:rPr>
            </w:pPr>
            <w:r>
              <w:rPr>
                <w:rFonts w:hint="eastAsia" w:ascii="Times New Roman" w:hAnsi="Times New Roman" w:eastAsia="宋体" w:cs="Times New Roman"/>
                <w:color w:val="auto"/>
                <w:sz w:val="24"/>
                <w:szCs w:val="24"/>
                <w:vertAlign w:val="baseline"/>
                <w:lang w:val="en-US" w:eastAsia="zh-CN"/>
              </w:rPr>
              <w:t>恩仕（长泰）休闲卫浴有限公司浴缸、淋浴房、亚克力板材生产项目</w:t>
            </w:r>
            <w:r>
              <w:rPr>
                <w:rFonts w:hint="eastAsia" w:ascii="Times New Roman" w:hAnsi="Times New Roman" w:eastAsia="宋体" w:cs="Times New Roman"/>
                <w:color w:val="auto"/>
                <w:sz w:val="24"/>
                <w:szCs w:val="24"/>
              </w:rPr>
              <w:t>选址于</w:t>
            </w:r>
            <w:r>
              <w:rPr>
                <w:rFonts w:hint="eastAsia" w:ascii="Times New Roman" w:hAnsi="Times New Roman" w:eastAsia="宋体" w:cs="Times New Roman"/>
                <w:color w:val="auto"/>
                <w:sz w:val="24"/>
                <w:szCs w:val="24"/>
                <w:vertAlign w:val="baseline"/>
                <w:lang w:val="en-US" w:eastAsia="zh-CN"/>
              </w:rPr>
              <w:t>长泰经济开发区古农泰坤工业园</w:t>
            </w:r>
            <w:r>
              <w:rPr>
                <w:rFonts w:ascii="Times New Roman" w:hAnsi="Times New Roman" w:cs="Times New Roman"/>
                <w:color w:val="auto"/>
              </w:rPr>
              <w:t>，</w:t>
            </w:r>
            <w:r>
              <w:rPr>
                <w:rFonts w:hint="eastAsia" w:ascii="Times New Roman" w:hAnsi="Times New Roman" w:eastAsia="宋体" w:cs="Times New Roman"/>
                <w:color w:val="auto"/>
                <w:sz w:val="24"/>
                <w:szCs w:val="24"/>
                <w:vertAlign w:val="baseline"/>
                <w:lang w:val="en-US" w:eastAsia="zh-CN"/>
              </w:rPr>
              <w:t>租用威迪亚（长泰）科技有限公司厂区内的空置厂房</w:t>
            </w:r>
            <w:r>
              <w:rPr>
                <w:rFonts w:hint="eastAsia" w:ascii="Times New Roman" w:hAnsi="Times New Roman" w:cs="Times New Roman"/>
                <w:color w:val="auto"/>
                <w:lang w:eastAsia="zh-CN"/>
              </w:rPr>
              <w:t>，</w:t>
            </w:r>
            <w:r>
              <w:rPr>
                <w:rFonts w:hint="default" w:ascii="Times New Roman" w:hAnsi="Times New Roman" w:cs="Times New Roman"/>
                <w:color w:val="auto"/>
                <w:sz w:val="24"/>
                <w:szCs w:val="24"/>
                <w:vertAlign w:val="baseline"/>
                <w:lang w:val="en-US" w:eastAsia="zh-CN"/>
              </w:rPr>
              <w:t>目前项目已竣工并开始进行调试</w:t>
            </w:r>
            <w:r>
              <w:rPr>
                <w:rFonts w:hint="eastAsia" w:ascii="Times New Roman" w:hAnsi="Times New Roman" w:cs="Times New Roman"/>
                <w:color w:val="auto"/>
                <w:sz w:val="24"/>
                <w:szCs w:val="24"/>
                <w:vertAlign w:val="baseline"/>
                <w:lang w:val="en-US" w:eastAsia="zh-CN"/>
              </w:rPr>
              <w:t>经营</w:t>
            </w:r>
            <w:r>
              <w:rPr>
                <w:rFonts w:hint="default" w:ascii="Times New Roman" w:hAnsi="Times New Roman" w:cs="Times New Roman"/>
                <w:color w:val="auto"/>
                <w:sz w:val="24"/>
                <w:szCs w:val="24"/>
                <w:vertAlign w:val="baseline"/>
                <w:lang w:val="en-US" w:eastAsia="zh-CN"/>
              </w:rPr>
              <w:t>，本次验收范围为</w:t>
            </w:r>
            <w:r>
              <w:rPr>
                <w:rFonts w:hint="eastAsia" w:ascii="Times New Roman" w:hAnsi="Times New Roman" w:eastAsia="宋体" w:cs="Times New Roman"/>
                <w:color w:val="auto"/>
                <w:sz w:val="24"/>
                <w:szCs w:val="24"/>
                <w:vertAlign w:val="baseline"/>
                <w:lang w:val="en-US" w:eastAsia="zh-CN"/>
              </w:rPr>
              <w:t>恩仕（长泰）休闲卫浴有限公司浴缸、淋浴房、亚克力板材生产项目</w:t>
            </w:r>
            <w:r>
              <w:rPr>
                <w:rFonts w:hint="default" w:ascii="Times New Roman" w:hAnsi="Times New Roman" w:cs="Times New Roman"/>
                <w:color w:val="auto"/>
                <w:sz w:val="24"/>
                <w:szCs w:val="24"/>
                <w:vertAlign w:val="baseline"/>
                <w:lang w:val="en-US" w:eastAsia="zh-CN"/>
              </w:rPr>
              <w:t>的性质、规模、地点、生产工艺设备及污染防治措施</w:t>
            </w:r>
            <w:r>
              <w:rPr>
                <w:rFonts w:hint="default" w:ascii="Times New Roman" w:hAnsi="Times New Roman" w:eastAsia="宋体" w:cs="Times New Roman"/>
                <w:color w:val="auto"/>
                <w:sz w:val="24"/>
                <w:szCs w:val="24"/>
                <w:vertAlign w:val="baseline"/>
                <w:lang w:val="en-US" w:eastAsia="zh-CN"/>
              </w:rPr>
              <w:t>。</w:t>
            </w:r>
          </w:p>
          <w:p>
            <w:pPr>
              <w:pStyle w:val="28"/>
              <w:spacing w:line="360" w:lineRule="auto"/>
              <w:ind w:firstLine="482" w:firstLineChars="200"/>
              <w:jc w:val="left"/>
              <w:rPr>
                <w:rFonts w:ascii="Times New Roman" w:hAnsi="Times New Roman" w:cs="Times New Roman"/>
                <w:b/>
                <w:bCs/>
                <w:color w:val="auto"/>
              </w:rPr>
            </w:pPr>
            <w:r>
              <w:rPr>
                <w:rFonts w:ascii="Times New Roman" w:hAnsi="Times New Roman" w:cs="Times New Roman"/>
                <w:b/>
                <w:bCs/>
                <w:color w:val="auto"/>
              </w:rPr>
              <w:t>4、工程变动情况</w:t>
            </w:r>
          </w:p>
          <w:p>
            <w:pPr>
              <w:widowControl w:val="0"/>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中华人民共和国环境影响评价法》和《建设项目环境保护管理条例》有关规定：“建设项目的环境影响评价文件经批准后，建设项目的性质、规模、地点、采用的生产工艺或者防治污染、防止生态破坏的措施发生重大变动的，建设单位应当重新报批建设项目的环境影响评价文件”。根据环境保护部办公厅文件《关于印发环评管理中部分行业建设项目重大变动清单的通知》（环办〔2015〕52号），建设项目的性质、规模、地点、生产工艺和环境保护措施五个因素中的一项或一项以上发生重大变动，且可能导致环境影响显著变化（特别是不利环境影响加重）的，界定为重大变动。</w:t>
            </w:r>
          </w:p>
          <w:p>
            <w:pPr>
              <w:pStyle w:val="28"/>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本项目实际性质、生产规模、建设地点、环保措施与环评设计基本一致</w:t>
            </w:r>
            <w:r>
              <w:rPr>
                <w:rFonts w:ascii="Times New Roman" w:hAnsi="Times New Roman"/>
                <w:color w:val="auto"/>
              </w:rPr>
              <w:t>。</w:t>
            </w:r>
          </w:p>
          <w:p>
            <w:pPr>
              <w:pStyle w:val="28"/>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5、水平衡：</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产生的废水主要有：</w:t>
            </w:r>
            <w:r>
              <w:rPr>
                <w:rFonts w:hint="eastAsia" w:ascii="Times New Roman" w:hAnsi="Times New Roman" w:eastAsia="宋体" w:cs="Times New Roman"/>
                <w:color w:val="auto"/>
                <w:sz w:val="24"/>
              </w:rPr>
              <w:t>生产过程中</w:t>
            </w:r>
            <w:r>
              <w:rPr>
                <w:rFonts w:hint="eastAsia" w:ascii="Times New Roman" w:hAnsi="Times New Roman" w:eastAsia="宋体" w:cs="Times New Roman"/>
                <w:color w:val="auto"/>
                <w:sz w:val="24"/>
                <w:lang w:val="en-US" w:eastAsia="zh-CN"/>
              </w:rPr>
              <w:t>产品试水用水、生活用水</w:t>
            </w:r>
            <w:r>
              <w:rPr>
                <w:rFonts w:hint="eastAsia" w:ascii="Times New Roman" w:hAnsi="Times New Roman" w:eastAsia="宋体" w:cs="Times New Roman"/>
                <w:color w:val="auto"/>
                <w:sz w:val="24"/>
              </w:rPr>
              <w:t>。</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rPr>
              <w:t>项目员工人数为</w:t>
            </w:r>
            <w:r>
              <w:rPr>
                <w:rFonts w:hint="eastAsia" w:ascii="Times New Roman" w:hAnsi="Times New Roman" w:eastAsia="宋体" w:cs="Times New Roman"/>
                <w:color w:val="auto"/>
                <w:sz w:val="24"/>
                <w:lang w:val="en-US" w:eastAsia="zh-CN"/>
              </w:rPr>
              <w:t>5</w:t>
            </w:r>
            <w:r>
              <w:rPr>
                <w:rFonts w:ascii="Times New Roman" w:hAnsi="Times New Roman" w:eastAsia="宋体" w:cs="Times New Roman"/>
                <w:color w:val="auto"/>
                <w:sz w:val="24"/>
              </w:rPr>
              <w:t>0</w:t>
            </w:r>
            <w:r>
              <w:rPr>
                <w:rFonts w:hint="eastAsia" w:ascii="Times New Roman" w:hAnsi="Times New Roman" w:eastAsia="宋体" w:cs="Times New Roman"/>
                <w:color w:val="auto"/>
                <w:sz w:val="24"/>
              </w:rPr>
              <w:t>人，</w:t>
            </w:r>
            <w:r>
              <w:rPr>
                <w:rFonts w:hint="eastAsia" w:ascii="Times New Roman" w:hAnsi="Times New Roman" w:eastAsia="宋体" w:cs="Times New Roman"/>
                <w:color w:val="auto"/>
                <w:sz w:val="24"/>
                <w:lang w:val="en-US" w:eastAsia="zh-CN"/>
              </w:rPr>
              <w:t>经核实，本项目新鲜用水量为2640t/a，其中产品试水用水量为624t/a，这部分</w:t>
            </w:r>
            <w:r>
              <w:rPr>
                <w:rFonts w:hint="eastAsia" w:ascii="Times New Roman" w:hAnsi="Times New Roman" w:eastAsia="宋体" w:cs="Times New Roman"/>
                <w:color w:val="auto"/>
                <w:sz w:val="24"/>
              </w:rPr>
              <w:t>水</w:t>
            </w:r>
            <w:r>
              <w:rPr>
                <w:rFonts w:hint="eastAsia" w:ascii="Times New Roman" w:hAnsi="Times New Roman" w:eastAsia="宋体" w:cs="Times New Roman"/>
                <w:color w:val="auto"/>
                <w:sz w:val="24"/>
                <w:lang w:val="en-US" w:eastAsia="zh-CN"/>
              </w:rPr>
              <w:t>循环使用，一周更换一次，更换的废水进行厂区绿化灌溉不外排，定期补充已损失量</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生水</w:t>
            </w:r>
            <w:r>
              <w:rPr>
                <w:rFonts w:hint="eastAsia" w:ascii="Times New Roman" w:hAnsi="Times New Roman" w:eastAsia="宋体" w:cs="Times New Roman"/>
                <w:color w:val="auto"/>
                <w:sz w:val="24"/>
              </w:rPr>
              <w:t>生活用水量为</w:t>
            </w:r>
            <w:r>
              <w:rPr>
                <w:rFonts w:hint="eastAsia" w:ascii="Times New Roman" w:hAnsi="Times New Roman" w:eastAsia="宋体" w:cs="Times New Roman"/>
                <w:color w:val="auto"/>
                <w:sz w:val="24"/>
                <w:lang w:val="en-US" w:eastAsia="zh-CN"/>
              </w:rPr>
              <w:t>2016t/a</w:t>
            </w:r>
            <w:r>
              <w:rPr>
                <w:rFonts w:hint="eastAsia" w:ascii="Times New Roman" w:hAnsi="Times New Roman" w:eastAsia="宋体" w:cs="Times New Roman"/>
                <w:color w:val="auto"/>
                <w:sz w:val="24"/>
              </w:rPr>
              <w:t>，生活污水产生量为</w:t>
            </w:r>
            <w:r>
              <w:rPr>
                <w:rFonts w:hint="eastAsia" w:ascii="Times New Roman" w:hAnsi="Times New Roman" w:eastAsia="宋体" w:cs="Times New Roman"/>
                <w:color w:val="auto"/>
                <w:sz w:val="24"/>
                <w:lang w:val="en-US" w:eastAsia="zh-CN"/>
              </w:rPr>
              <w:t>1613t/a，</w:t>
            </w:r>
            <w:r>
              <w:rPr>
                <w:rFonts w:hint="eastAsia" w:ascii="Times New Roman" w:hAnsi="Times New Roman" w:eastAsia="宋体" w:cs="Times New Roman"/>
                <w:color w:val="auto"/>
                <w:sz w:val="24"/>
              </w:rPr>
              <w:t>生活污水经化粪池处理后</w:t>
            </w:r>
            <w:r>
              <w:rPr>
                <w:rFonts w:hint="eastAsia" w:ascii="Times New Roman" w:hAnsi="Times New Roman" w:eastAsia="宋体" w:cs="Times New Roman"/>
                <w:color w:val="auto"/>
                <w:sz w:val="24"/>
                <w:lang w:val="en-US" w:eastAsia="zh-CN"/>
              </w:rPr>
              <w:t>通过市政污水管网排入长泰西区污水处理厂</w:t>
            </w:r>
            <w:r>
              <w:rPr>
                <w:rFonts w:hint="eastAsia" w:ascii="Times New Roman" w:hAnsi="Times New Roman" w:eastAsia="宋体" w:cs="Times New Roman"/>
                <w:color w:val="auto"/>
                <w:sz w:val="24"/>
              </w:rPr>
              <w:t>。</w:t>
            </w:r>
          </w:p>
          <w:p>
            <w:pPr>
              <w:widowControl/>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工程水平衡图见图</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1。</w:t>
            </w:r>
          </w:p>
          <w:p>
            <w:pPr>
              <w:widowControl/>
              <w:spacing w:line="360" w:lineRule="auto"/>
              <w:jc w:val="both"/>
              <w:rPr>
                <w:rFonts w:ascii="Times New Roman" w:hAnsi="Times New Roman" w:eastAsia="宋体" w:cs="Times New Roman"/>
                <w:color w:val="auto"/>
                <w:sz w:val="24"/>
                <w:szCs w:val="24"/>
              </w:rPr>
            </w:pPr>
            <w:r>
              <w:rPr>
                <w:sz w:val="22"/>
              </w:rPr>
              <mc:AlternateContent>
                <mc:Choice Requires="wps">
                  <w:drawing>
                    <wp:anchor distT="0" distB="0" distL="114300" distR="114300" simplePos="0" relativeHeight="251672576" behindDoc="0" locked="0" layoutInCell="1" allowOverlap="1">
                      <wp:simplePos x="0" y="0"/>
                      <wp:positionH relativeFrom="column">
                        <wp:posOffset>3559175</wp:posOffset>
                      </wp:positionH>
                      <wp:positionV relativeFrom="paragraph">
                        <wp:posOffset>1116330</wp:posOffset>
                      </wp:positionV>
                      <wp:extent cx="1343025" cy="295275"/>
                      <wp:effectExtent l="6350" t="6350" r="22225" b="22225"/>
                      <wp:wrapNone/>
                      <wp:docPr id="6" name="矩形 6"/>
                      <wp:cNvGraphicFramePr/>
                      <a:graphic xmlns:a="http://schemas.openxmlformats.org/drawingml/2006/main">
                        <a:graphicData uri="http://schemas.microsoft.com/office/word/2010/wordprocessingShape">
                          <wps:wsp>
                            <wps:cNvSpPr/>
                            <wps:spPr>
                              <a:xfrm>
                                <a:off x="4639310" y="5928995"/>
                                <a:ext cx="134302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厂区绿化灌溉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25pt;margin-top:87.9pt;height:23.25pt;width:105.75pt;z-index:251672576;v-text-anchor:middle;mso-width-relative:page;mso-height-relative:page;" filled="f" stroked="t" coordsize="21600,21600" o:gfxdata="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1kA7ZAAAACwEAAA8AAAAAAAAAAQAgAAAAIgAAAGRycy9kb3ducmV2LnhtbFBLAQIUABQA&#10;AAAIAIdO4kCJigqTYQIAAJQEAAAOAAAAAAAAAAEAIAAAACgBAABkcnMvZTJvRG9jLnhtbFBLBQYA&#10;AAAABgAGAFkBAAD7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厂区绿化灌溉</w:t>
                            </w:r>
                          </w:p>
                        </w:txbxContent>
                      </v:textbox>
                    </v:rect>
                  </w:pict>
                </mc:Fallback>
              </mc:AlternateContent>
            </w:r>
            <w:r>
              <w:rPr>
                <w:sz w:val="22"/>
              </w:rPr>
              <mc:AlternateContent>
                <mc:Choice Requires="wps">
                  <w:drawing>
                    <wp:anchor distT="0" distB="0" distL="114300" distR="114300" simplePos="0" relativeHeight="251671552" behindDoc="0" locked="0" layoutInCell="1" allowOverlap="1">
                      <wp:simplePos x="0" y="0"/>
                      <wp:positionH relativeFrom="column">
                        <wp:posOffset>2320925</wp:posOffset>
                      </wp:positionH>
                      <wp:positionV relativeFrom="paragraph">
                        <wp:posOffset>1297305</wp:posOffset>
                      </wp:positionV>
                      <wp:extent cx="1247775" cy="0"/>
                      <wp:effectExtent l="0" t="48895" r="9525" b="65405"/>
                      <wp:wrapNone/>
                      <wp:docPr id="1" name="直接箭头连接符 1"/>
                      <wp:cNvGraphicFramePr/>
                      <a:graphic xmlns:a="http://schemas.openxmlformats.org/drawingml/2006/main">
                        <a:graphicData uri="http://schemas.microsoft.com/office/word/2010/wordprocessingShape">
                          <wps:wsp>
                            <wps:cNvCnPr/>
                            <wps:spPr>
                              <a:xfrm>
                                <a:off x="3401060" y="6071870"/>
                                <a:ext cx="1247775"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2.75pt;margin-top:102.15pt;height:0pt;width:98.25pt;z-index:251671552;mso-width-relative:page;mso-height-relative:page;" filled="f" stroked="t" coordsize="21600,21600" o:gfxdata="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eWl1gAAAAsBAAAPAAAAAAAAAAEAIAAAACIA&#10;AABkcnMvZG93bnJldi54bWxQSwECFAAUAAAACACHTuJAx23/YQsCAADJAwAADgAAAAAAAAABACAA&#10;AAAlAQAAZHJzL2Uyb0RvYy54bWxQSwUGAAAAAAYABgBZAQAAogUAAAAA&#10;">
                      <v:fill on="f" focussize="0,0"/>
                      <v:stroke weight="0.5pt" color="#000000 [3213]" miterlimit="8" joinstyle="miter" endarrow="block"/>
                      <v:imagedata o:title=""/>
                      <o:lock v:ext="edit" aspectratio="f"/>
                    </v:shape>
                  </w:pict>
                </mc:Fallback>
              </mc:AlternateContent>
            </w:r>
            <w:r>
              <w:rPr>
                <w:color w:val="auto"/>
              </w:rPr>
              <w:drawing>
                <wp:inline distT="0" distB="0" distL="114300" distR="114300">
                  <wp:extent cx="5362575" cy="1457325"/>
                  <wp:effectExtent l="0" t="0" r="9525"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362575" cy="1457325"/>
                          </a:xfrm>
                          <a:prstGeom prst="rect">
                            <a:avLst/>
                          </a:prstGeom>
                          <a:noFill/>
                          <a:ln>
                            <a:noFill/>
                          </a:ln>
                        </pic:spPr>
                      </pic:pic>
                    </a:graphicData>
                  </a:graphic>
                </wp:inline>
              </w:drawing>
            </w:r>
          </w:p>
          <w:p>
            <w:pPr>
              <w:widowControl w:val="0"/>
              <w:numPr>
                <w:ilvl w:val="255"/>
                <w:numId w:val="0"/>
              </w:numPr>
              <w:spacing w:line="360" w:lineRule="auto"/>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rPr>
              <w:t>2-</w:t>
            </w:r>
            <w:r>
              <w:rPr>
                <w:rFonts w:ascii="Times New Roman" w:hAnsi="Times New Roman" w:eastAsia="宋体" w:cs="Times New Roman"/>
                <w:b/>
                <w:bCs/>
                <w:color w:val="auto"/>
                <w:sz w:val="21"/>
                <w:szCs w:val="21"/>
              </w:rPr>
              <w:t>1 项目水平衡图</w:t>
            </w:r>
          </w:p>
          <w:p>
            <w:pPr>
              <w:pStyle w:val="2"/>
              <w:widowControl w:val="0"/>
              <w:ind w:firstLine="450" w:firstLineChars="200"/>
              <w:jc w:val="both"/>
              <w:rPr>
                <w:rFonts w:ascii="Times New Roman" w:hAnsi="Times New Roman" w:eastAsia="宋体" w:cs="Times New Roman"/>
                <w:b/>
                <w:bCs/>
                <w:color w:val="0000FF"/>
                <w:sz w:val="24"/>
                <w:szCs w:val="24"/>
              </w:rPr>
            </w:pPr>
          </w:p>
          <w:p>
            <w:pPr>
              <w:pStyle w:val="2"/>
              <w:widowControl w:val="0"/>
              <w:ind w:firstLine="450" w:firstLineChars="200"/>
              <w:jc w:val="both"/>
              <w:rPr>
                <w:rFonts w:ascii="Times New Roman" w:hAnsi="Times New Roman" w:eastAsia="宋体" w:cs="Times New Roman"/>
                <w:b/>
                <w:bCs/>
                <w:color w:val="auto"/>
                <w:sz w:val="21"/>
                <w:szCs w:val="21"/>
              </w:rPr>
            </w:pPr>
            <w:r>
              <w:rPr>
                <w:rFonts w:ascii="Times New Roman" w:hAnsi="Times New Roman" w:eastAsia="宋体" w:cs="Times New Roman"/>
                <w:b/>
                <w:bCs/>
                <w:color w:val="auto"/>
                <w:sz w:val="24"/>
                <w:szCs w:val="24"/>
              </w:rPr>
              <w:t>6、主要工艺流程及产污环节</w:t>
            </w:r>
          </w:p>
          <w:p>
            <w:pPr>
              <w:pStyle w:val="2"/>
              <w:widowControl w:val="0"/>
              <w:ind w:firstLine="0" w:firstLineChars="0"/>
              <w:jc w:val="left"/>
              <w:rPr>
                <w:rFonts w:ascii="Times New Roman" w:hAnsi="Times New Roman" w:eastAsia="宋体" w:cs="Times New Roman"/>
                <w:b/>
                <w:bCs/>
                <w:color w:val="0000FF"/>
                <w:sz w:val="21"/>
                <w:szCs w:val="21"/>
              </w:rPr>
            </w:pPr>
            <w:r>
              <w:drawing>
                <wp:anchor distT="0" distB="0" distL="114935" distR="114935" simplePos="0" relativeHeight="251670528" behindDoc="0" locked="0" layoutInCell="1" allowOverlap="1">
                  <wp:simplePos x="0" y="0"/>
                  <wp:positionH relativeFrom="column">
                    <wp:posOffset>148590</wp:posOffset>
                  </wp:positionH>
                  <wp:positionV relativeFrom="paragraph">
                    <wp:posOffset>10160</wp:posOffset>
                  </wp:positionV>
                  <wp:extent cx="2647950" cy="85725"/>
                  <wp:effectExtent l="0" t="0" r="0" b="952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2647950" cy="85725"/>
                          </a:xfrm>
                          <a:prstGeom prst="rect">
                            <a:avLst/>
                          </a:prstGeom>
                          <a:noFill/>
                          <a:ln>
                            <a:noFill/>
                          </a:ln>
                        </pic:spPr>
                      </pic:pic>
                    </a:graphicData>
                  </a:graphic>
                </wp:anchor>
              </w:drawing>
            </w:r>
          </w:p>
          <w:p>
            <w:pPr>
              <w:pStyle w:val="2"/>
              <w:widowControl w:val="0"/>
              <w:ind w:left="0" w:leftChars="0" w:firstLine="0" w:firstLineChars="0"/>
              <w:jc w:val="center"/>
              <w:rPr>
                <w:rFonts w:ascii="Times New Roman" w:hAnsi="Times New Roman" w:eastAsia="宋体" w:cs="Times New Roman"/>
                <w:b/>
                <w:bCs/>
                <w:color w:val="0000FF"/>
                <w:sz w:val="21"/>
                <w:szCs w:val="21"/>
              </w:rPr>
            </w:pPr>
            <w:r>
              <w:drawing>
                <wp:inline distT="0" distB="0" distL="114300" distR="114300">
                  <wp:extent cx="5561330" cy="2090420"/>
                  <wp:effectExtent l="0" t="0" r="127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561330" cy="2090420"/>
                          </a:xfrm>
                          <a:prstGeom prst="rect">
                            <a:avLst/>
                          </a:prstGeom>
                          <a:noFill/>
                          <a:ln>
                            <a:noFill/>
                          </a:ln>
                        </pic:spPr>
                      </pic:pic>
                    </a:graphicData>
                  </a:graphic>
                </wp:inline>
              </w:drawing>
            </w:r>
            <w:r>
              <w:rPr>
                <w:rFonts w:hint="eastAsia" w:ascii="Times New Roman" w:hAnsi="Times New Roman" w:eastAsia="宋体" w:cs="Times New Roman"/>
                <w:b/>
                <w:bCs/>
                <w:color w:val="auto"/>
                <w:sz w:val="21"/>
                <w:szCs w:val="21"/>
              </w:rPr>
              <w:t>图2-2</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生产工艺流程及产污环节图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2"/>
                <w:lang w:val="zh-CN" w:eastAsia="zh-CN" w:bidi="ar-SA"/>
              </w:rPr>
            </w:pPr>
            <w:r>
              <w:rPr>
                <w:rFonts w:hint="default" w:ascii="Times New Roman" w:hAnsi="Times New Roman" w:eastAsia="宋体" w:cs="Times New Roman"/>
                <w:b/>
                <w:bCs/>
                <w:color w:val="auto"/>
                <w:sz w:val="24"/>
                <w:szCs w:val="22"/>
                <w:lang w:val="zh-CN" w:eastAsia="zh-CN" w:bidi="ar-SA"/>
              </w:rPr>
              <w:t>工艺流程说明：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eastAsia" w:ascii="Times New Roman" w:hAnsi="Times New Roman" w:eastAsia="宋体" w:cs="Times New Roman"/>
                <w:b w:val="0"/>
                <w:color w:val="auto"/>
                <w:sz w:val="24"/>
                <w:szCs w:val="22"/>
                <w:lang w:val="en-US" w:eastAsia="zh-CN" w:bidi="ar-SA"/>
              </w:rPr>
              <w:t xml:space="preserve">根据产品需要，将进口原材料（主要为亚克力板）经混合后，进入自动成型机（加热温度165-185℃）加热吸塑，利用不同的模具加工成不同形状产品，待自然冷却后脱模，然后进行补强加工和裁切后形成半成品，再与配件进行组装。经检验合格的产品包装入库。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eastAsia" w:ascii="Times New Roman" w:hAnsi="Times New Roman" w:eastAsia="宋体" w:cs="Times New Roman"/>
                <w:b w:val="0"/>
                <w:color w:val="auto"/>
                <w:sz w:val="24"/>
                <w:szCs w:val="22"/>
                <w:lang w:val="en-US" w:eastAsia="zh-CN" w:bidi="ar-SA"/>
              </w:rPr>
              <w:t xml:space="preserve">根据生产工艺和产污节点可知，本项目主要产污环节为：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default" w:ascii="Times New Roman" w:hAnsi="Times New Roman" w:eastAsia="宋体" w:cs="Times New Roman"/>
                <w:b w:val="0"/>
                <w:color w:val="auto"/>
                <w:sz w:val="24"/>
                <w:szCs w:val="22"/>
                <w:lang w:val="en-US" w:eastAsia="zh-CN" w:bidi="ar-SA"/>
              </w:rPr>
              <w:t xml:space="preserve">① </w:t>
            </w:r>
            <w:r>
              <w:rPr>
                <w:rFonts w:hint="eastAsia" w:ascii="Times New Roman" w:hAnsi="Times New Roman" w:eastAsia="宋体" w:cs="Times New Roman"/>
                <w:b w:val="0"/>
                <w:color w:val="auto"/>
                <w:sz w:val="24"/>
                <w:szCs w:val="22"/>
                <w:lang w:val="en-US" w:eastAsia="zh-CN" w:bidi="ar-SA"/>
              </w:rPr>
              <w:t xml:space="preserve">废水：试水试电过程中产生的废水。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default" w:ascii="Times New Roman" w:hAnsi="Times New Roman" w:eastAsia="宋体" w:cs="Times New Roman"/>
                <w:b w:val="0"/>
                <w:color w:val="auto"/>
                <w:sz w:val="24"/>
                <w:szCs w:val="22"/>
                <w:lang w:val="en-US" w:eastAsia="zh-CN" w:bidi="ar-SA"/>
              </w:rPr>
              <w:t xml:space="preserve">② </w:t>
            </w:r>
            <w:r>
              <w:rPr>
                <w:rFonts w:hint="eastAsia" w:ascii="Times New Roman" w:hAnsi="Times New Roman" w:eastAsia="宋体" w:cs="Times New Roman"/>
                <w:b w:val="0"/>
                <w:color w:val="auto"/>
                <w:sz w:val="24"/>
                <w:szCs w:val="22"/>
                <w:lang w:val="en-US" w:eastAsia="zh-CN" w:bidi="ar-SA"/>
              </w:rPr>
              <w:t xml:space="preserve">废气：吸塑成型工序产生的废气。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default" w:ascii="Times New Roman" w:hAnsi="Times New Roman" w:eastAsia="宋体" w:cs="Times New Roman"/>
                <w:b w:val="0"/>
                <w:color w:val="auto"/>
                <w:sz w:val="24"/>
                <w:szCs w:val="22"/>
                <w:lang w:val="en-US" w:eastAsia="zh-CN" w:bidi="ar-SA"/>
              </w:rPr>
              <w:t xml:space="preserve">③ </w:t>
            </w:r>
            <w:r>
              <w:rPr>
                <w:rFonts w:hint="eastAsia" w:ascii="Times New Roman" w:hAnsi="Times New Roman" w:eastAsia="宋体" w:cs="Times New Roman"/>
                <w:b w:val="0"/>
                <w:color w:val="auto"/>
                <w:sz w:val="24"/>
                <w:szCs w:val="22"/>
                <w:lang w:val="en-US" w:eastAsia="zh-CN" w:bidi="ar-SA"/>
              </w:rPr>
              <w:t xml:space="preserve">噪声：机械运行时产生噪声。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default" w:ascii="Times New Roman" w:hAnsi="Times New Roman" w:eastAsia="宋体" w:cs="Times New Roman"/>
                <w:b w:val="0"/>
                <w:color w:val="auto"/>
                <w:sz w:val="24"/>
                <w:szCs w:val="22"/>
                <w:lang w:val="en-US" w:eastAsia="zh-CN" w:bidi="ar-SA"/>
              </w:rPr>
              <w:t xml:space="preserve">④ </w:t>
            </w:r>
            <w:r>
              <w:rPr>
                <w:rFonts w:hint="eastAsia" w:ascii="Times New Roman" w:hAnsi="Times New Roman" w:eastAsia="宋体" w:cs="Times New Roman"/>
                <w:b w:val="0"/>
                <w:color w:val="auto"/>
                <w:sz w:val="24"/>
                <w:szCs w:val="22"/>
                <w:lang w:val="en-US" w:eastAsia="zh-CN" w:bidi="ar-SA"/>
              </w:rPr>
              <w:t>固废：裁切过程产生的边角料，检验过程产生的次品，扮装过程产生的包装废弃物。</w:t>
            </w:r>
          </w:p>
          <w:p>
            <w:pPr>
              <w:pStyle w:val="5"/>
              <w:widowControl w:val="0"/>
              <w:spacing w:line="415" w:lineRule="auto"/>
              <w:ind w:firstLine="450" w:firstLineChars="200"/>
              <w:jc w:val="both"/>
              <w:outlineLvl w:val="1"/>
              <w:rPr>
                <w:rFonts w:cs="Times New Roman"/>
                <w:color w:val="auto"/>
              </w:rPr>
            </w:pPr>
            <w:bookmarkStart w:id="0" w:name="_Toc29387767"/>
            <w:r>
              <w:rPr>
                <w:rFonts w:hint="eastAsia" w:ascii="Times New Roman" w:hAnsi="Times New Roman" w:eastAsia="宋体" w:cs="Times New Roman"/>
                <w:color w:val="auto"/>
                <w:spacing w:val="-8"/>
                <w:kern w:val="0"/>
                <w:sz w:val="24"/>
                <w:szCs w:val="24"/>
              </w:rPr>
              <w:t>7、</w:t>
            </w:r>
            <w:r>
              <w:rPr>
                <w:rFonts w:ascii="Times New Roman" w:hAnsi="Times New Roman" w:eastAsia="宋体" w:cs="Times New Roman"/>
                <w:color w:val="auto"/>
                <w:spacing w:val="-8"/>
                <w:kern w:val="0"/>
                <w:sz w:val="24"/>
                <w:szCs w:val="24"/>
              </w:rPr>
              <w:t>不符合验收情形统计</w:t>
            </w:r>
            <w:bookmarkEnd w:id="0"/>
          </w:p>
          <w:p>
            <w:pPr>
              <w:widowControl/>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auto"/>
                <w:sz w:val="24"/>
              </w:rPr>
              <w:t>2-5</w:t>
            </w:r>
            <w:r>
              <w:rPr>
                <w:rFonts w:ascii="Times New Roman" w:hAnsi="Times New Roman" w:eastAsia="宋体" w:cs="Times New Roman"/>
                <w:color w:val="auto"/>
                <w:sz w:val="24"/>
              </w:rPr>
              <w:t>。</w:t>
            </w:r>
          </w:p>
          <w:p>
            <w:pPr>
              <w:pStyle w:val="44"/>
              <w:widowControl w:val="0"/>
              <w:spacing w:beforeLines="0" w:afterLines="0"/>
              <w:ind w:firstLine="422" w:firstLineChars="20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4</w:t>
            </w:r>
            <w:r>
              <w:rPr>
                <w:rFonts w:ascii="Times New Roman" w:hAnsi="Times New Roman" w:eastAsia="宋体" w:cs="Times New Roman"/>
                <w:color w:val="auto"/>
                <w:sz w:val="21"/>
                <w:szCs w:val="21"/>
              </w:rPr>
              <w:t xml:space="preserve"> 项目与《建设项目竣工环境保护验收暂行办法》第八条规定对照情况一览表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1951"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《办法》规定不得提出验收合格意见的情形</w:t>
                  </w:r>
                </w:p>
              </w:tc>
              <w:tc>
                <w:tcPr>
                  <w:tcW w:w="2137"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本项目实际建设情况</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未按环境影响报告书（表）及其审批部门审批决定要求建成环境保护设施，或者环境保护设施不能与主体工程同时投产或者使用的；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项目按照建设项目环评及环评批复同时设计和建设了生活污水、废气、噪声、固废等污染防治设施，并同时投入试生产；</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污染物排放不符合国家和地方相关标准、环境影响报告书（表）及其审批部门审批决定或者重点污染物排放总量控制指标要求的；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根据监测</w:t>
                  </w:r>
                  <w:r>
                    <w:rPr>
                      <w:rFonts w:hint="eastAsia" w:ascii="Times New Roman" w:hAnsi="Times New Roman" w:eastAsia="宋体" w:cs="Times New Roman"/>
                      <w:color w:val="auto"/>
                      <w:sz w:val="21"/>
                      <w:szCs w:val="21"/>
                    </w:rPr>
                    <w:t>结果</w:t>
                  </w:r>
                  <w:r>
                    <w:rPr>
                      <w:rFonts w:ascii="Times New Roman" w:hAnsi="Times New Roman" w:eastAsia="宋体"/>
                      <w:color w:val="auto"/>
                      <w:sz w:val="21"/>
                      <w:szCs w:val="21"/>
                    </w:rPr>
                    <w:t>，项目生活污水、废气、噪声监测结果均符合相关标准要求</w:t>
                  </w:r>
                  <w:r>
                    <w:rPr>
                      <w:rFonts w:ascii="Times New Roman" w:hAnsi="Times New Roman" w:eastAsia="宋体" w:cs="Times New Roman"/>
                      <w:color w:val="auto"/>
                      <w:sz w:val="21"/>
                      <w:szCs w:val="21"/>
                    </w:rPr>
                    <w:t>；</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本项目性质、规模、地点、采用的生产工艺和防治污染、防止生态破坏的措施均未发生重大变动。</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建设过程中造成重大环境污染未治理完成，或者造成重大生态破坏未恢复的；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项目建设过程中未造成重大环境污染，未造成重大生态破坏；</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纳入排污许可管理的建设项目，无证排污或者不按证排污的；</w:t>
                  </w:r>
                </w:p>
              </w:tc>
              <w:tc>
                <w:tcPr>
                  <w:tcW w:w="2137" w:type="pct"/>
                </w:tcPr>
                <w:p>
                  <w:pPr>
                    <w:spacing w:line="360" w:lineRule="auto"/>
                    <w:rPr>
                      <w:rFonts w:ascii="Times New Roman" w:hAnsi="Times New Roman" w:eastAsia="宋体" w:cs="Times New Roman"/>
                      <w:color w:val="auto"/>
                      <w:sz w:val="21"/>
                      <w:szCs w:val="21"/>
                    </w:rPr>
                  </w:pPr>
                  <w:r>
                    <w:rPr>
                      <w:rFonts w:hint="eastAsia" w:ascii="Times New Roman" w:hAnsi="Times New Roman" w:eastAsia="宋体"/>
                      <w:color w:val="auto"/>
                      <w:sz w:val="21"/>
                      <w:szCs w:val="21"/>
                    </w:rPr>
                    <w:t>排污许可证已在办理中</w:t>
                  </w:r>
                  <w:r>
                    <w:rPr>
                      <w:rFonts w:ascii="Times New Roman" w:hAnsi="Times New Roman" w:eastAsia="宋体" w:cs="Times New Roman"/>
                      <w:color w:val="auto"/>
                      <w:sz w:val="21"/>
                      <w:szCs w:val="21"/>
                    </w:rPr>
                    <w:t>；</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根据验收监测结果，项目配套建设的环境保护设施防治环境污染和生态破坏的能力可以满足主体工程需要；</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建设单位因该建设项目违反国家和地方环境保护法律法规受到处罚，被责令改正，尚未改正完成的；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该建设项目未违反国家和地方环境保护法律法规，未受到处罚；</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p>
              </w:tc>
              <w:tc>
                <w:tcPr>
                  <w:tcW w:w="1951" w:type="pct"/>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验收报告的基础资料数据明显不实，内容存在重大缺项、遗漏，或者验收结论不明确、不合理的；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验收报告的基础资料来自企业提供以及</w:t>
                  </w:r>
                  <w:r>
                    <w:rPr>
                      <w:rFonts w:hint="eastAsia" w:ascii="Times New Roman" w:hAnsi="Times New Roman" w:eastAsia="宋体"/>
                      <w:color w:val="auto"/>
                      <w:sz w:val="21"/>
                      <w:szCs w:val="21"/>
                      <w:lang w:val="en-US" w:eastAsia="zh-CN"/>
                    </w:rPr>
                    <w:t>厦门科仪检测技术</w:t>
                  </w:r>
                  <w:r>
                    <w:rPr>
                      <w:rFonts w:hint="eastAsia" w:ascii="Times New Roman" w:hAnsi="Times New Roman" w:eastAsia="宋体"/>
                      <w:color w:val="auto"/>
                      <w:sz w:val="21"/>
                      <w:szCs w:val="21"/>
                    </w:rPr>
                    <w:t>有限公司</w:t>
                  </w:r>
                  <w:r>
                    <w:rPr>
                      <w:rFonts w:ascii="Times New Roman" w:hAnsi="Times New Roman" w:eastAsia="宋体" w:cs="Times New Roman"/>
                      <w:color w:val="auto"/>
                      <w:sz w:val="21"/>
                      <w:szCs w:val="21"/>
                    </w:rPr>
                    <w:t>采样检测所得数据，报告内容无</w:t>
                  </w:r>
                  <w:bookmarkStart w:id="9" w:name="_GoBack"/>
                  <w:bookmarkEnd w:id="9"/>
                  <w:r>
                    <w:rPr>
                      <w:rFonts w:ascii="Times New Roman" w:hAnsi="Times New Roman" w:eastAsia="宋体" w:cs="Times New Roman"/>
                      <w:color w:val="auto"/>
                      <w:sz w:val="21"/>
                      <w:szCs w:val="21"/>
                    </w:rPr>
                    <w:t>重大缺项或遗漏，验收结论明确、合理；</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1951"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其他环境保护法律法规规章等规定不得通过环境保护验收的。</w:t>
                  </w:r>
                </w:p>
              </w:tc>
              <w:tc>
                <w:tcPr>
                  <w:tcW w:w="2137" w:type="pct"/>
                </w:tcPr>
                <w:p>
                  <w:pPr>
                    <w:spacing w:line="36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项目不存在其他环境保护法律法规规章等规定不得通过环境保护验收的。</w:t>
                  </w:r>
                </w:p>
              </w:tc>
              <w:tc>
                <w:tcPr>
                  <w:tcW w:w="668" w:type="pct"/>
                  <w:vAlign w:val="center"/>
                </w:tcPr>
                <w:p>
                  <w:pPr>
                    <w:spacing w:line="36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bl>
          <w:p>
            <w:pPr>
              <w:widowControl w:val="0"/>
              <w:spacing w:line="360" w:lineRule="auto"/>
              <w:ind w:firstLine="480"/>
              <w:jc w:val="both"/>
              <w:rPr>
                <w:rFonts w:ascii="Times New Roman" w:hAnsi="Times New Roman" w:cs="Times New Roman"/>
                <w:color w:val="0000FF"/>
                <w:sz w:val="24"/>
              </w:rPr>
            </w:pPr>
          </w:p>
          <w:p>
            <w:pPr>
              <w:pStyle w:val="20"/>
              <w:widowControl w:val="0"/>
              <w:jc w:val="left"/>
              <w:rPr>
                <w:color w:val="0000FF"/>
              </w:rPr>
            </w:pPr>
          </w:p>
        </w:tc>
      </w:tr>
    </w:tbl>
    <w:p>
      <w:pPr>
        <w:spacing w:line="360" w:lineRule="auto"/>
        <w:outlineLvl w:val="0"/>
        <w:rPr>
          <w:rFonts w:ascii="Times New Roman" w:hAnsi="Times New Roman" w:eastAsia="宋体" w:cs="Times New Roman"/>
          <w:b/>
          <w:color w:val="auto"/>
          <w:sz w:val="21"/>
          <w:szCs w:val="21"/>
        </w:r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表三</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主要污染源、污染物处理和排放：</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1、废水：本项目产生的废水主要有生活废水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产品试水用水；产品试水经沉淀池沉淀后循环使用，一周更换一次，更换的废水进行厂区绿化灌溉不外排，定期补充已损失量</w:t>
            </w:r>
            <w:r>
              <w:rPr>
                <w:rFonts w:ascii="Times New Roman" w:hAnsi="Times New Roman" w:eastAsia="宋体" w:cs="Times New Roman"/>
                <w:color w:val="auto"/>
                <w:sz w:val="24"/>
              </w:rPr>
              <w:t>。</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生活污水：生活污水经三级化粪池处理后</w:t>
            </w:r>
            <w:r>
              <w:rPr>
                <w:rFonts w:hint="eastAsia" w:ascii="Times New Roman" w:hAnsi="Times New Roman" w:eastAsia="宋体" w:cs="Times New Roman"/>
                <w:color w:val="auto"/>
                <w:sz w:val="24"/>
                <w:lang w:val="en-US" w:eastAsia="zh-CN"/>
              </w:rPr>
              <w:t>通过市政污水管网排入长泰西区污水处理厂处理。</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2、废气：本项目产生的废水主要为生产废气；项目职工用餐依托出租方厂房食堂用餐，因此本项目不产生食堂油烟废气。</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生产废气：本项目吸塑工艺产生的有机废气量极小，对周边环境几乎没有影响，为无组织排放，主要通过厂区通风排气避免废气对厂内职工产生影响；</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噪声：本项目主要噪声污染源主要来自各机械设备运营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4、固（液）体废物：本项目主要固体废物为边角料和残次品以及生活垃圾。</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 生活垃圾：项目运营期生活垃圾产生量为13</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 xml:space="preserve">。生活垃圾集中收集后统一由环卫部门处置，对项目周边影响小。 </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② </w:t>
            </w:r>
            <w:r>
              <w:rPr>
                <w:rFonts w:hint="eastAsia" w:ascii="Times New Roman" w:hAnsi="Times New Roman" w:eastAsia="宋体" w:cs="Times New Roman"/>
                <w:color w:val="auto"/>
                <w:sz w:val="24"/>
                <w:lang w:val="en-US" w:eastAsia="zh-CN"/>
              </w:rPr>
              <w:t>边角料和残次品：项目裁切工艺、试水试电以及撞击检测工序产生的边角料和残次品产生量为5t/a，分类收集后，大部分直接回用于吸塑工序，无法回用于生产的则出售给相关废品回收单位。</w:t>
            </w: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spacing w:line="360" w:lineRule="auto"/>
              <w:ind w:firstLine="0"/>
              <w:jc w:val="left"/>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5、环保设施投资及“三同时”落实情况</w:t>
            </w:r>
          </w:p>
          <w:p>
            <w:pPr>
              <w:pStyle w:val="20"/>
              <w:widowControl w:val="0"/>
              <w:spacing w:line="360" w:lineRule="auto"/>
              <w:ind w:firstLine="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本项目实际投资</w:t>
            </w:r>
            <w:r>
              <w:rPr>
                <w:rFonts w:hint="eastAsia" w:ascii="Times New Roman" w:hAnsi="Times New Roman" w:eastAsia="宋体" w:cs="Times New Roman"/>
                <w:bCs/>
                <w:color w:val="auto"/>
                <w:szCs w:val="24"/>
                <w:lang w:val="en-US" w:eastAsia="zh-CN"/>
              </w:rPr>
              <w:t>1200</w:t>
            </w:r>
            <w:r>
              <w:rPr>
                <w:rFonts w:hint="eastAsia" w:ascii="Times New Roman" w:hAnsi="Times New Roman" w:eastAsia="宋体" w:cs="Times New Roman"/>
                <w:bCs/>
                <w:color w:val="auto"/>
                <w:szCs w:val="24"/>
              </w:rPr>
              <w:t>万元，其中环保投资</w:t>
            </w:r>
            <w:r>
              <w:rPr>
                <w:rFonts w:hint="eastAsia" w:ascii="Times New Roman" w:hAnsi="Times New Roman" w:eastAsia="宋体" w:cs="Times New Roman"/>
                <w:bCs/>
                <w:color w:val="auto"/>
                <w:szCs w:val="24"/>
                <w:lang w:val="en-US" w:eastAsia="zh-CN"/>
              </w:rPr>
              <w:t>15</w:t>
            </w:r>
            <w:r>
              <w:rPr>
                <w:rFonts w:hint="eastAsia" w:ascii="Times New Roman" w:hAnsi="Times New Roman" w:eastAsia="宋体" w:cs="Times New Roman"/>
                <w:bCs/>
                <w:color w:val="auto"/>
                <w:szCs w:val="24"/>
              </w:rPr>
              <w:t>万元，占项目总投资的</w:t>
            </w:r>
            <w:r>
              <w:rPr>
                <w:rFonts w:hint="eastAsia" w:ascii="Times New Roman" w:hAnsi="Times New Roman" w:eastAsia="宋体" w:cs="Times New Roman"/>
                <w:bCs/>
                <w:color w:val="auto"/>
                <w:szCs w:val="24"/>
                <w:lang w:val="en-US" w:eastAsia="zh-CN"/>
              </w:rPr>
              <w:t>1.25</w:t>
            </w:r>
            <w:r>
              <w:rPr>
                <w:rFonts w:hint="eastAsia" w:ascii="Times New Roman" w:hAnsi="Times New Roman" w:eastAsia="宋体" w:cs="Times New Roman"/>
                <w:bCs/>
                <w:color w:val="auto"/>
                <w:szCs w:val="24"/>
              </w:rPr>
              <w:t>%。</w:t>
            </w:r>
          </w:p>
          <w:p>
            <w:pPr>
              <w:pStyle w:val="20"/>
              <w:widowControl w:val="0"/>
              <w:ind w:firstLine="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表3-1本项目实际环保设施投资一览表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49"/>
              <w:gridCol w:w="890"/>
              <w:gridCol w:w="1309"/>
              <w:gridCol w:w="1766"/>
              <w:gridCol w:w="1875"/>
              <w:gridCol w:w="1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gridSpan w:val="2"/>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污染源</w:t>
                  </w:r>
                </w:p>
              </w:tc>
              <w:tc>
                <w:tcPr>
                  <w:tcW w:w="890"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污染源位置</w:t>
                  </w:r>
                </w:p>
              </w:tc>
              <w:tc>
                <w:tcPr>
                  <w:tcW w:w="130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治理措施</w:t>
                  </w:r>
                </w:p>
              </w:tc>
              <w:tc>
                <w:tcPr>
                  <w:tcW w:w="1766"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验收要求</w:t>
                  </w:r>
                </w:p>
              </w:tc>
              <w:tc>
                <w:tcPr>
                  <w:tcW w:w="1875"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环保设备</w:t>
                  </w:r>
                </w:p>
              </w:tc>
              <w:tc>
                <w:tcPr>
                  <w:tcW w:w="1091"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20"/>
                    <w:widowControl w:val="0"/>
                    <w:ind w:firstLine="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废水</w:t>
                  </w:r>
                </w:p>
              </w:tc>
              <w:tc>
                <w:tcPr>
                  <w:tcW w:w="94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生浩污水</w:t>
                  </w:r>
                </w:p>
              </w:tc>
              <w:tc>
                <w:tcPr>
                  <w:tcW w:w="890"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员工生活</w:t>
                  </w:r>
                </w:p>
              </w:tc>
              <w:tc>
                <w:tcPr>
                  <w:tcW w:w="130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三级化粪池</w:t>
                  </w:r>
                </w:p>
              </w:tc>
              <w:tc>
                <w:tcPr>
                  <w:tcW w:w="1766" w:type="dxa"/>
                  <w:vAlign w:val="center"/>
                </w:tcPr>
                <w:p>
                  <w:pPr>
                    <w:pStyle w:val="20"/>
                    <w:widowControl w:val="0"/>
                    <w:ind w:firstLine="0"/>
                    <w:rPr>
                      <w:rFonts w:hint="eastAsia" w:ascii="Times New Roman" w:hAnsi="Times New Roman" w:cs="Times New Roman" w:eastAsiaTheme="minorEastAsia"/>
                      <w:color w:val="auto"/>
                      <w:sz w:val="21"/>
                      <w:szCs w:val="21"/>
                      <w:lang w:eastAsia="zh-CN"/>
                    </w:rPr>
                  </w:pPr>
                  <w:r>
                    <w:rPr>
                      <w:rFonts w:ascii="Times New Roman" w:cs="Times New Roman" w:hAnsiTheme="minorEastAsia" w:eastAsiaTheme="minorEastAsia"/>
                      <w:color w:val="auto"/>
                      <w:sz w:val="21"/>
                      <w:szCs w:val="21"/>
                    </w:rPr>
                    <w:t>达标</w:t>
                  </w:r>
                  <w:r>
                    <w:rPr>
                      <w:rFonts w:hint="eastAsia" w:ascii="Times New Roman" w:cs="Times New Roman" w:hAnsiTheme="minorEastAsia" w:eastAsiaTheme="minorEastAsia"/>
                      <w:color w:val="auto"/>
                      <w:sz w:val="21"/>
                      <w:szCs w:val="21"/>
                      <w:lang w:val="en-US" w:eastAsia="zh-CN"/>
                    </w:rPr>
                    <w:t>排放</w:t>
                  </w:r>
                </w:p>
              </w:tc>
              <w:tc>
                <w:tcPr>
                  <w:tcW w:w="1875"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三级化粪池</w:t>
                  </w:r>
                </w:p>
              </w:tc>
              <w:tc>
                <w:tcPr>
                  <w:tcW w:w="1091" w:type="dxa"/>
                  <w:vMerge w:val="restart"/>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0"/>
                    <w:widowControl w:val="0"/>
                    <w:ind w:firstLine="0"/>
                    <w:rPr>
                      <w:rFonts w:ascii="Times New Roman" w:hAnsi="Times New Roman" w:cs="Times New Roman" w:eastAsiaTheme="minorEastAsia"/>
                      <w:color w:val="auto"/>
                      <w:sz w:val="21"/>
                      <w:szCs w:val="21"/>
                    </w:rPr>
                  </w:pPr>
                </w:p>
              </w:tc>
              <w:tc>
                <w:tcPr>
                  <w:tcW w:w="949"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试水用水</w:t>
                  </w:r>
                </w:p>
              </w:tc>
              <w:tc>
                <w:tcPr>
                  <w:tcW w:w="890"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厂区</w:t>
                  </w:r>
                </w:p>
              </w:tc>
              <w:tc>
                <w:tcPr>
                  <w:tcW w:w="130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收集沉淀</w:t>
                  </w:r>
                </w:p>
              </w:tc>
              <w:tc>
                <w:tcPr>
                  <w:tcW w:w="1766" w:type="dxa"/>
                  <w:vAlign w:val="center"/>
                </w:tcPr>
                <w:p>
                  <w:pPr>
                    <w:pStyle w:val="20"/>
                    <w:widowControl w:val="0"/>
                    <w:ind w:firstLine="0"/>
                    <w:rPr>
                      <w:rFonts w:hint="eastAsia" w:ascii="Times New Roman" w:hAnsi="Times New Roman" w:cs="Times New Roman" w:eastAsiaTheme="minorEastAsia"/>
                      <w:color w:val="auto"/>
                      <w:sz w:val="21"/>
                      <w:szCs w:val="21"/>
                      <w:lang w:eastAsia="zh-CN"/>
                    </w:rPr>
                  </w:pPr>
                  <w:r>
                    <w:rPr>
                      <w:rFonts w:hint="eastAsia" w:ascii="Times New Roman" w:cs="Times New Roman" w:hAnsiTheme="minorEastAsia" w:eastAsiaTheme="minorEastAsia"/>
                      <w:color w:val="auto"/>
                      <w:sz w:val="21"/>
                      <w:szCs w:val="21"/>
                      <w:lang w:val="en-US" w:eastAsia="zh-CN"/>
                    </w:rPr>
                    <w:t>循环使用</w:t>
                  </w:r>
                </w:p>
              </w:tc>
              <w:tc>
                <w:tcPr>
                  <w:tcW w:w="1875" w:type="dxa"/>
                  <w:vAlign w:val="center"/>
                </w:tcPr>
                <w:p>
                  <w:pPr>
                    <w:pStyle w:val="20"/>
                    <w:widowControl w:val="0"/>
                    <w:ind w:firstLine="0"/>
                    <w:rPr>
                      <w:rFonts w:hint="eastAsia" w:ascii="Times New Roman" w:hAnsi="Times New Roman" w:cs="Times New Roman" w:eastAsiaTheme="minorEastAsia"/>
                      <w:color w:val="auto"/>
                      <w:sz w:val="21"/>
                      <w:szCs w:val="21"/>
                      <w:lang w:eastAsia="zh-CN"/>
                    </w:rPr>
                  </w:pPr>
                  <w:r>
                    <w:rPr>
                      <w:rFonts w:hint="eastAsia" w:ascii="Times New Roman" w:cs="Times New Roman" w:hAnsiTheme="minorEastAsia" w:eastAsiaTheme="minorEastAsia"/>
                      <w:color w:val="auto"/>
                      <w:sz w:val="21"/>
                      <w:szCs w:val="21"/>
                      <w:lang w:val="en-US" w:eastAsia="zh-CN"/>
                    </w:rPr>
                    <w:t>循环水池</w:t>
                  </w:r>
                </w:p>
              </w:tc>
              <w:tc>
                <w:tcPr>
                  <w:tcW w:w="1091" w:type="dxa"/>
                  <w:vMerge w:val="continue"/>
                  <w:vAlign w:val="center"/>
                </w:tcPr>
                <w:p>
                  <w:pPr>
                    <w:pStyle w:val="20"/>
                    <w:widowControl w:val="0"/>
                    <w:ind w:firstLine="0"/>
                    <w:rPr>
                      <w:rFonts w:hint="eastAsia" w:ascii="Times New Roman" w:hAnsi="Times New Roman" w:cs="Times New Roman" w:eastAsiaTheme="minor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0" w:type="auto"/>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废气</w:t>
                  </w:r>
                </w:p>
              </w:tc>
              <w:tc>
                <w:tcPr>
                  <w:tcW w:w="949"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有机废气、颗粒物</w:t>
                  </w:r>
                </w:p>
              </w:tc>
              <w:tc>
                <w:tcPr>
                  <w:tcW w:w="890"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吸塑工序</w:t>
                  </w:r>
                </w:p>
              </w:tc>
              <w:tc>
                <w:tcPr>
                  <w:tcW w:w="1309" w:type="dxa"/>
                  <w:vAlign w:val="center"/>
                </w:tcPr>
                <w:p>
                  <w:pPr>
                    <w:pStyle w:val="20"/>
                    <w:widowControl w:val="0"/>
                    <w:ind w:firstLine="0" w:firstLineChars="0"/>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通风</w:t>
                  </w:r>
                </w:p>
              </w:tc>
              <w:tc>
                <w:tcPr>
                  <w:tcW w:w="1766"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废气达标排放</w:t>
                  </w:r>
                </w:p>
              </w:tc>
              <w:tc>
                <w:tcPr>
                  <w:tcW w:w="1875"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1091"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噪声</w:t>
                  </w:r>
                </w:p>
              </w:tc>
              <w:tc>
                <w:tcPr>
                  <w:tcW w:w="94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噪声</w:t>
                  </w:r>
                </w:p>
              </w:tc>
              <w:tc>
                <w:tcPr>
                  <w:tcW w:w="890"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设备机器</w:t>
                  </w:r>
                </w:p>
              </w:tc>
              <w:tc>
                <w:tcPr>
                  <w:tcW w:w="130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合理布局，隔声减震</w:t>
                  </w:r>
                </w:p>
              </w:tc>
              <w:tc>
                <w:tcPr>
                  <w:tcW w:w="1766"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噪声达标排放</w:t>
                  </w:r>
                </w:p>
              </w:tc>
              <w:tc>
                <w:tcPr>
                  <w:tcW w:w="1875"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设备</w:t>
                  </w:r>
                  <w:r>
                    <w:rPr>
                      <w:rFonts w:hint="eastAsia" w:ascii="Times New Roman" w:cs="Times New Roman" w:hAnsiTheme="minorEastAsia" w:eastAsiaTheme="minorEastAsia"/>
                      <w:color w:val="auto"/>
                      <w:sz w:val="21"/>
                      <w:szCs w:val="21"/>
                    </w:rPr>
                    <w:t>围挡、</w:t>
                  </w:r>
                  <w:r>
                    <w:rPr>
                      <w:rFonts w:ascii="Times New Roman" w:cs="Times New Roman" w:hAnsiTheme="minorEastAsia" w:eastAsiaTheme="minorEastAsia"/>
                      <w:color w:val="auto"/>
                      <w:sz w:val="21"/>
                      <w:szCs w:val="21"/>
                    </w:rPr>
                    <w:t>保养、减震</w:t>
                  </w:r>
                </w:p>
              </w:tc>
              <w:tc>
                <w:tcPr>
                  <w:tcW w:w="1091"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固废</w:t>
                  </w:r>
                </w:p>
              </w:tc>
              <w:tc>
                <w:tcPr>
                  <w:tcW w:w="949"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一般固废</w:t>
                  </w:r>
                </w:p>
              </w:tc>
              <w:tc>
                <w:tcPr>
                  <w:tcW w:w="890" w:type="dxa"/>
                  <w:vAlign w:val="center"/>
                </w:tcPr>
                <w:p>
                  <w:pPr>
                    <w:pStyle w:val="20"/>
                    <w:widowControl w:val="0"/>
                    <w:ind w:firstLine="0"/>
                    <w:rPr>
                      <w:rFonts w:hint="eastAsia" w:ascii="Times New Roman" w:hAnsi="Times New Roman" w:cs="Times New Roman" w:eastAsiaTheme="minorEastAsia"/>
                      <w:color w:val="auto"/>
                      <w:sz w:val="21"/>
                      <w:szCs w:val="21"/>
                      <w:lang w:eastAsia="zh-CN"/>
                    </w:rPr>
                  </w:pPr>
                  <w:r>
                    <w:rPr>
                      <w:rFonts w:hint="eastAsia" w:ascii="Times New Roman" w:cs="Times New Roman" w:hAnsiTheme="minorEastAsia" w:eastAsiaTheme="minorEastAsia"/>
                      <w:color w:val="auto"/>
                      <w:sz w:val="21"/>
                      <w:szCs w:val="21"/>
                      <w:lang w:val="en-US" w:eastAsia="zh-CN"/>
                    </w:rPr>
                    <w:t>车间</w:t>
                  </w:r>
                </w:p>
              </w:tc>
              <w:tc>
                <w:tcPr>
                  <w:tcW w:w="1309" w:type="dxa"/>
                  <w:vAlign w:val="center"/>
                </w:tcPr>
                <w:p>
                  <w:pPr>
                    <w:pStyle w:val="20"/>
                    <w:widowControl w:val="0"/>
                    <w:ind w:firstLine="0"/>
                    <w:jc w:val="both"/>
                    <w:rPr>
                      <w:rFonts w:hint="default" w:ascii="Times New Roman" w:cs="Times New Roman" w:hAnsiTheme="minorEastAsia"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回用于生产、外售</w:t>
                  </w:r>
                </w:p>
              </w:tc>
              <w:tc>
                <w:tcPr>
                  <w:tcW w:w="1766"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集中收集</w:t>
                  </w:r>
                  <w:r>
                    <w:rPr>
                      <w:rFonts w:hint="eastAsia" w:ascii="Times New Roman" w:cs="Times New Roman" w:hAnsiTheme="minorEastAsia" w:eastAsiaTheme="minorEastAsia"/>
                      <w:color w:val="auto"/>
                      <w:sz w:val="21"/>
                      <w:szCs w:val="21"/>
                      <w:lang w:val="en-US" w:eastAsia="zh-CN"/>
                    </w:rPr>
                    <w:t>回用于生产</w:t>
                  </w:r>
                </w:p>
              </w:tc>
              <w:tc>
                <w:tcPr>
                  <w:tcW w:w="1875"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原料区、暂存区</w:t>
                  </w:r>
                </w:p>
              </w:tc>
              <w:tc>
                <w:tcPr>
                  <w:tcW w:w="1091" w:type="dxa"/>
                  <w:vMerge w:val="restart"/>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0"/>
                    <w:widowControl w:val="0"/>
                    <w:ind w:firstLine="0"/>
                    <w:rPr>
                      <w:rFonts w:ascii="Times New Roman" w:hAnsi="Times New Roman" w:cs="Times New Roman" w:eastAsiaTheme="minorEastAsia"/>
                      <w:color w:val="auto"/>
                      <w:sz w:val="21"/>
                      <w:szCs w:val="21"/>
                    </w:rPr>
                  </w:pPr>
                </w:p>
              </w:tc>
              <w:tc>
                <w:tcPr>
                  <w:tcW w:w="94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生活垃圾</w:t>
                  </w:r>
                </w:p>
              </w:tc>
              <w:tc>
                <w:tcPr>
                  <w:tcW w:w="890"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员工生活</w:t>
                  </w:r>
                </w:p>
              </w:tc>
              <w:tc>
                <w:tcPr>
                  <w:tcW w:w="1309"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收集由环卫部门统一处理</w:t>
                  </w:r>
                </w:p>
              </w:tc>
              <w:tc>
                <w:tcPr>
                  <w:tcW w:w="1766"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不外排</w:t>
                  </w:r>
                </w:p>
              </w:tc>
              <w:tc>
                <w:tcPr>
                  <w:tcW w:w="1875" w:type="dxa"/>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垃圾桶</w:t>
                  </w:r>
                </w:p>
              </w:tc>
              <w:tc>
                <w:tcPr>
                  <w:tcW w:w="1091" w:type="dxa"/>
                  <w:vMerge w:val="continue"/>
                  <w:vAlign w:val="center"/>
                </w:tcPr>
                <w:p>
                  <w:pPr>
                    <w:pStyle w:val="20"/>
                    <w:widowControl w:val="0"/>
                    <w:ind w:firstLine="0"/>
                    <w:rPr>
                      <w:rFonts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15" w:type="dxa"/>
                  <w:gridSpan w:val="6"/>
                  <w:vAlign w:val="center"/>
                </w:tcPr>
                <w:p>
                  <w:pPr>
                    <w:pStyle w:val="20"/>
                    <w:widowControl w:val="0"/>
                    <w:ind w:firstLine="0"/>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合计</w:t>
                  </w:r>
                </w:p>
              </w:tc>
              <w:tc>
                <w:tcPr>
                  <w:tcW w:w="1091" w:type="dxa"/>
                  <w:vAlign w:val="center"/>
                </w:tcPr>
                <w:p>
                  <w:pPr>
                    <w:pStyle w:val="20"/>
                    <w:widowControl w:val="0"/>
                    <w:ind w:firstLine="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w:t>
                  </w:r>
                </w:p>
              </w:tc>
            </w:tr>
          </w:tbl>
          <w:p>
            <w:pPr>
              <w:pStyle w:val="20"/>
              <w:widowControl w:val="0"/>
              <w:rPr>
                <w:color w:val="0000FF"/>
              </w:rPr>
            </w:pPr>
          </w:p>
        </w:tc>
      </w:tr>
    </w:tbl>
    <w:p>
      <w:pPr>
        <w:spacing w:line="360" w:lineRule="auto"/>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FF"/>
          <w:sz w:val="21"/>
          <w:szCs w:val="21"/>
        </w:rPr>
        <w:sectPr>
          <w:footerReference r:id="rId6" w:type="default"/>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表四</w:t>
      </w:r>
    </w:p>
    <w:tbl>
      <w:tblPr>
        <w:tblStyle w:val="22"/>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建设项目环境影响报告表主要结论及审批部门审批决定：</w:t>
            </w:r>
          </w:p>
          <w:p>
            <w:pPr>
              <w:widowControl/>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ascii="Times New Roman" w:hAnsi="Times New Roman" w:eastAsia="宋体" w:cs="Times New Roman"/>
                <w:b/>
                <w:bCs/>
                <w:color w:val="auto"/>
                <w:sz w:val="24"/>
                <w:szCs w:val="24"/>
              </w:rPr>
              <w:t>建设项目环境影响报告表主要结论</w:t>
            </w:r>
          </w:p>
          <w:p>
            <w:pPr>
              <w:widowControl/>
              <w:spacing w:line="360" w:lineRule="auto"/>
              <w:ind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恩仕（长泰）休闲卫浴有限公司是专业从事休闲卫浴产品的生产及加工的企业，符合国家当前产业政策；项目选址于长泰经济开发区泰坤工业园，周边环境敏感目标为西边200m的零星居户，其余均为其他企业用地及厂房，选址基本合理。项目所采用的工艺、年生产能力和产品均不属于国家发展和改革委员会2011年3月27日第9好令及国地资源部、国家发展和改革委员会发布的《限制用地项目目录（2012年本）》和《禁止用地项目目录（2012年本）》中限制或淘汰之列。项目的建设具有一定的经济效益和社会效益，对于促进本区域经济发展具有积极的意义。项目运营期的主要环境问题是生活污水和噪声等污染，企业只要认真落实本报告表提出的环保措施，各种污染物可以达标排放，从环境保护角度来分析，该项目的建设是可行的。但项目必须严格按本报告表内容进行生产经营，不得随意改变生产工艺和扩大生产规模，否则必须按规定另做环境影响评价</w:t>
            </w:r>
            <w:r>
              <w:rPr>
                <w:rFonts w:hint="eastAsia" w:ascii="Times New Roman" w:hAnsi="Times New Roman" w:eastAsia="宋体" w:cs="Times New Roman"/>
                <w:color w:val="auto"/>
                <w:sz w:val="24"/>
                <w:szCs w:val="24"/>
              </w:rPr>
              <w:t>。</w:t>
            </w:r>
          </w:p>
          <w:p>
            <w:pPr>
              <w:widowControl/>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w:t>
            </w:r>
            <w:r>
              <w:rPr>
                <w:rFonts w:ascii="Times New Roman" w:hAnsi="Times New Roman" w:eastAsia="宋体" w:cs="Times New Roman"/>
                <w:b/>
                <w:bCs/>
                <w:color w:val="auto"/>
                <w:sz w:val="24"/>
                <w:szCs w:val="24"/>
              </w:rPr>
              <w:t>审批部门审批决定</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恩仕（长泰）休闲卫浴有限公司浴缸、淋浴房、亚克力板材生产项目选址于长泰经济开发区古农泰坤工业园。项目工程规模为年产浴缸60000套、淋浴盆20000套、淋浴房18000套，总投资1200万元，环保投资15万元。经审核核准，同意该项目的建设，具体环保审批意见如下：</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1、严格执行环保“二同时”制度，落实报告表中提出的各项环保措施，项目投产前要经环保部门验收合格后才能投入生产。</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2、要做好项目生产生活废水污染防治设施的建设，废水排放执行GB8978-1996《污水综合排放标准》中的二级标准，纳入县城污水处理厂处理。</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3、要做好项目废气的环保设施建设，厂区内应建通风排气设施，废气执行GB16297-1996《大气污染物综合排放标准》表2二级标准。</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4、厂区要合理布局，要有噪声污染防治措施，噪声执行《工业企业厂界环境噪声排放标准》（GB12348-2008）中的3类标准。</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5、项目产生的固体废弃物要规范化处理处置，做好综合利用。</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6、今后若建设项目的性质、规模、地点或采用的生产工艺等发生变化，要重新办理环评审批。</w:t>
            </w:r>
          </w:p>
          <w:p>
            <w:pPr>
              <w:pStyle w:val="28"/>
              <w:spacing w:line="360" w:lineRule="auto"/>
              <w:ind w:firstLine="482" w:firstLineChars="200"/>
              <w:jc w:val="both"/>
              <w:rPr>
                <w:rFonts w:ascii="Times New Roman" w:hAnsi="Times New Roman" w:cs="Times New Roman"/>
                <w:b/>
                <w:bCs/>
                <w:color w:val="auto"/>
              </w:rPr>
            </w:pPr>
            <w:r>
              <w:rPr>
                <w:rFonts w:hint="eastAsia" w:ascii="Times New Roman" w:hAnsi="Times New Roman" w:cs="Times New Roman"/>
                <w:b/>
                <w:bCs/>
                <w:color w:val="auto"/>
              </w:rPr>
              <w:t>3</w:t>
            </w:r>
            <w:r>
              <w:rPr>
                <w:rFonts w:ascii="Times New Roman" w:hAnsi="Times New Roman" w:cs="Times New Roman"/>
                <w:b/>
                <w:bCs/>
                <w:color w:val="auto"/>
              </w:rPr>
              <w:t>、环境影响报告表及批复意见落实情况调查</w:t>
            </w:r>
          </w:p>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表4-1 环境影响报告表批复意见落实一览表</w:t>
            </w:r>
          </w:p>
          <w:tbl>
            <w:tblPr>
              <w:tblStyle w:val="22"/>
              <w:tblW w:w="86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3725"/>
              <w:gridCol w:w="4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3"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2149"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批复情况</w:t>
                  </w:r>
                </w:p>
              </w:tc>
              <w:tc>
                <w:tcPr>
                  <w:tcW w:w="2646"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实际执行情况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203" w:type="pct"/>
                  <w:tcBorders>
                    <w:tl2br w:val="nil"/>
                    <w:tr2bl w:val="nil"/>
                  </w:tcBorders>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2149" w:type="pct"/>
                  <w:tcBorders>
                    <w:tl2br w:val="nil"/>
                    <w:tr2bl w:val="nil"/>
                  </w:tcBorders>
                  <w:vAlign w:val="center"/>
                </w:tcPr>
                <w:p>
                  <w:pPr>
                    <w:pStyle w:val="28"/>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要做好项目生产生活废水污染防治设施的建设，废水排放执行GB8978-1996《污水综合排放标准》中的二级标准，纳入县城污水处理厂处理</w:t>
                  </w:r>
                </w:p>
              </w:tc>
              <w:tc>
                <w:tcPr>
                  <w:tcW w:w="2646" w:type="pct"/>
                  <w:tcBorders>
                    <w:tl2br w:val="nil"/>
                    <w:tr2bl w:val="nil"/>
                  </w:tcBorders>
                  <w:vAlign w:val="center"/>
                </w:tcPr>
                <w:p>
                  <w:pPr>
                    <w:keepNext w:val="0"/>
                    <w:keepLines w:val="0"/>
                    <w:pageBreakBefore w:val="0"/>
                    <w:widowControl/>
                    <w:kinsoku/>
                    <w:wordWrap/>
                    <w:overflowPunct/>
                    <w:topLinePunct w:val="0"/>
                    <w:bidi w:val="0"/>
                    <w:adjustRightInd w:val="0"/>
                    <w:spacing w:line="240" w:lineRule="auto"/>
                    <w:ind w:firstLine="0" w:firstLineChars="0"/>
                    <w:jc w:val="both"/>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产品试水：经沉淀池沉淀后循环使用，一周更换一次，更换的废水进行厂区绿化灌溉不外排，定期补充已损失量。</w:t>
                  </w:r>
                </w:p>
                <w:p>
                  <w:pPr>
                    <w:keepNext w:val="0"/>
                    <w:keepLines w:val="0"/>
                    <w:pageBreakBefore w:val="0"/>
                    <w:widowControl/>
                    <w:kinsoku/>
                    <w:wordWrap/>
                    <w:overflowPunct/>
                    <w:topLinePunct w:val="0"/>
                    <w:bidi w:val="0"/>
                    <w:adjustRightInd w:val="0"/>
                    <w:spacing w:line="240" w:lineRule="auto"/>
                    <w:ind w:firstLine="0" w:firstLineChars="0"/>
                    <w:jc w:val="both"/>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生活污水：生活污水经三级化粪池处理后通过市政污水管网排入长泰西区污水处理厂处理。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203" w:type="pct"/>
                  <w:tcBorders>
                    <w:tl2br w:val="nil"/>
                    <w:tr2bl w:val="nil"/>
                  </w:tcBorders>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2149" w:type="pct"/>
                  <w:tcBorders>
                    <w:tl2br w:val="nil"/>
                    <w:tr2bl w:val="nil"/>
                  </w:tcBorders>
                  <w:vAlign w:val="center"/>
                </w:tcPr>
                <w:p>
                  <w:pPr>
                    <w:pStyle w:val="28"/>
                    <w:jc w:val="left"/>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要做好项目废气的环保设施建设，厂区内应建通风排气设施，废气执行GB16297-1996《大气污染物综合排放标准》表2二级标准</w:t>
                  </w:r>
                </w:p>
              </w:tc>
              <w:tc>
                <w:tcPr>
                  <w:tcW w:w="2646" w:type="pct"/>
                  <w:tcBorders>
                    <w:tl2br w:val="nil"/>
                    <w:tr2bl w:val="nil"/>
                  </w:tcBorders>
                  <w:vAlign w:val="center"/>
                </w:tcPr>
                <w:p>
                  <w:pPr>
                    <w:keepNext w:val="0"/>
                    <w:keepLines w:val="0"/>
                    <w:pageBreakBefore w:val="0"/>
                    <w:widowControl/>
                    <w:kinsoku/>
                    <w:wordWrap/>
                    <w:overflowPunct/>
                    <w:topLinePunct w:val="0"/>
                    <w:bidi w:val="0"/>
                    <w:adjustRightInd w:val="0"/>
                    <w:spacing w:line="240" w:lineRule="auto"/>
                    <w:ind w:firstLine="0" w:firstLineChars="0"/>
                    <w:jc w:val="both"/>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生产废气：本项目吸塑工艺产生的有机废气量极小，对周边环境几乎没有影响，为无组织排放，主要通过厂区通风排气笔免费期对厂内职工产生影响；</w:t>
                  </w:r>
                </w:p>
                <w:p>
                  <w:pPr>
                    <w:pStyle w:val="28"/>
                    <w:keepNext w:val="0"/>
                    <w:keepLines w:val="0"/>
                    <w:pageBreakBefore w:val="0"/>
                    <w:kinsoku/>
                    <w:wordWrap/>
                    <w:overflowPunct/>
                    <w:topLinePunct w:val="0"/>
                    <w:bidi w:val="0"/>
                    <w:adjustRightInd w:val="0"/>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生活废气：本项目职工均依托他厂食堂用餐，不再另建食堂，故本项目不产生食堂油烟废气。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3" w:type="pct"/>
                  <w:tcBorders>
                    <w:tl2br w:val="nil"/>
                    <w:tr2bl w:val="nil"/>
                  </w:tcBorders>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w:t>
                  </w:r>
                </w:p>
              </w:tc>
              <w:tc>
                <w:tcPr>
                  <w:tcW w:w="2149" w:type="pct"/>
                  <w:tcBorders>
                    <w:tl2br w:val="nil"/>
                    <w:tr2bl w:val="nil"/>
                  </w:tcBorders>
                  <w:vAlign w:val="center"/>
                </w:tcPr>
                <w:p>
                  <w:pPr>
                    <w:pStyle w:val="28"/>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厂区要合理布局，要有噪声污染防治措施，噪声执行《工业企业厂界环境噪声排放标准》（GB12348-2008）中的3类标准</w:t>
                  </w:r>
                </w:p>
              </w:tc>
              <w:tc>
                <w:tcPr>
                  <w:tcW w:w="2646" w:type="pct"/>
                  <w:tcBorders>
                    <w:tl2br w:val="nil"/>
                    <w:tr2bl w:val="nil"/>
                  </w:tcBorders>
                  <w:vAlign w:val="center"/>
                </w:tcPr>
                <w:p>
                  <w:pPr>
                    <w:pStyle w:val="28"/>
                    <w:keepNext w:val="0"/>
                    <w:keepLines w:val="0"/>
                    <w:pageBreakBefore w:val="0"/>
                    <w:kinsoku/>
                    <w:wordWrap/>
                    <w:overflowPunct/>
                    <w:topLinePunct w:val="0"/>
                    <w:bidi w:val="0"/>
                    <w:adjustRightIn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主要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3" w:type="pct"/>
                  <w:tcBorders>
                    <w:tl2br w:val="nil"/>
                    <w:tr2bl w:val="nil"/>
                  </w:tcBorders>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w:t>
                  </w:r>
                </w:p>
              </w:tc>
              <w:tc>
                <w:tcPr>
                  <w:tcW w:w="2149" w:type="pct"/>
                  <w:tcBorders>
                    <w:tl2br w:val="nil"/>
                    <w:tr2bl w:val="nil"/>
                  </w:tcBorders>
                  <w:vAlign w:val="center"/>
                </w:tcPr>
                <w:p>
                  <w:pPr>
                    <w:pStyle w:val="28"/>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项目产生的固体废弃物要规范化处理处置，做好综合利用</w:t>
                  </w:r>
                </w:p>
              </w:tc>
              <w:tc>
                <w:tcPr>
                  <w:tcW w:w="2646" w:type="pct"/>
                  <w:tcBorders>
                    <w:tl2br w:val="nil"/>
                    <w:tr2bl w:val="nil"/>
                  </w:tcBorders>
                  <w:vAlign w:val="center"/>
                </w:tcPr>
                <w:p>
                  <w:pPr>
                    <w:keepNext w:val="0"/>
                    <w:keepLines w:val="0"/>
                    <w:pageBreakBefore w:val="0"/>
                    <w:widowControl/>
                    <w:kinsoku/>
                    <w:wordWrap/>
                    <w:overflowPunct/>
                    <w:topLinePunct w:val="0"/>
                    <w:bidi w:val="0"/>
                    <w:adjustRightInd w:val="0"/>
                    <w:spacing w:line="240" w:lineRule="auto"/>
                    <w:ind w:firstLine="0" w:firstLineChars="0"/>
                    <w:jc w:val="both"/>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① 生活垃圾：项目运营期生活垃圾产生量为13</w:t>
                  </w:r>
                  <w:r>
                    <w:rPr>
                      <w:rFonts w:hint="default" w:ascii="Times New Roman" w:hAnsi="Times New Roman" w:eastAsia="宋体" w:cs="Times New Roman"/>
                      <w:color w:val="auto"/>
                      <w:sz w:val="21"/>
                      <w:szCs w:val="21"/>
                      <w:lang w:val="en-US" w:eastAsia="zh-CN" w:bidi="ar-SA"/>
                    </w:rPr>
                    <w:t>t/a</w:t>
                  </w:r>
                  <w:r>
                    <w:rPr>
                      <w:rFonts w:hint="eastAsia" w:ascii="Times New Roman" w:hAnsi="Times New Roman" w:eastAsia="宋体" w:cs="Times New Roman"/>
                      <w:color w:val="auto"/>
                      <w:sz w:val="21"/>
                      <w:szCs w:val="21"/>
                      <w:lang w:val="en-US" w:eastAsia="zh-CN" w:bidi="ar-SA"/>
                    </w:rPr>
                    <w:t xml:space="preserve">。生活垃圾集中收集后统一由环卫部门处置，对项目周边影响小。 </w:t>
                  </w:r>
                </w:p>
                <w:p>
                  <w:pPr>
                    <w:keepNext w:val="0"/>
                    <w:keepLines w:val="0"/>
                    <w:pageBreakBefore w:val="0"/>
                    <w:widowControl/>
                    <w:kinsoku/>
                    <w:wordWrap/>
                    <w:overflowPunct/>
                    <w:topLinePunct w:val="0"/>
                    <w:bidi w:val="0"/>
                    <w:adjustRightInd w:val="0"/>
                    <w:spacing w:line="240" w:lineRule="auto"/>
                    <w:ind w:firstLine="0" w:firstLineChars="0"/>
                    <w:jc w:val="both"/>
                    <w:textAlignment w:val="auto"/>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② </w:t>
                  </w:r>
                  <w:r>
                    <w:rPr>
                      <w:rFonts w:hint="eastAsia" w:ascii="Times New Roman" w:hAnsi="Times New Roman" w:eastAsia="宋体" w:cs="Times New Roman"/>
                      <w:color w:val="auto"/>
                      <w:sz w:val="21"/>
                      <w:szCs w:val="21"/>
                      <w:lang w:val="en-US" w:eastAsia="zh-CN" w:bidi="ar-SA"/>
                    </w:rPr>
                    <w:t>边角料和残次品：项目裁切工艺、试水试电以及撞击检测工序产生的边角料和残次品产生量为5t/a，分类收集后，大部分直接回用于吸塑工序，无法回用于生产的则出售给相关废品回收单位。</w:t>
                  </w:r>
                </w:p>
              </w:tc>
            </w:tr>
          </w:tbl>
          <w:p>
            <w:pPr>
              <w:pStyle w:val="28"/>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表五</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widowControl/>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1、监测分析方法</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此次验收监测的分析方法按环境要素说明各项监测因子监测分析方法名称、方法标准号或方法来源、分析方法的最低检出限，详见下表。</w:t>
            </w:r>
          </w:p>
          <w:p>
            <w:pPr>
              <w:widowControl w:val="0"/>
              <w:adjustRightInd/>
              <w:spacing w:line="360" w:lineRule="auto"/>
              <w:ind w:firstLine="422" w:firstLineChars="200"/>
              <w:jc w:val="center"/>
              <w:rPr>
                <w:rFonts w:ascii="Times New Roman" w:hAnsi="Times New Roman" w:eastAsia="宋体" w:cs="Times New Roman"/>
                <w:b/>
                <w:bCs/>
                <w:color w:val="auto"/>
                <w:sz w:val="21"/>
                <w:szCs w:val="21"/>
              </w:rPr>
            </w:pPr>
            <w:bookmarkStart w:id="1" w:name="_Toc1961"/>
            <w:r>
              <w:rPr>
                <w:rFonts w:ascii="Times New Roman" w:hAnsi="Times New Roman" w:eastAsia="宋体" w:cs="Times New Roman"/>
                <w:b/>
                <w:bCs/>
                <w:color w:val="auto"/>
                <w:sz w:val="21"/>
                <w:szCs w:val="21"/>
              </w:rPr>
              <w:t>表5-1 监测分析方法</w:t>
            </w:r>
            <w:bookmarkEnd w:id="1"/>
            <w:r>
              <w:rPr>
                <w:rFonts w:ascii="Times New Roman" w:hAnsi="Times New Roman" w:eastAsia="宋体" w:cs="Times New Roman"/>
                <w:b/>
                <w:bCs/>
                <w:color w:val="auto"/>
                <w:sz w:val="21"/>
                <w:szCs w:val="21"/>
              </w:rPr>
              <w:t>表</w:t>
            </w:r>
          </w:p>
          <w:tbl>
            <w:tblPr>
              <w:tblStyle w:val="21"/>
              <w:tblW w:w="82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452"/>
              <w:gridCol w:w="4370"/>
              <w:gridCol w:w="1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noWrap w:val="0"/>
                  <w:vAlign w:val="center"/>
                </w:tcPr>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检测类别</w:t>
                  </w:r>
                </w:p>
              </w:tc>
              <w:tc>
                <w:tcPr>
                  <w:tcW w:w="1452" w:type="dxa"/>
                  <w:noWrap w:val="0"/>
                  <w:vAlign w:val="center"/>
                </w:tcPr>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分析项目</w:t>
                  </w:r>
                </w:p>
              </w:tc>
              <w:tc>
                <w:tcPr>
                  <w:tcW w:w="4370" w:type="dxa"/>
                  <w:noWrap w:val="0"/>
                  <w:vAlign w:val="center"/>
                </w:tcPr>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依据方法</w:t>
                  </w:r>
                </w:p>
              </w:tc>
              <w:tc>
                <w:tcPr>
                  <w:tcW w:w="1317" w:type="dxa"/>
                  <w:noWrap w:val="0"/>
                  <w:vAlign w:val="center"/>
                </w:tcPr>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w:t>
                  </w:r>
                </w:p>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物理因素</w:t>
                  </w:r>
                </w:p>
              </w:tc>
              <w:tc>
                <w:tcPr>
                  <w:tcW w:w="145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厂界噪声</w:t>
                  </w:r>
                </w:p>
              </w:tc>
              <w:tc>
                <w:tcPr>
                  <w:tcW w:w="4370" w:type="dxa"/>
                  <w:noWrap w:val="0"/>
                  <w:vAlign w:val="center"/>
                </w:tcPr>
                <w:p>
                  <w:pPr>
                    <w:pStyle w:val="54"/>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 12348-2008</w:t>
                  </w:r>
                </w:p>
              </w:tc>
              <w:tc>
                <w:tcPr>
                  <w:tcW w:w="131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auto"/>
                      <w:sz w:val="21"/>
                      <w:szCs w:val="21"/>
                    </w:rPr>
                    <w:t>35dB</w:t>
                  </w:r>
                  <w:r>
                    <w:rPr>
                      <w:rFonts w:hint="default" w:ascii="Times New Roman" w:hAnsi="Times New Roman" w:eastAsia="宋体" w:cs="Times New Roman"/>
                      <w:color w:val="auto"/>
                      <w:sz w:val="21"/>
                      <w:szCs w:val="21"/>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45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43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pH值的测定 玻璃电极法            </w:t>
                  </w: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6920-1986</w:t>
                  </w:r>
                </w:p>
              </w:tc>
              <w:tc>
                <w:tcPr>
                  <w:tcW w:w="131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continue"/>
                  <w:noWrap w:val="0"/>
                  <w:vAlign w:val="center"/>
                </w:tcPr>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bookmarkStart w:id="2" w:name="OLE_LINK2" w:colFirst="1" w:colLast="3"/>
                </w:p>
              </w:tc>
              <w:tc>
                <w:tcPr>
                  <w:tcW w:w="1452"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COD</w:t>
                  </w:r>
                </w:p>
              </w:tc>
              <w:tc>
                <w:tcPr>
                  <w:tcW w:w="4370"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水质</w:t>
                  </w:r>
                  <w:r>
                    <w:rPr>
                      <w:rFonts w:hint="default"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rPr>
                    <w:t>化学需氧量的测定重铬酸</w:t>
                  </w:r>
                  <w:r>
                    <w:rPr>
                      <w:rFonts w:hint="default" w:ascii="Times New Roman" w:hAnsi="Times New Roman" w:eastAsia="宋体" w:cs="Times New Roman"/>
                      <w:color w:val="auto"/>
                      <w:kern w:val="0"/>
                      <w:sz w:val="21"/>
                      <w:szCs w:val="21"/>
                      <w:lang w:eastAsia="zh-CN"/>
                    </w:rPr>
                    <w:t>盐</w:t>
                  </w:r>
                  <w:r>
                    <w:rPr>
                      <w:rFonts w:hint="default" w:ascii="Times New Roman" w:hAnsi="Times New Roman" w:eastAsia="宋体" w:cs="Times New Roman"/>
                      <w:color w:val="auto"/>
                      <w:kern w:val="0"/>
                      <w:sz w:val="21"/>
                      <w:szCs w:val="21"/>
                    </w:rPr>
                    <w:t>法</w:t>
                  </w:r>
                </w:p>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SA"/>
                    </w:rPr>
                    <w:t>HJ</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en-US" w:eastAsia="zh-CN"/>
                    </w:rPr>
                    <w:t>828</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2017</w:t>
                  </w:r>
                </w:p>
              </w:tc>
              <w:tc>
                <w:tcPr>
                  <w:tcW w:w="131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452" w:type="dxa"/>
                  <w:noWrap w:val="0"/>
                  <w:vAlign w:val="center"/>
                </w:tcPr>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370" w:type="dxa"/>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）的测定                       稀释与接种法  HJ 505-2009</w:t>
                  </w:r>
                </w:p>
              </w:tc>
              <w:tc>
                <w:tcPr>
                  <w:tcW w:w="131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452" w:type="dxa"/>
                  <w:noWrap w:val="0"/>
                  <w:vAlign w:val="center"/>
                </w:tcPr>
                <w:p>
                  <w:pPr>
                    <w:pStyle w:val="42"/>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4370" w:type="dxa"/>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氨氮的测定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纳氏试剂分光光度法  </w:t>
                  </w:r>
                </w:p>
                <w:p>
                  <w:pPr>
                    <w:pStyle w:val="4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535-2009</w:t>
                  </w:r>
                </w:p>
              </w:tc>
              <w:tc>
                <w:tcPr>
                  <w:tcW w:w="131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0.025</w:t>
                  </w:r>
                  <w:r>
                    <w:rPr>
                      <w:rFonts w:hint="default" w:ascii="Times New Roman" w:hAnsi="Times New Roman" w:eastAsia="宋体" w:cs="Times New Roman"/>
                      <w:color w:val="auto"/>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45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370" w:type="dxa"/>
                  <w:noWrap w:val="0"/>
                  <w:vAlign w:val="center"/>
                </w:tcPr>
                <w:p>
                  <w:pPr>
                    <w:pStyle w:val="56"/>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悬浮物的测定 重量法  </w:t>
                  </w:r>
                </w:p>
                <w:p>
                  <w:pPr>
                    <w:pStyle w:val="56"/>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11901-1989</w:t>
                  </w:r>
                </w:p>
              </w:tc>
              <w:tc>
                <w:tcPr>
                  <w:tcW w:w="1317"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45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采样方法</w:t>
                  </w:r>
                </w:p>
              </w:tc>
              <w:tc>
                <w:tcPr>
                  <w:tcW w:w="4370"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污水监测技术规范 HJ 91.1-2019</w:t>
                  </w:r>
                </w:p>
              </w:tc>
              <w:tc>
                <w:tcPr>
                  <w:tcW w:w="131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bookmarkEnd w:id="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bookmarkStart w:id="3" w:name="OLE_LINK1" w:colFirst="1" w:colLast="2"/>
                  <w:r>
                    <w:rPr>
                      <w:rFonts w:hint="default" w:ascii="Times New Roman" w:hAnsi="Times New Roman" w:eastAsia="宋体" w:cs="Times New Roman"/>
                      <w:color w:val="auto"/>
                      <w:sz w:val="21"/>
                      <w:szCs w:val="21"/>
                      <w:lang w:val="en-US" w:eastAsia="zh-CN"/>
                    </w:rPr>
                    <w:t>废气</w:t>
                  </w:r>
                </w:p>
              </w:tc>
              <w:tc>
                <w:tcPr>
                  <w:tcW w:w="145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颗粒物</w:t>
                  </w:r>
                </w:p>
              </w:tc>
              <w:tc>
                <w:tcPr>
                  <w:tcW w:w="4370"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环境空气 总悬浮颗粒物的测定 重量法 GB/T 15432-1995</w:t>
                  </w:r>
                  <w:r>
                    <w:rPr>
                      <w:rFonts w:hint="default" w:ascii="Times New Roman" w:hAnsi="Times New Roman" w:eastAsia="宋体" w:cs="Times New Roman"/>
                      <w:color w:val="auto"/>
                      <w:sz w:val="21"/>
                      <w:szCs w:val="21"/>
                      <w:lang w:eastAsia="zh-CN"/>
                    </w:rPr>
                    <w:t>及其修改单</w:t>
                  </w:r>
                </w:p>
              </w:tc>
              <w:tc>
                <w:tcPr>
                  <w:tcW w:w="1317" w:type="dxa"/>
                  <w:noWrap w:val="0"/>
                  <w:vAlign w:val="center"/>
                </w:tcPr>
                <w:p>
                  <w:pPr>
                    <w:pStyle w:val="13"/>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0.001mg/m</w:t>
                  </w:r>
                  <w:r>
                    <w:rPr>
                      <w:rFonts w:hint="default" w:ascii="Times New Roman" w:hAnsi="Times New Roman" w:eastAsia="宋体" w:cs="Times New Roman"/>
                      <w:color w:val="auto"/>
                      <w:kern w:val="2"/>
                      <w:sz w:val="21"/>
                      <w:szCs w:val="21"/>
                      <w:vertAlign w:val="superscript"/>
                      <w:lang w:val="en-US" w:eastAsia="zh-CN"/>
                    </w:rPr>
                    <w:t>3</w:t>
                  </w:r>
                </w:p>
              </w:tc>
            </w:tr>
            <w:bookmarkEnd w:id="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45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4370"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环境空气 总烃、甲烷和非甲烷总烃的测定                    直接进样-气相色谱法 HJ/T 604-2017</w:t>
                  </w:r>
                </w:p>
              </w:tc>
              <w:tc>
                <w:tcPr>
                  <w:tcW w:w="1317" w:type="dxa"/>
                  <w:noWrap w:val="0"/>
                  <w:vAlign w:val="center"/>
                </w:tcPr>
                <w:p>
                  <w:pPr>
                    <w:pStyle w:val="13"/>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0.07mg/m</w:t>
                  </w:r>
                  <w:r>
                    <w:rPr>
                      <w:rFonts w:hint="default" w:ascii="Times New Roman" w:hAnsi="Times New Roman" w:eastAsia="宋体" w:cs="Times New Roman"/>
                      <w:color w:val="auto"/>
                      <w:kern w:val="2"/>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vMerge w:val="continue"/>
                  <w:shd w:val="clear" w:color="auto" w:fill="auto"/>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452"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采样方法</w:t>
                  </w:r>
                </w:p>
              </w:tc>
              <w:tc>
                <w:tcPr>
                  <w:tcW w:w="4370"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大气污染物无组织排放监测技术导则</w:t>
                  </w:r>
                  <w:r>
                    <w:rPr>
                      <w:rFonts w:hint="default" w:ascii="Times New Roman" w:hAnsi="Times New Roman" w:eastAsia="宋体" w:cs="Times New Roman"/>
                      <w:i w:val="0"/>
                      <w:color w:val="auto"/>
                      <w:kern w:val="0"/>
                      <w:sz w:val="21"/>
                      <w:szCs w:val="21"/>
                      <w:u w:val="none"/>
                      <w:lang w:val="en-US" w:eastAsia="zh-CN" w:bidi="ar"/>
                    </w:rPr>
                    <w:br w:type="textWrapping"/>
                  </w:r>
                  <w:r>
                    <w:rPr>
                      <w:rFonts w:hint="default" w:ascii="Times New Roman" w:hAnsi="Times New Roman" w:eastAsia="宋体" w:cs="Times New Roman"/>
                      <w:i w:val="0"/>
                      <w:color w:val="auto"/>
                      <w:kern w:val="0"/>
                      <w:sz w:val="21"/>
                      <w:szCs w:val="21"/>
                      <w:u w:val="none"/>
                      <w:lang w:val="en-US" w:eastAsia="zh-CN" w:bidi="ar"/>
                    </w:rPr>
                    <w:t xml:space="preserve"> HJ/T55-2000</w:t>
                  </w:r>
                </w:p>
              </w:tc>
              <w:tc>
                <w:tcPr>
                  <w:tcW w:w="1317"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bl>
          <w:p>
            <w:pPr>
              <w:widowControl w:val="0"/>
              <w:adjustRightInd/>
              <w:spacing w:line="360" w:lineRule="auto"/>
              <w:ind w:firstLine="422" w:firstLineChars="200"/>
              <w:jc w:val="center"/>
              <w:rPr>
                <w:rFonts w:ascii="Times New Roman" w:hAnsi="Times New Roman" w:eastAsia="宋体" w:cs="Times New Roman"/>
                <w:b/>
                <w:bCs/>
                <w:color w:val="auto"/>
                <w:sz w:val="21"/>
                <w:szCs w:val="21"/>
              </w:rPr>
            </w:pP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2、质控措施</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（1）人员：承担监测任务的环境监测站通过资质认定，监测人员持证上岗。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spacing w:line="360" w:lineRule="auto"/>
              <w:ind w:firstLine="480" w:firstLineChars="200"/>
              <w:jc w:val="both"/>
              <w:rPr>
                <w:color w:val="auto"/>
              </w:rPr>
            </w:pPr>
            <w:r>
              <w:rPr>
                <w:rFonts w:ascii="Times New Roman" w:hAnsi="Times New Roman" w:eastAsia="宋体" w:cs="Times New Roman"/>
                <w:color w:val="auto"/>
                <w:sz w:val="24"/>
                <w:szCs w:val="24"/>
              </w:rPr>
              <w:t>（7）采样记录、分析结果、监测方案及报告均严格执行三级审核制度。</w:t>
            </w:r>
            <w:r>
              <w:rPr>
                <w:rFonts w:hint="eastAsia" w:ascii="Times New Roman" w:hAnsi="Times New Roman" w:eastAsia="宋体" w:cs="Times New Roman"/>
                <w:color w:val="auto"/>
                <w:sz w:val="24"/>
                <w:szCs w:val="24"/>
              </w:rPr>
              <w:t>即所在检测科室的室主任、质控负责人和技术负责人逐级审核，发现问题及时解决，不得进入下一环节。</w:t>
            </w:r>
          </w:p>
          <w:p>
            <w:pPr>
              <w:pStyle w:val="20"/>
              <w:widowControl w:val="0"/>
              <w:rPr>
                <w:color w:val="0000FF"/>
              </w:rPr>
            </w:pPr>
          </w:p>
          <w:p>
            <w:pPr>
              <w:pStyle w:val="20"/>
              <w:widowControl w:val="0"/>
              <w:rPr>
                <w:color w:val="0000FF"/>
              </w:rPr>
            </w:pPr>
          </w:p>
        </w:tc>
      </w:tr>
    </w:tbl>
    <w:p>
      <w:pPr>
        <w:spacing w:line="360" w:lineRule="auto"/>
        <w:rPr>
          <w:rFonts w:ascii="Times New Roman" w:hAnsi="Times New Roman" w:eastAsia="宋体" w:cs="Times New Roman"/>
          <w:color w:val="0000FF"/>
          <w:sz w:val="21"/>
          <w:szCs w:val="21"/>
        </w:rPr>
      </w:pPr>
    </w:p>
    <w:p>
      <w:pPr>
        <w:spacing w:line="360" w:lineRule="auto"/>
        <w:rPr>
          <w:rFonts w:ascii="Times New Roman" w:hAnsi="Times New Roman" w:eastAsia="宋体" w:cs="Times New Roman"/>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表六</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auto"/>
                <w:sz w:val="24"/>
                <w:szCs w:val="24"/>
              </w:rPr>
            </w:pPr>
            <w:bookmarkStart w:id="4" w:name="_Toc24246"/>
            <w:bookmarkStart w:id="5" w:name="_Toc4084"/>
            <w:r>
              <w:rPr>
                <w:rFonts w:ascii="Times New Roman" w:hAnsi="Times New Roman" w:eastAsia="宋体" w:cs="Times New Roman"/>
                <w:bCs/>
                <w:color w:val="auto"/>
                <w:sz w:val="24"/>
                <w:szCs w:val="24"/>
              </w:rPr>
              <w:t>1、环境保护设施调试效果</w:t>
            </w:r>
            <w:bookmarkEnd w:id="4"/>
            <w:bookmarkEnd w:id="5"/>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通过对各类污染物达标排放排放及各类污染治理设施去除效率的监测，来说明环境保护设施调试效果，具体监测内容如下：</w:t>
            </w:r>
          </w:p>
          <w:p>
            <w:pPr>
              <w:widowControl w:val="0"/>
              <w:numPr>
                <w:ilvl w:val="0"/>
                <w:numId w:val="3"/>
              </w:numPr>
              <w:adjustRightInd/>
              <w:snapToGrid/>
              <w:spacing w:line="360" w:lineRule="auto"/>
              <w:ind w:firstLine="480" w:firstLineChars="200"/>
              <w:jc w:val="both"/>
              <w:outlineLvl w:val="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废水</w:t>
            </w:r>
          </w:p>
          <w:p>
            <w:pPr>
              <w:pStyle w:val="20"/>
              <w:widowControl w:val="0"/>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本次验收废</w:t>
            </w:r>
            <w:r>
              <w:rPr>
                <w:rFonts w:hint="eastAsia" w:ascii="Times New Roman" w:hAnsi="Times New Roman" w:eastAsia="宋体" w:cs="Times New Roman"/>
                <w:bCs/>
                <w:color w:val="auto"/>
                <w:sz w:val="24"/>
                <w:szCs w:val="24"/>
                <w:lang w:val="en-US" w:eastAsia="zh-CN"/>
              </w:rPr>
              <w:t>水</w:t>
            </w:r>
            <w:r>
              <w:rPr>
                <w:rFonts w:ascii="Times New Roman" w:hAnsi="Times New Roman" w:eastAsia="宋体" w:cs="Times New Roman"/>
                <w:bCs/>
                <w:color w:val="auto"/>
                <w:sz w:val="24"/>
                <w:szCs w:val="24"/>
              </w:rPr>
              <w:t>监测内容明细表见下表。</w:t>
            </w:r>
          </w:p>
          <w:p>
            <w:pPr>
              <w:pStyle w:val="20"/>
              <w:widowControl w:val="0"/>
              <w:spacing w:line="360" w:lineRule="auto"/>
              <w:ind w:left="0" w:leftChars="0" w:firstLine="0" w:firstLineChars="0"/>
              <w:jc w:val="center"/>
              <w:rPr>
                <w:rFonts w:ascii="Times New Roman" w:hAnsi="Times New Roman" w:eastAsia="宋体" w:cs="Times New Roman"/>
                <w:bCs/>
                <w:color w:val="auto"/>
                <w:sz w:val="24"/>
                <w:szCs w:val="24"/>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rPr>
              <w:t>1</w:t>
            </w:r>
            <w:r>
              <w:rPr>
                <w:rFonts w:hint="eastAsia" w:ascii="Times New Roman" w:hAnsi="Times New Roman" w:eastAsia="宋体" w:cs="Times New Roman"/>
                <w:b/>
                <w:color w:val="auto"/>
                <w:sz w:val="21"/>
                <w:szCs w:val="21"/>
                <w:lang w:val="en-US" w:eastAsia="zh-CN"/>
              </w:rPr>
              <w:t>废水</w:t>
            </w:r>
            <w:r>
              <w:rPr>
                <w:rFonts w:ascii="Times New Roman" w:hAnsi="Times New Roman" w:eastAsia="宋体" w:cs="Times New Roman"/>
                <w:b/>
                <w:color w:val="auto"/>
                <w:sz w:val="21"/>
                <w:szCs w:val="21"/>
              </w:rPr>
              <w:t>监测明内容细</w:t>
            </w:r>
          </w:p>
          <w:tbl>
            <w:tblPr>
              <w:tblStyle w:val="22"/>
              <w:tblW w:w="794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278"/>
              <w:gridCol w:w="2613"/>
              <w:gridCol w:w="1370"/>
              <w:gridCol w:w="16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278"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61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37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278"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pH、COD、BOD</w:t>
                  </w:r>
                  <w:r>
                    <w:rPr>
                      <w:rFonts w:hint="eastAsia" w:ascii="Times New Roman" w:hAnsi="Times New Roman" w:eastAsia="宋体" w:cs="Times New Roman"/>
                      <w:bCs/>
                      <w:color w:val="auto"/>
                      <w:vertAlign w:val="subscript"/>
                      <w:lang w:val="en-US" w:eastAsia="zh-CN"/>
                    </w:rPr>
                    <w:t>5</w:t>
                  </w:r>
                  <w:r>
                    <w:rPr>
                      <w:rFonts w:hint="eastAsia" w:ascii="Times New Roman" w:hAnsi="Times New Roman" w:eastAsia="宋体" w:cs="Times New Roman"/>
                      <w:bCs/>
                      <w:color w:val="auto"/>
                      <w:lang w:val="en-US" w:eastAsia="zh-CN"/>
                    </w:rPr>
                    <w:t>、SS、氨氮</w:t>
                  </w:r>
                </w:p>
              </w:tc>
              <w:tc>
                <w:tcPr>
                  <w:tcW w:w="261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生活污水出口W1</w:t>
                  </w:r>
                </w:p>
              </w:tc>
              <w:tc>
                <w:tcPr>
                  <w:tcW w:w="137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三级化粪池</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3</w:t>
                  </w:r>
                  <w:r>
                    <w:rPr>
                      <w:rFonts w:ascii="Times New Roman" w:hAnsi="Times New Roman" w:eastAsia="宋体" w:cs="Times New Roman"/>
                      <w:bCs/>
                      <w:color w:val="auto"/>
                      <w:sz w:val="21"/>
                      <w:szCs w:val="21"/>
                    </w:rPr>
                    <w:t>次/天，2天</w:t>
                  </w:r>
                </w:p>
              </w:tc>
            </w:tr>
          </w:tbl>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（2）废气</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本次验收废气监测内容明细表见下表。</w:t>
            </w:r>
          </w:p>
          <w:p>
            <w:pPr>
              <w:widowControl w:val="0"/>
              <w:adjustRightInd/>
              <w:snapToGrid/>
              <w:spacing w:beforeLines="5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2</w:t>
            </w:r>
            <w:r>
              <w:rPr>
                <w:rFonts w:hint="eastAsia" w:ascii="Times New Roman" w:hAnsi="Times New Roman" w:eastAsia="宋体" w:cs="Times New Roman"/>
                <w:b/>
                <w:color w:val="auto"/>
                <w:sz w:val="21"/>
                <w:szCs w:val="21"/>
              </w:rPr>
              <w:t>无组织</w:t>
            </w:r>
            <w:r>
              <w:rPr>
                <w:rFonts w:ascii="Times New Roman" w:hAnsi="Times New Roman" w:eastAsia="宋体" w:cs="Times New Roman"/>
                <w:b/>
                <w:color w:val="auto"/>
                <w:sz w:val="21"/>
                <w:szCs w:val="21"/>
              </w:rPr>
              <w:t>废气监测明内容细</w:t>
            </w:r>
          </w:p>
          <w:tbl>
            <w:tblPr>
              <w:tblStyle w:val="22"/>
              <w:tblW w:w="794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2868"/>
              <w:gridCol w:w="1370"/>
              <w:gridCol w:w="16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868"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37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02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sz w:val="21"/>
                      <w:szCs w:val="21"/>
                      <w:lang w:val="en-US" w:eastAsia="zh-CN"/>
                    </w:rPr>
                    <w:t>颗粒物、非甲烷总烃</w:t>
                  </w:r>
                </w:p>
              </w:tc>
              <w:tc>
                <w:tcPr>
                  <w:tcW w:w="2868"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上风向1</w:t>
                  </w:r>
                  <w:r>
                    <w:rPr>
                      <w:rFonts w:hint="eastAsia" w:ascii="Times New Roman" w:hAnsi="Times New Roman" w:eastAsia="宋体" w:cs="Times New Roman"/>
                      <w:bCs/>
                      <w:color w:val="auto"/>
                      <w:sz w:val="21"/>
                      <w:szCs w:val="21"/>
                    </w:rPr>
                    <w:t>个</w:t>
                  </w:r>
                  <w:r>
                    <w:rPr>
                      <w:rFonts w:ascii="Times New Roman" w:hAnsi="Times New Roman" w:eastAsia="宋体" w:cs="Times New Roman"/>
                      <w:bCs/>
                      <w:color w:val="auto"/>
                      <w:sz w:val="21"/>
                      <w:szCs w:val="21"/>
                    </w:rPr>
                    <w:t>点、下风向3</w:t>
                  </w:r>
                  <w:r>
                    <w:rPr>
                      <w:rFonts w:hint="eastAsia" w:ascii="Times New Roman" w:hAnsi="Times New Roman" w:eastAsia="宋体" w:cs="Times New Roman"/>
                      <w:bCs/>
                      <w:color w:val="auto"/>
                      <w:sz w:val="21"/>
                      <w:szCs w:val="21"/>
                    </w:rPr>
                    <w:t>个</w:t>
                  </w:r>
                  <w:r>
                    <w:rPr>
                      <w:rFonts w:ascii="Times New Roman" w:hAnsi="Times New Roman" w:eastAsia="宋体" w:cs="Times New Roman"/>
                      <w:bCs/>
                      <w:color w:val="auto"/>
                      <w:sz w:val="21"/>
                      <w:szCs w:val="21"/>
                    </w:rPr>
                    <w:t>点</w:t>
                  </w:r>
                </w:p>
              </w:tc>
              <w:tc>
                <w:tcPr>
                  <w:tcW w:w="137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3</w:t>
                  </w:r>
                  <w:r>
                    <w:rPr>
                      <w:rFonts w:ascii="Times New Roman" w:hAnsi="Times New Roman" w:eastAsia="宋体" w:cs="Times New Roman"/>
                      <w:bCs/>
                      <w:color w:val="auto"/>
                      <w:sz w:val="21"/>
                      <w:szCs w:val="21"/>
                    </w:rPr>
                    <w:t>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auto"/>
                <w:sz w:val="24"/>
                <w:szCs w:val="24"/>
              </w:rPr>
            </w:pPr>
          </w:p>
          <w:p>
            <w:pPr>
              <w:widowControl w:val="0"/>
              <w:adjustRightInd/>
              <w:spacing w:line="360" w:lineRule="auto"/>
              <w:ind w:firstLine="480" w:firstLineChars="200"/>
              <w:jc w:val="both"/>
              <w:outlineLvl w:val="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（3）厂界噪声监测</w:t>
            </w:r>
          </w:p>
          <w:p>
            <w:pPr>
              <w:widowControl w:val="0"/>
              <w:adjustRightIn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本次验收厂界噪声监测明细表见下表。</w:t>
            </w:r>
          </w:p>
          <w:p>
            <w:pPr>
              <w:widowControl w:val="0"/>
              <w:adjustRightInd/>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3</w:t>
            </w:r>
            <w:r>
              <w:rPr>
                <w:rFonts w:ascii="Times New Roman" w:hAnsi="Times New Roman" w:eastAsia="宋体" w:cs="Times New Roman"/>
                <w:b/>
                <w:color w:val="auto"/>
                <w:sz w:val="21"/>
                <w:szCs w:val="21"/>
              </w:rPr>
              <w:t xml:space="preserve"> 厂界噪声监测内容明细</w:t>
            </w:r>
          </w:p>
          <w:tbl>
            <w:tblPr>
              <w:tblStyle w:val="22"/>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隔声</w:t>
                  </w:r>
                  <w:r>
                    <w:rPr>
                      <w:rFonts w:hint="eastAsia" w:ascii="Times New Roman" w:hAnsi="Times New Roman" w:eastAsia="宋体" w:cs="Times New Roman"/>
                      <w:bCs/>
                      <w:color w:val="auto"/>
                      <w:sz w:val="21"/>
                      <w:szCs w:val="21"/>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昼</w:t>
                  </w:r>
                  <w:r>
                    <w:rPr>
                      <w:rFonts w:hint="eastAsia" w:ascii="Times New Roman" w:hAnsi="Times New Roman" w:eastAsia="宋体" w:cs="Times New Roman"/>
                      <w:bCs/>
                      <w:color w:val="auto"/>
                      <w:sz w:val="21"/>
                      <w:szCs w:val="21"/>
                    </w:rPr>
                    <w:t>间</w:t>
                  </w:r>
                  <w:r>
                    <w:rPr>
                      <w:rFonts w:ascii="Times New Roman" w:hAnsi="Times New Roman" w:eastAsia="宋体" w:cs="Times New Roman"/>
                      <w:bCs/>
                      <w:color w:val="auto"/>
                      <w:sz w:val="21"/>
                      <w:szCs w:val="21"/>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bl>
          <w:p>
            <w:pPr>
              <w:widowControl w:val="0"/>
              <w:spacing w:line="360" w:lineRule="auto"/>
              <w:jc w:val="both"/>
              <w:rPr>
                <w:rFonts w:ascii="Times New Roman" w:hAnsi="Times New Roman" w:eastAsia="宋体" w:cs="Times New Roman"/>
                <w:color w:val="auto"/>
                <w:sz w:val="21"/>
                <w:szCs w:val="21"/>
              </w:rPr>
            </w:pPr>
          </w:p>
          <w:p>
            <w:pPr>
              <w:widowControl w:val="0"/>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具体监测点位见下图6-1：</w:t>
            </w:r>
          </w:p>
          <w:p>
            <w:pPr>
              <w:pStyle w:val="20"/>
              <w:widowControl w:val="0"/>
              <w:ind w:left="0" w:leftChars="0" w:firstLine="0" w:firstLineChars="0"/>
              <w:jc w:val="both"/>
              <w:rPr>
                <w:color w:val="0000FF"/>
              </w:rPr>
            </w:pPr>
            <w:r>
              <w:drawing>
                <wp:inline distT="0" distB="0" distL="114300" distR="114300">
                  <wp:extent cx="5274310" cy="6167120"/>
                  <wp:effectExtent l="0" t="0" r="254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74310" cy="6167120"/>
                          </a:xfrm>
                          <a:prstGeom prst="rect">
                            <a:avLst/>
                          </a:prstGeom>
                          <a:noFill/>
                          <a:ln>
                            <a:noFill/>
                          </a:ln>
                        </pic:spPr>
                      </pic:pic>
                    </a:graphicData>
                  </a:graphic>
                </wp:inline>
              </w:drawing>
            </w:r>
          </w:p>
          <w:p>
            <w:pPr>
              <w:pStyle w:val="20"/>
              <w:widowControl w:val="0"/>
              <w:rPr>
                <w:color w:val="0000FF"/>
              </w:rPr>
            </w:pPr>
            <w:r>
              <w:rPr>
                <w:rFonts w:hint="eastAsia" w:ascii="Times New Roman" w:hAnsi="Times New Roman" w:eastAsia="宋体" w:cs="Times New Roman"/>
                <w:b/>
                <w:bCs/>
                <w:color w:val="auto"/>
                <w:sz w:val="21"/>
                <w:szCs w:val="21"/>
              </w:rPr>
              <w:t>图6-1 监测点位图</w:t>
            </w: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表七</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5"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bookmarkStart w:id="6" w:name="_Toc23720"/>
            <w:bookmarkStart w:id="7" w:name="_Toc8105"/>
            <w:r>
              <w:rPr>
                <w:rFonts w:ascii="Times New Roman" w:hAnsi="Times New Roman" w:eastAsia="宋体" w:cs="Times New Roman"/>
                <w:color w:val="auto"/>
                <w:sz w:val="24"/>
                <w:szCs w:val="24"/>
              </w:rPr>
              <w:t>1、生产工况</w:t>
            </w:r>
            <w:bookmarkEnd w:id="6"/>
            <w:bookmarkEnd w:id="7"/>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厦门科仪检测技术</w:t>
            </w:r>
            <w:r>
              <w:rPr>
                <w:rFonts w:hint="eastAsia" w:ascii="Times New Roman" w:hAnsi="Times New Roman" w:eastAsia="宋体" w:cs="Times New Roman"/>
                <w:color w:val="auto"/>
                <w:sz w:val="24"/>
                <w:szCs w:val="24"/>
              </w:rPr>
              <w:t>有限公司于2020年</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月5日—</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月6日到恩仕（长泰）休闲卫浴有限公司进行现场监测，项目环评设计</w:t>
            </w:r>
            <w:r>
              <w:rPr>
                <w:rFonts w:hint="eastAsia" w:ascii="Times New Roman" w:hAnsi="Times New Roman" w:eastAsia="宋体" w:cs="Times New Roman"/>
                <w:color w:val="auto"/>
                <w:sz w:val="24"/>
                <w:szCs w:val="24"/>
                <w:lang w:val="en-US" w:eastAsia="zh-CN"/>
              </w:rPr>
              <w:t>年产浴缸60000套、淋浴盆20000套、淋浴房18000套</w:t>
            </w:r>
            <w:r>
              <w:rPr>
                <w:rFonts w:hint="eastAsia" w:ascii="Times New Roman" w:hAnsi="Times New Roman" w:eastAsia="宋体" w:cs="Times New Roman"/>
                <w:color w:val="auto"/>
                <w:sz w:val="24"/>
                <w:szCs w:val="24"/>
              </w:rPr>
              <w:t>，目前项目实际生产能力为</w:t>
            </w:r>
            <w:r>
              <w:rPr>
                <w:rFonts w:hint="eastAsia" w:ascii="Times New Roman" w:hAnsi="Times New Roman" w:eastAsia="宋体" w:cs="Times New Roman"/>
                <w:color w:val="auto"/>
                <w:sz w:val="24"/>
                <w:szCs w:val="24"/>
                <w:lang w:val="en-US" w:eastAsia="zh-CN"/>
              </w:rPr>
              <w:t>年产浴缸60000套、淋浴盆20000套、淋浴房18000套</w:t>
            </w:r>
            <w:r>
              <w:rPr>
                <w:rFonts w:hint="eastAsia" w:ascii="Times New Roman" w:hAnsi="Times New Roman" w:eastAsia="宋体" w:cs="Times New Roman"/>
                <w:color w:val="auto"/>
                <w:sz w:val="24"/>
                <w:szCs w:val="24"/>
              </w:rPr>
              <w:t>。在验收期间，</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月5日生产</w:t>
            </w:r>
            <w:r>
              <w:rPr>
                <w:rFonts w:hint="eastAsia" w:ascii="Times New Roman" w:hAnsi="Times New Roman" w:eastAsia="宋体" w:cs="Times New Roman"/>
                <w:color w:val="auto"/>
                <w:sz w:val="24"/>
                <w:szCs w:val="24"/>
                <w:lang w:val="en-US" w:eastAsia="zh-CN"/>
              </w:rPr>
              <w:t>浴缸219套、淋浴盆73套、淋浴房66套</w:t>
            </w:r>
            <w:r>
              <w:rPr>
                <w:rFonts w:hint="eastAsia" w:ascii="Times New Roman" w:hAnsi="Times New Roman" w:eastAsia="宋体" w:cs="Times New Roman"/>
                <w:color w:val="auto"/>
                <w:sz w:val="24"/>
                <w:szCs w:val="24"/>
              </w:rPr>
              <w:t>，生产负荷率为92%；</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月6号</w:t>
            </w:r>
            <w:r>
              <w:rPr>
                <w:rFonts w:hint="eastAsia" w:ascii="Times New Roman" w:hAnsi="Times New Roman" w:eastAsia="宋体" w:cs="Times New Roman"/>
                <w:color w:val="auto"/>
                <w:sz w:val="24"/>
                <w:szCs w:val="24"/>
                <w:lang w:val="en-US" w:eastAsia="zh-CN"/>
              </w:rPr>
              <w:t>生产浴缸226套、淋浴盆75套、淋浴房68套</w:t>
            </w:r>
            <w:r>
              <w:rPr>
                <w:rFonts w:hint="eastAsia" w:ascii="Times New Roman" w:hAnsi="Times New Roman" w:eastAsia="宋体" w:cs="Times New Roman"/>
                <w:color w:val="auto"/>
                <w:sz w:val="24"/>
                <w:szCs w:val="24"/>
              </w:rPr>
              <w:t>，生产负荷率为95%。采样期间的现场工况见下表。</w:t>
            </w:r>
          </w:p>
          <w:p>
            <w:pPr>
              <w:widowControl w:val="0"/>
              <w:adjustRightIn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表7-1 生产负荷表</w:t>
            </w:r>
          </w:p>
          <w:tbl>
            <w:tblPr>
              <w:tblStyle w:val="22"/>
              <w:tblW w:w="499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102"/>
              <w:gridCol w:w="2036"/>
              <w:gridCol w:w="1783"/>
              <w:gridCol w:w="105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日期</w:t>
                  </w:r>
                </w:p>
              </w:tc>
              <w:tc>
                <w:tcPr>
                  <w:tcW w:w="1269"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环评设计产能</w:t>
                  </w:r>
                </w:p>
              </w:tc>
              <w:tc>
                <w:tcPr>
                  <w:tcW w:w="1229"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实际产能</w:t>
                  </w:r>
                </w:p>
              </w:tc>
              <w:tc>
                <w:tcPr>
                  <w:tcW w:w="1076"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月5日</w:t>
                  </w:r>
                </w:p>
              </w:tc>
              <w:tc>
                <w:tcPr>
                  <w:tcW w:w="1269"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年产浴缸60000套、淋浴盆20000套、淋浴房18000套</w:t>
                  </w:r>
                </w:p>
              </w:tc>
              <w:tc>
                <w:tcPr>
                  <w:tcW w:w="1229"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年产浴缸60000套、淋浴盆20000套、淋浴房18000套</w:t>
                  </w:r>
                </w:p>
              </w:tc>
              <w:tc>
                <w:tcPr>
                  <w:tcW w:w="1076" w:type="pc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生产浴缸219套、淋浴盆73套、淋浴房66套</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月6日</w:t>
                  </w:r>
                </w:p>
              </w:tc>
              <w:tc>
                <w:tcPr>
                  <w:tcW w:w="1269"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1229"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1076" w:type="pc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生产浴缸226套、淋浴盆75套、淋浴房68套</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p>
              </w:tc>
            </w:tr>
          </w:tbl>
          <w:p>
            <w:pPr>
              <w:widowControl/>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验收监测结果：</w:t>
            </w:r>
          </w:p>
          <w:p>
            <w:pPr>
              <w:pStyle w:val="4"/>
              <w:widowControl/>
              <w:spacing w:line="360" w:lineRule="auto"/>
              <w:ind w:firstLine="480" w:firstLineChars="200"/>
              <w:jc w:val="both"/>
              <w:outlineLvl w:val="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（1）废水</w:t>
            </w:r>
          </w:p>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w:t>
            </w:r>
            <w:r>
              <w:rPr>
                <w:rFonts w:hint="eastAsia" w:ascii="Times New Roman" w:hAnsi="Times New Roman" w:cs="Times New Roman"/>
                <w:color w:val="auto"/>
                <w:sz w:val="24"/>
                <w:szCs w:val="24"/>
                <w:lang w:val="en-US" w:eastAsia="zh-CN"/>
              </w:rPr>
              <w:t>水</w:t>
            </w:r>
            <w:r>
              <w:rPr>
                <w:rFonts w:hint="default" w:ascii="Times New Roman" w:hAnsi="Times New Roman" w:eastAsia="宋体" w:cs="Times New Roman"/>
                <w:color w:val="auto"/>
                <w:sz w:val="24"/>
                <w:szCs w:val="24"/>
                <w:lang w:val="en-US" w:eastAsia="zh-CN"/>
              </w:rPr>
              <w:t>监测结果见下表。</w:t>
            </w:r>
          </w:p>
          <w:p>
            <w:pPr>
              <w:pStyle w:val="28"/>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废</w:t>
            </w:r>
            <w:r>
              <w:rPr>
                <w:rFonts w:hint="eastAsia" w:ascii="Times New Roman" w:hAnsi="Times New Roman" w:cs="Times New Roman"/>
                <w:b/>
                <w:bCs/>
                <w:color w:val="auto"/>
                <w:sz w:val="21"/>
                <w:szCs w:val="21"/>
                <w:lang w:val="en-US" w:eastAsia="zh-CN"/>
              </w:rPr>
              <w:t>水</w:t>
            </w:r>
            <w:r>
              <w:rPr>
                <w:rFonts w:hint="default" w:ascii="Times New Roman" w:hAnsi="Times New Roman" w:eastAsia="宋体" w:cs="Times New Roman"/>
                <w:b/>
                <w:bCs/>
                <w:color w:val="auto"/>
                <w:sz w:val="21"/>
                <w:szCs w:val="21"/>
                <w:lang w:val="en-US" w:eastAsia="zh-CN"/>
              </w:rPr>
              <w:t>监测结果</w:t>
            </w:r>
          </w:p>
          <w:tbl>
            <w:tblPr>
              <w:tblStyle w:val="22"/>
              <w:tblW w:w="820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797"/>
              <w:gridCol w:w="1132"/>
              <w:gridCol w:w="1086"/>
              <w:gridCol w:w="1076"/>
              <w:gridCol w:w="1076"/>
              <w:gridCol w:w="1129"/>
              <w:gridCol w:w="85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6" w:type="dxa"/>
                  <w:vMerge w:val="restart"/>
                  <w:tcBorders>
                    <w:tl2br w:val="nil"/>
                    <w:tr2bl w:val="nil"/>
                  </w:tcBorders>
                  <w:vAlign w:val="center"/>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797" w:type="dxa"/>
                  <w:vMerge w:val="restart"/>
                  <w:tcBorders>
                    <w:tl2br w:val="nil"/>
                    <w:tr2bl w:val="nil"/>
                  </w:tcBorders>
                  <w:vAlign w:val="center"/>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点位</w:t>
                  </w:r>
                </w:p>
              </w:tc>
              <w:tc>
                <w:tcPr>
                  <w:tcW w:w="1132" w:type="dxa"/>
                  <w:vMerge w:val="restart"/>
                  <w:tcBorders>
                    <w:tl2br w:val="nil"/>
                    <w:tr2bl w:val="nil"/>
                  </w:tcBorders>
                  <w:vAlign w:val="center"/>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w:t>
                  </w:r>
                </w:p>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项目</w:t>
                  </w:r>
                </w:p>
              </w:tc>
              <w:tc>
                <w:tcPr>
                  <w:tcW w:w="4367" w:type="dxa"/>
                  <w:gridSpan w:val="4"/>
                  <w:tcBorders>
                    <w:tl2br w:val="nil"/>
                    <w:tr2bl w:val="nil"/>
                  </w:tcBorders>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监测结果（单位：mg/L，pH值除外）</w:t>
                  </w:r>
                </w:p>
              </w:tc>
              <w:tc>
                <w:tcPr>
                  <w:tcW w:w="857" w:type="dxa"/>
                  <w:tcBorders>
                    <w:tl2br w:val="nil"/>
                    <w:tr2bl w:val="nil"/>
                  </w:tcBorders>
                </w:tcPr>
                <w:p>
                  <w:pPr>
                    <w:pStyle w:val="28"/>
                    <w:jc w:val="center"/>
                    <w:rPr>
                      <w:rFonts w:hint="default"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56" w:type="dxa"/>
                  <w:vMerge w:val="continue"/>
                  <w:tcBorders>
                    <w:tl2br w:val="nil"/>
                    <w:tr2bl w:val="nil"/>
                  </w:tcBorders>
                </w:tcPr>
                <w:p>
                  <w:pPr>
                    <w:pStyle w:val="28"/>
                    <w:jc w:val="center"/>
                    <w:rPr>
                      <w:rFonts w:hint="default" w:ascii="Times New Roman" w:hAnsi="Times New Roman" w:cs="Times New Roman" w:eastAsiaTheme="minorEastAsia"/>
                      <w:b/>
                      <w:bCs/>
                      <w:color w:val="auto"/>
                      <w:sz w:val="21"/>
                      <w:szCs w:val="21"/>
                      <w:vertAlign w:val="baseline"/>
                      <w:lang w:val="en-US" w:eastAsia="zh-CN"/>
                    </w:rPr>
                  </w:pPr>
                </w:p>
              </w:tc>
              <w:tc>
                <w:tcPr>
                  <w:tcW w:w="797" w:type="dxa"/>
                  <w:vMerge w:val="continue"/>
                  <w:tcBorders>
                    <w:tl2br w:val="nil"/>
                    <w:tr2bl w:val="nil"/>
                  </w:tcBorders>
                </w:tcPr>
                <w:p>
                  <w:pPr>
                    <w:pStyle w:val="28"/>
                    <w:jc w:val="center"/>
                    <w:rPr>
                      <w:rFonts w:hint="default" w:ascii="Times New Roman" w:hAnsi="Times New Roman" w:cs="Times New Roman" w:eastAsiaTheme="minorEastAsia"/>
                      <w:b/>
                      <w:bCs/>
                      <w:color w:val="auto"/>
                      <w:sz w:val="21"/>
                      <w:szCs w:val="21"/>
                      <w:vertAlign w:val="baseline"/>
                      <w:lang w:val="en-US" w:eastAsia="zh-CN"/>
                    </w:rPr>
                  </w:pPr>
                </w:p>
              </w:tc>
              <w:tc>
                <w:tcPr>
                  <w:tcW w:w="1132" w:type="dxa"/>
                  <w:vMerge w:val="continue"/>
                  <w:tcBorders>
                    <w:tl2br w:val="nil"/>
                    <w:tr2bl w:val="nil"/>
                  </w:tcBorders>
                </w:tcPr>
                <w:p>
                  <w:pPr>
                    <w:pStyle w:val="28"/>
                    <w:jc w:val="center"/>
                    <w:rPr>
                      <w:rFonts w:hint="default" w:ascii="Times New Roman" w:hAnsi="Times New Roman" w:cs="Times New Roman" w:eastAsiaTheme="minorEastAsia"/>
                      <w:b/>
                      <w:bCs/>
                      <w:color w:val="auto"/>
                      <w:sz w:val="21"/>
                      <w:szCs w:val="21"/>
                      <w:vertAlign w:val="baseline"/>
                      <w:lang w:val="en-US" w:eastAsia="zh-CN"/>
                    </w:rPr>
                  </w:pPr>
                </w:p>
              </w:tc>
              <w:tc>
                <w:tcPr>
                  <w:tcW w:w="1086" w:type="dxa"/>
                  <w:tcBorders>
                    <w:tl2br w:val="nil"/>
                    <w:tr2bl w:val="nil"/>
                  </w:tcBorders>
                  <w:vAlign w:val="center"/>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第一次</w:t>
                  </w:r>
                </w:p>
              </w:tc>
              <w:tc>
                <w:tcPr>
                  <w:tcW w:w="1076" w:type="dxa"/>
                  <w:tcBorders>
                    <w:tl2br w:val="nil"/>
                    <w:tr2bl w:val="nil"/>
                  </w:tcBorders>
                  <w:vAlign w:val="center"/>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第二次</w:t>
                  </w:r>
                </w:p>
              </w:tc>
              <w:tc>
                <w:tcPr>
                  <w:tcW w:w="1076" w:type="dxa"/>
                  <w:tcBorders>
                    <w:tl2br w:val="nil"/>
                    <w:tr2bl w:val="nil"/>
                  </w:tcBorders>
                  <w:vAlign w:val="center"/>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第三次</w:t>
                  </w:r>
                </w:p>
              </w:tc>
              <w:tc>
                <w:tcPr>
                  <w:tcW w:w="1129" w:type="dxa"/>
                  <w:tcBorders>
                    <w:tl2br w:val="nil"/>
                    <w:tr2bl w:val="nil"/>
                  </w:tcBorders>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平均值或范围值</w:t>
                  </w:r>
                </w:p>
              </w:tc>
              <w:tc>
                <w:tcPr>
                  <w:tcW w:w="857" w:type="dxa"/>
                  <w:tcBorders>
                    <w:tl2br w:val="nil"/>
                    <w:tr2bl w:val="nil"/>
                  </w:tcBorders>
                </w:tcPr>
                <w:p>
                  <w:pPr>
                    <w:pStyle w:val="28"/>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2020.8.5</w:t>
                  </w:r>
                </w:p>
              </w:tc>
              <w:tc>
                <w:tcPr>
                  <w:tcW w:w="797" w:type="dxa"/>
                  <w:vMerge w:val="restart"/>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color w:val="auto"/>
                      <w:sz w:val="24"/>
                      <w:szCs w:val="24"/>
                      <w:lang w:val="en-US" w:eastAsia="zh-CN"/>
                    </w:rPr>
                    <w:t>生活污水出</w:t>
                  </w:r>
                  <w:r>
                    <w:rPr>
                      <w:rFonts w:hint="default" w:ascii="Times New Roman" w:hAnsi="Times New Roman" w:cs="Times New Roman"/>
                      <w:color w:val="auto"/>
                      <w:sz w:val="24"/>
                      <w:szCs w:val="24"/>
                    </w:rPr>
                    <w:t>口</w:t>
                  </w:r>
                  <w:r>
                    <w:rPr>
                      <w:rFonts w:hint="eastAsia" w:ascii="Times New Roman" w:hAnsi="Times New Roman" w:cs="Times New Roman"/>
                      <w:color w:val="auto"/>
                      <w:sz w:val="24"/>
                      <w:szCs w:val="24"/>
                      <w:lang w:val="en-US" w:eastAsia="zh-CN"/>
                    </w:rPr>
                    <w:t>W1</w:t>
                  </w:r>
                </w:p>
              </w:tc>
              <w:tc>
                <w:tcPr>
                  <w:tcW w:w="1132" w:type="dxa"/>
                  <w:tcBorders>
                    <w:tl2br w:val="nil"/>
                    <w:tr2bl w:val="nil"/>
                  </w:tcBorders>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7.16</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7.14</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7.13</w:t>
                  </w:r>
                </w:p>
              </w:tc>
              <w:tc>
                <w:tcPr>
                  <w:tcW w:w="1129" w:type="dxa"/>
                  <w:tcBorders>
                    <w:tl2br w:val="nil"/>
                    <w:tr2bl w:val="nil"/>
                  </w:tcBorders>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7.14</w:t>
                  </w:r>
                </w:p>
              </w:tc>
              <w:tc>
                <w:tcPr>
                  <w:tcW w:w="857" w:type="dxa"/>
                  <w:tcBorders>
                    <w:tl2br w:val="nil"/>
                    <w:tr2bl w:val="nil"/>
                  </w:tcBorders>
                  <w:vAlign w:val="top"/>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98</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116</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113</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109</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32.1</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34.2</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33.2</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33.17</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SS</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112</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104</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97</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104.33</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氨氮</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19.1</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19.8</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19.3</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19.4</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56" w:type="dxa"/>
                  <w:vMerge w:val="restart"/>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2020.8.6</w:t>
                  </w:r>
                </w:p>
              </w:tc>
              <w:tc>
                <w:tcPr>
                  <w:tcW w:w="797" w:type="dxa"/>
                  <w:vMerge w:val="restart"/>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color w:val="auto"/>
                      <w:sz w:val="24"/>
                      <w:szCs w:val="24"/>
                      <w:lang w:val="en-US" w:eastAsia="zh-CN"/>
                    </w:rPr>
                    <w:t>生活污水出</w:t>
                  </w:r>
                  <w:r>
                    <w:rPr>
                      <w:rFonts w:hint="default" w:ascii="Times New Roman" w:hAnsi="Times New Roman" w:cs="Times New Roman"/>
                      <w:color w:val="auto"/>
                      <w:sz w:val="24"/>
                      <w:szCs w:val="24"/>
                    </w:rPr>
                    <w:t>口</w:t>
                  </w:r>
                  <w:r>
                    <w:rPr>
                      <w:rFonts w:hint="eastAsia" w:ascii="Times New Roman" w:hAnsi="Times New Roman" w:cs="Times New Roman"/>
                      <w:color w:val="auto"/>
                      <w:sz w:val="24"/>
                      <w:szCs w:val="24"/>
                      <w:lang w:val="en-US" w:eastAsia="zh-CN"/>
                    </w:rPr>
                    <w:t>W1</w:t>
                  </w:r>
                </w:p>
              </w:tc>
              <w:tc>
                <w:tcPr>
                  <w:tcW w:w="1132" w:type="dxa"/>
                  <w:tcBorders>
                    <w:tl2br w:val="nil"/>
                    <w:tr2bl w:val="nil"/>
                  </w:tcBorders>
                  <w:vAlign w:val="top"/>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6.50</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6.64</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6.68</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6.67</w:t>
                  </w:r>
                </w:p>
              </w:tc>
              <w:tc>
                <w:tcPr>
                  <w:tcW w:w="857" w:type="dxa"/>
                  <w:tcBorders>
                    <w:tl2br w:val="nil"/>
                    <w:tr2bl w:val="nil"/>
                  </w:tcBorders>
                  <w:vAlign w:val="top"/>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vAlign w:val="top"/>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110</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106</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107</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107.67</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vAlign w:val="top"/>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33.6</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32.6</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33.0</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33.07</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vAlign w:val="top"/>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SS</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116</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100</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98</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104.67</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797" w:type="dxa"/>
                  <w:vMerge w:val="continue"/>
                  <w:tcBorders>
                    <w:tl2br w:val="nil"/>
                    <w:tr2bl w:val="nil"/>
                  </w:tcBorders>
                  <w:vAlign w:val="center"/>
                </w:tcPr>
                <w:p>
                  <w:pPr>
                    <w:pStyle w:val="28"/>
                    <w:jc w:val="center"/>
                    <w:rPr>
                      <w:rFonts w:hint="default" w:ascii="Times New Roman" w:hAnsi="Times New Roman" w:cs="Times New Roman" w:eastAsiaTheme="minorEastAsia"/>
                      <w:color w:val="auto"/>
                      <w:sz w:val="21"/>
                      <w:szCs w:val="21"/>
                      <w:vertAlign w:val="baseline"/>
                      <w:lang w:val="en-US" w:eastAsia="zh-CN"/>
                    </w:rPr>
                  </w:pPr>
                </w:p>
              </w:tc>
              <w:tc>
                <w:tcPr>
                  <w:tcW w:w="1132" w:type="dxa"/>
                  <w:tcBorders>
                    <w:tl2br w:val="nil"/>
                    <w:tr2bl w:val="nil"/>
                  </w:tcBorders>
                  <w:vAlign w:val="top"/>
                </w:tcPr>
                <w:p>
                  <w:pPr>
                    <w:pStyle w:val="28"/>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氨氮</w:t>
                  </w:r>
                </w:p>
              </w:tc>
              <w:tc>
                <w:tcPr>
                  <w:tcW w:w="10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19.5</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19.9</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bidi="ar-SA"/>
                    </w:rPr>
                    <w:t>20.0</w:t>
                  </w:r>
                </w:p>
              </w:tc>
              <w:tc>
                <w:tcPr>
                  <w:tcW w:w="112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19.8</w:t>
                  </w:r>
                </w:p>
              </w:tc>
              <w:tc>
                <w:tcPr>
                  <w:tcW w:w="8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由上表7-2监测结果可知，环保竣工验收期间废水处理设施排放口个各污染物排放浓度为：</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pH值：pH范围值为</w:t>
            </w:r>
            <w:r>
              <w:rPr>
                <w:rFonts w:hint="eastAsia" w:ascii="Times New Roman" w:hAnsi="Times New Roman" w:eastAsia="宋体" w:cs="Times New Roman"/>
                <w:color w:val="auto"/>
                <w:sz w:val="24"/>
                <w:szCs w:val="24"/>
                <w:lang w:val="en-US" w:eastAsia="zh-CN"/>
              </w:rPr>
              <w:t>6.50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7.16</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COD：排放浓度范围</w:t>
            </w:r>
            <w:r>
              <w:rPr>
                <w:rFonts w:hint="eastAsia" w:ascii="Times New Roman" w:hAnsi="Times New Roman" w:eastAsia="宋体" w:cs="Times New Roman"/>
                <w:color w:val="auto"/>
                <w:sz w:val="24"/>
                <w:szCs w:val="24"/>
                <w:lang w:val="en-US" w:eastAsia="zh-CN"/>
              </w:rPr>
              <w:t>98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116</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109</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107.67</w:t>
            </w:r>
            <w:r>
              <w:rPr>
                <w:rFonts w:hint="default" w:ascii="Times New Roman" w:hAnsi="Times New Roman" w:eastAsia="宋体" w:cs="Times New Roman"/>
                <w:color w:val="auto"/>
                <w:sz w:val="24"/>
                <w:szCs w:val="24"/>
                <w:lang w:val="en-US" w:eastAsia="zh-CN"/>
              </w:rPr>
              <w:t>mg/L；</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：排放浓度范围</w:t>
            </w:r>
            <w:r>
              <w:rPr>
                <w:rFonts w:hint="eastAsia" w:ascii="Times New Roman" w:hAnsi="Times New Roman" w:eastAsia="宋体" w:cs="Times New Roman"/>
                <w:color w:val="auto"/>
                <w:sz w:val="24"/>
                <w:szCs w:val="24"/>
                <w:lang w:val="en-US" w:eastAsia="zh-CN"/>
              </w:rPr>
              <w:t>32.1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34.2</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33.17</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33.07</w:t>
            </w:r>
            <w:r>
              <w:rPr>
                <w:rFonts w:hint="default" w:ascii="Times New Roman" w:hAnsi="Times New Roman" w:eastAsia="宋体" w:cs="Times New Roman"/>
                <w:color w:val="auto"/>
                <w:sz w:val="24"/>
                <w:szCs w:val="24"/>
                <w:lang w:val="en-US" w:eastAsia="zh-CN"/>
              </w:rPr>
              <w:t>mg/L；</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SS</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排放浓度范围</w:t>
            </w:r>
            <w:r>
              <w:rPr>
                <w:rFonts w:hint="eastAsia" w:ascii="Times New Roman" w:hAnsi="Times New Roman" w:eastAsia="宋体" w:cs="Times New Roman"/>
                <w:color w:val="auto"/>
                <w:sz w:val="24"/>
                <w:szCs w:val="24"/>
                <w:lang w:val="en-US" w:eastAsia="zh-CN"/>
              </w:rPr>
              <w:t>97</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116</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104.33</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104.67</w:t>
            </w:r>
            <w:r>
              <w:rPr>
                <w:rFonts w:hint="default" w:ascii="Times New Roman" w:hAnsi="Times New Roman" w:eastAsia="宋体" w:cs="Times New Roman"/>
                <w:color w:val="auto"/>
                <w:sz w:val="24"/>
                <w:szCs w:val="24"/>
                <w:lang w:val="en-US" w:eastAsia="zh-CN"/>
              </w:rPr>
              <w:t>mg/L</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氨氮</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排放浓度范围</w:t>
            </w:r>
            <w:r>
              <w:rPr>
                <w:rFonts w:hint="eastAsia" w:ascii="Times New Roman" w:hAnsi="Times New Roman" w:eastAsia="宋体" w:cs="Times New Roman"/>
                <w:color w:val="auto"/>
                <w:sz w:val="24"/>
                <w:szCs w:val="24"/>
                <w:lang w:val="en-US" w:eastAsia="zh-CN"/>
              </w:rPr>
              <w:t>19.1</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20.0</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19.4</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19.8</w:t>
            </w:r>
            <w:r>
              <w:rPr>
                <w:rFonts w:hint="default" w:ascii="Times New Roman" w:hAnsi="Times New Roman" w:eastAsia="宋体" w:cs="Times New Roman"/>
                <w:color w:val="auto"/>
                <w:sz w:val="24"/>
                <w:szCs w:val="24"/>
                <w:lang w:val="en-US" w:eastAsia="zh-CN"/>
              </w:rPr>
              <w:t>mg/L</w:t>
            </w:r>
            <w:r>
              <w:rPr>
                <w:rFonts w:hint="default" w:ascii="Times New Roman" w:hAnsi="Times New Roman" w:eastAsia="宋体" w:cs="Times New Roman"/>
                <w:color w:val="auto"/>
                <w:sz w:val="24"/>
                <w:szCs w:val="24"/>
                <w:vertAlign w:val="baseline"/>
                <w:lang w:val="en-US" w:eastAsia="zh-CN"/>
              </w:rPr>
              <w:t>；</w:t>
            </w:r>
          </w:p>
          <w:p>
            <w:pPr>
              <w:pStyle w:val="28"/>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且由</w:t>
            </w:r>
            <w:r>
              <w:rPr>
                <w:rFonts w:hint="default" w:ascii="Times New Roman" w:hAnsi="Times New Roman" w:eastAsia="宋体" w:cs="Times New Roman"/>
                <w:color w:val="auto"/>
                <w:kern w:val="0"/>
                <w:sz w:val="24"/>
                <w:szCs w:val="24"/>
                <w:lang w:val="en-US" w:eastAsia="zh-CN" w:bidi="ar-SA"/>
              </w:rPr>
              <w:t>表7-2监测结果可知</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szCs w:val="24"/>
                <w:lang w:val="en-US" w:eastAsia="zh-CN"/>
              </w:rPr>
              <w:t>本项目废水处理设施排放口pH、SS、COD、BOD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val="en-US" w:eastAsia="zh-CN"/>
              </w:rPr>
              <w:t>排放浓度满足</w:t>
            </w:r>
            <w:r>
              <w:rPr>
                <w:rFonts w:hint="default" w:ascii="Times New Roman" w:hAnsi="Times New Roman" w:cs="Times New Roman"/>
                <w:color w:val="auto"/>
                <w:sz w:val="24"/>
                <w:szCs w:val="24"/>
              </w:rPr>
              <w:t>GB</w:t>
            </w:r>
            <w:r>
              <w:rPr>
                <w:rFonts w:hint="default" w:ascii="Times New Roman" w:hAnsi="Times New Roman" w:cs="Times New Roman"/>
                <w:color w:val="auto"/>
                <w:sz w:val="24"/>
                <w:szCs w:val="24"/>
                <w:lang w:val="en-US" w:eastAsia="zh-CN"/>
              </w:rPr>
              <w:t>8978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1996《污水综合排放标准》表4</w:t>
            </w:r>
            <w:r>
              <w:rPr>
                <w:rFonts w:hint="eastAsia" w:ascii="Times New Roman" w:hAnsi="Times New Roman" w:cs="Times New Roman"/>
                <w:color w:val="auto"/>
                <w:sz w:val="24"/>
                <w:szCs w:val="24"/>
                <w:lang w:val="en-US" w:eastAsia="zh-CN"/>
              </w:rPr>
              <w:t>三</w:t>
            </w:r>
            <w:r>
              <w:rPr>
                <w:rFonts w:hint="default" w:ascii="Times New Roman" w:hAnsi="Times New Roman" w:cs="Times New Roman"/>
                <w:color w:val="auto"/>
                <w:sz w:val="24"/>
                <w:szCs w:val="24"/>
                <w:lang w:val="en-US" w:eastAsia="zh-CN"/>
              </w:rPr>
              <w:t>级排放标准</w:t>
            </w:r>
            <w:r>
              <w:rPr>
                <w:rFonts w:hint="eastAsia" w:ascii="Times New Roman" w:hAnsi="Times New Roman" w:cs="Times New Roman"/>
                <w:color w:val="auto"/>
                <w:sz w:val="24"/>
                <w:szCs w:val="24"/>
                <w:lang w:val="en-US" w:eastAsia="zh-CN"/>
              </w:rPr>
              <w:t>，氨氮排放浓度</w:t>
            </w:r>
            <w:r>
              <w:rPr>
                <w:rFonts w:hint="eastAsia"/>
                <w:lang w:eastAsia="zh-CN"/>
              </w:rPr>
              <w:t>符合污水排入城镇下水道标准和长泰西区污水处理厂进水标准</w:t>
            </w:r>
            <w:r>
              <w:rPr>
                <w:rFonts w:hint="default" w:ascii="Times New Roman" w:hAnsi="Times New Roman" w:cs="Times New Roman"/>
                <w:color w:val="auto"/>
                <w:sz w:val="24"/>
                <w:szCs w:val="24"/>
                <w:lang w:val="en-US" w:eastAsia="zh-CN"/>
              </w:rPr>
              <w:t>。</w:t>
            </w:r>
          </w:p>
          <w:p>
            <w:pPr>
              <w:widowControl/>
              <w:numPr>
                <w:ilvl w:val="0"/>
                <w:numId w:val="4"/>
              </w:numPr>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废气</w:t>
            </w:r>
          </w:p>
          <w:p>
            <w:pPr>
              <w:pStyle w:val="28"/>
              <w:spacing w:line="240" w:lineRule="auto"/>
              <w:ind w:firstLine="480" w:firstLineChars="200"/>
              <w:jc w:val="both"/>
              <w:rPr>
                <w:rFonts w:ascii="Times New Roman" w:hAnsi="Times New Roman" w:cs="Times New Roman"/>
                <w:color w:val="auto"/>
              </w:rPr>
            </w:pPr>
            <w:r>
              <w:rPr>
                <w:rFonts w:ascii="Times New Roman" w:hAnsi="Times New Roman" w:cs="Times New Roman"/>
                <w:color w:val="auto"/>
              </w:rPr>
              <w:t>无组织废气监测结果见下表。</w:t>
            </w:r>
          </w:p>
          <w:p>
            <w:pPr>
              <w:pStyle w:val="28"/>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无组织废气监测结果</w:t>
            </w:r>
          </w:p>
          <w:tbl>
            <w:tblPr>
              <w:tblStyle w:val="22"/>
              <w:tblW w:w="4957"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308"/>
              <w:gridCol w:w="1455"/>
              <w:gridCol w:w="1110"/>
              <w:gridCol w:w="1051"/>
              <w:gridCol w:w="1087"/>
              <w:gridCol w:w="115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42"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监测</w:t>
                  </w:r>
                </w:p>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时间</w:t>
                  </w: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监测点位</w:t>
                  </w:r>
                </w:p>
              </w:tc>
              <w:tc>
                <w:tcPr>
                  <w:tcW w:w="885"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分析</w:t>
                  </w:r>
                </w:p>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2676" w:type="pct"/>
                  <w:gridSpan w:val="4"/>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监测结果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675"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639"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661"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700"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b/>
                      <w:bCs/>
                      <w:color w:val="auto"/>
                      <w:sz w:val="21"/>
                      <w:szCs w:val="21"/>
                    </w:rPr>
                    <w:t>最大值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2020.4.15</w:t>
                  </w: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上风向〇1</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0.103</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0.101</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0.098</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0.41</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上风向〇2</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0.138</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0.141</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0.145</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0.66</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0.69</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0.64</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上风向〇3</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0.159</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0.161</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0.164</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0.52</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0.59</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0.53</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上风向〇4</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0.155</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0.162</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0.167</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0.77</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0.75</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2020.4.16</w:t>
                  </w: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上风向〇1</w:t>
                  </w: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0.100</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0.101</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0.103</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0.42</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0.44</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上风向〇2</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0.145</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0.140</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0.135</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0.65</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上风向〇3</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0.161</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0.159</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0.154</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0.51</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0.51</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0.51</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上风向〇4</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0.167</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0.160</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0.159</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7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w:t>
                  </w:r>
                </w:p>
              </w:tc>
              <w:tc>
                <w:tcPr>
                  <w:tcW w:w="639"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0.77</w:t>
                  </w:r>
                </w:p>
              </w:tc>
              <w:tc>
                <w:tcPr>
                  <w:tcW w:w="66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0.73</w:t>
                  </w:r>
                </w:p>
              </w:tc>
              <w:tc>
                <w:tcPr>
                  <w:tcW w:w="70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0.77</w:t>
                  </w:r>
                </w:p>
              </w:tc>
            </w:tr>
          </w:tbl>
          <w:p>
            <w:pPr>
              <w:pStyle w:val="28"/>
              <w:spacing w:line="360" w:lineRule="auto"/>
              <w:ind w:firstLine="480" w:firstLineChars="200"/>
              <w:jc w:val="both"/>
              <w:rPr>
                <w:rFonts w:ascii="Times New Roman" w:hAnsi="Times New Roman" w:cs="Times New Roman"/>
                <w:color w:val="0000FF"/>
              </w:rPr>
            </w:pPr>
            <w:r>
              <w:rPr>
                <w:rFonts w:ascii="Times New Roman" w:hAnsi="Times New Roman" w:cs="Times New Roman"/>
                <w:color w:val="auto"/>
              </w:rPr>
              <w:t>由上表7-</w:t>
            </w:r>
            <w:r>
              <w:rPr>
                <w:rFonts w:hint="eastAsia" w:ascii="Times New Roman" w:hAnsi="Times New Roman" w:cs="Times New Roman"/>
                <w:color w:val="auto"/>
                <w:lang w:val="en-US" w:eastAsia="zh-CN"/>
              </w:rPr>
              <w:t>3</w:t>
            </w:r>
            <w:r>
              <w:rPr>
                <w:rFonts w:ascii="Times New Roman" w:hAnsi="Times New Roman" w:cs="Times New Roman"/>
                <w:color w:val="auto"/>
              </w:rPr>
              <w:t>监测结果可知，</w:t>
            </w:r>
            <w:r>
              <w:rPr>
                <w:rFonts w:hint="eastAsia" w:ascii="Times New Roman" w:hAnsi="Times New Roman" w:cs="Times New Roman"/>
                <w:color w:val="auto"/>
              </w:rPr>
              <w:t>本</w:t>
            </w:r>
            <w:r>
              <w:rPr>
                <w:rFonts w:ascii="Times New Roman" w:hAnsi="Times New Roman" w:cs="Times New Roman"/>
                <w:color w:val="auto"/>
              </w:rPr>
              <w:t>项目</w:t>
            </w:r>
            <w:r>
              <w:rPr>
                <w:rFonts w:hint="eastAsia" w:ascii="Times New Roman" w:hAnsi="Times New Roman" w:cs="Times New Roman"/>
                <w:color w:val="auto"/>
              </w:rPr>
              <w:t>无组织废气</w:t>
            </w:r>
            <w:r>
              <w:rPr>
                <w:rFonts w:hint="eastAsia" w:ascii="Times New Roman" w:hAnsi="Times New Roman" w:cs="Times New Roman"/>
                <w:color w:val="auto"/>
                <w:lang w:val="en-US" w:eastAsia="zh-CN"/>
              </w:rPr>
              <w:t>颗粒物</w:t>
            </w:r>
            <w:r>
              <w:rPr>
                <w:rFonts w:hint="eastAsia" w:ascii="Times New Roman" w:hAnsi="Times New Roman" w:cs="Times New Roman"/>
                <w:color w:val="auto"/>
              </w:rPr>
              <w:t>排放满足GB16297-1996《大气污染物综合排放标准》</w:t>
            </w:r>
            <w:r>
              <w:rPr>
                <w:rFonts w:hint="eastAsia" w:ascii="Times New Roman" w:hAnsi="Times New Roman" w:cs="Times New Roman"/>
                <w:color w:val="auto"/>
                <w:lang w:val="en-US" w:eastAsia="zh-CN"/>
              </w:rPr>
              <w:t>表2</w:t>
            </w:r>
            <w:r>
              <w:rPr>
                <w:rFonts w:ascii="Times New Roman" w:hAnsi="Times New Roman" w:cs="Times New Roman"/>
                <w:color w:val="auto"/>
              </w:rPr>
              <w:t>无组织排放监控浓度限值要求</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非甲烷总烃排放满足DB35/1782-2018《工业企业挥发性有机物排放标准》中的表3标准</w:t>
            </w:r>
            <w:r>
              <w:rPr>
                <w:rFonts w:ascii="Times New Roman" w:hAnsi="Times New Roman" w:cs="Times New Roman"/>
                <w:color w:val="auto"/>
              </w:rPr>
              <w:t>。</w:t>
            </w:r>
          </w:p>
          <w:p>
            <w:pPr>
              <w:pStyle w:val="28"/>
              <w:numPr>
                <w:ilvl w:val="0"/>
                <w:numId w:val="4"/>
              </w:numPr>
              <w:ind w:firstLine="480" w:firstLineChars="200"/>
              <w:jc w:val="both"/>
              <w:rPr>
                <w:rFonts w:ascii="Times New Roman" w:hAnsi="Times New Roman" w:cs="Times New Roman"/>
                <w:color w:val="auto"/>
              </w:rPr>
            </w:pPr>
            <w:r>
              <w:rPr>
                <w:rFonts w:ascii="Times New Roman" w:hAnsi="Times New Roman" w:cs="Times New Roman"/>
                <w:color w:val="auto"/>
              </w:rPr>
              <w:t>噪声</w:t>
            </w:r>
          </w:p>
          <w:p>
            <w:pPr>
              <w:pStyle w:val="28"/>
              <w:ind w:firstLine="480" w:firstLineChars="200"/>
              <w:jc w:val="both"/>
              <w:rPr>
                <w:rFonts w:ascii="Times New Roman" w:hAnsi="Times New Roman" w:cs="Times New Roman"/>
                <w:color w:val="auto"/>
              </w:rPr>
            </w:pPr>
            <w:r>
              <w:rPr>
                <w:rFonts w:ascii="Times New Roman" w:hAnsi="Times New Roman" w:cs="Times New Roman"/>
                <w:color w:val="auto"/>
              </w:rPr>
              <w:t>厂界噪声监测结果见下表。</w:t>
            </w:r>
          </w:p>
          <w:p>
            <w:pPr>
              <w:pStyle w:val="28"/>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4</w:t>
            </w:r>
            <w:r>
              <w:rPr>
                <w:rFonts w:ascii="Times New Roman" w:hAnsi="Times New Roman" w:cs="Times New Roman"/>
                <w:b/>
                <w:bCs/>
                <w:color w:val="auto"/>
                <w:sz w:val="21"/>
                <w:szCs w:val="21"/>
              </w:rPr>
              <w:t xml:space="preserve"> 噪声监测结果</w:t>
            </w:r>
          </w:p>
          <w:tbl>
            <w:tblPr>
              <w:tblStyle w:val="22"/>
              <w:tblW w:w="81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170"/>
              <w:gridCol w:w="1314"/>
              <w:gridCol w:w="1350"/>
              <w:gridCol w:w="1191"/>
              <w:gridCol w:w="930"/>
              <w:gridCol w:w="103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Borders>
                    <w:tl2br w:val="nil"/>
                    <w:tr2bl w:val="nil"/>
                  </w:tcBorders>
                  <w:vAlign w:val="center"/>
                </w:tcPr>
                <w:p>
                  <w:pPr>
                    <w:pStyle w:val="32"/>
                    <w:widowControl/>
                    <w:jc w:val="center"/>
                    <w:rPr>
                      <w:rFonts w:ascii="Times New Roman" w:hAnsi="Times New Roman" w:eastAsia="宋体" w:cs="Times New Roman"/>
                      <w:color w:val="auto"/>
                      <w:sz w:val="21"/>
                    </w:rPr>
                  </w:pPr>
                  <w:r>
                    <w:rPr>
                      <w:rFonts w:ascii="Times New Roman" w:hAnsi="Times New Roman" w:eastAsia="宋体" w:cs="Times New Roman"/>
                      <w:color w:val="auto"/>
                      <w:sz w:val="21"/>
                    </w:rPr>
                    <w:t>监测日期</w:t>
                  </w:r>
                </w:p>
              </w:tc>
              <w:tc>
                <w:tcPr>
                  <w:tcW w:w="1170"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监测点位</w:t>
                  </w:r>
                </w:p>
              </w:tc>
              <w:tc>
                <w:tcPr>
                  <w:tcW w:w="3855" w:type="dxa"/>
                  <w:gridSpan w:val="3"/>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检测结果dB(A)</w:t>
                  </w:r>
                </w:p>
              </w:tc>
              <w:tc>
                <w:tcPr>
                  <w:tcW w:w="930"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w:t>
                  </w:r>
                </w:p>
                <w:p>
                  <w:pPr>
                    <w:widowControl/>
                    <w:tabs>
                      <w:tab w:val="left" w:pos="0"/>
                    </w:tabs>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声源</w:t>
                  </w:r>
                </w:p>
              </w:tc>
              <w:tc>
                <w:tcPr>
                  <w:tcW w:w="1035" w:type="dxa"/>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气象</w:t>
                  </w:r>
                </w:p>
                <w:p>
                  <w:pPr>
                    <w:pStyle w:val="28"/>
                    <w:jc w:val="center"/>
                    <w:rPr>
                      <w:rFonts w:ascii="Times New Roman" w:hAnsi="Times New Roman" w:cs="Times New Roman"/>
                      <w:color w:val="auto"/>
                    </w:rPr>
                  </w:pPr>
                  <w:r>
                    <w:rPr>
                      <w:rFonts w:ascii="Times New Roman" w:hAnsi="Times New Roman" w:cs="Times New Roman"/>
                      <w:color w:val="auto"/>
                      <w:sz w:val="21"/>
                      <w:szCs w:val="21"/>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pStyle w:val="32"/>
                    <w:widowControl/>
                    <w:jc w:val="center"/>
                    <w:rPr>
                      <w:rFonts w:ascii="Times New Roman" w:hAnsi="Times New Roman" w:eastAsia="宋体" w:cs="Times New Roman"/>
                      <w:color w:val="auto"/>
                      <w:sz w:val="21"/>
                    </w:rPr>
                  </w:pPr>
                </w:p>
              </w:tc>
              <w:tc>
                <w:tcPr>
                  <w:tcW w:w="117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314"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测量值</w:t>
                  </w:r>
                </w:p>
              </w:tc>
              <w:tc>
                <w:tcPr>
                  <w:tcW w:w="135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背景值</w:t>
                  </w:r>
                </w:p>
              </w:tc>
              <w:tc>
                <w:tcPr>
                  <w:tcW w:w="1191"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实际值</w:t>
                  </w:r>
                </w:p>
              </w:tc>
              <w:tc>
                <w:tcPr>
                  <w:tcW w:w="930"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auto"/>
                      <w:sz w:val="21"/>
                      <w:szCs w:val="21"/>
                    </w:rPr>
                  </w:pPr>
                </w:p>
              </w:tc>
              <w:tc>
                <w:tcPr>
                  <w:tcW w:w="1035"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187"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2020.</w:t>
                  </w:r>
                  <w:r>
                    <w:rPr>
                      <w:rFonts w:hint="eastAsia" w:ascii="Times New Roman" w:hAnsi="Times New Roman" w:eastAsia="宋体" w:cs="Times New Roman"/>
                      <w:color w:val="auto"/>
                      <w:sz w:val="21"/>
                      <w:szCs w:val="21"/>
                      <w:lang w:val="en-US" w:eastAsia="zh-CN"/>
                    </w:rPr>
                    <w:t>8.5</w:t>
                  </w: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N1</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63.0</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63</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restart"/>
                  <w:tcBorders>
                    <w:tl2br w:val="nil"/>
                    <w:tr2bl w:val="nil"/>
                  </w:tcBorders>
                  <w:vAlign w:val="center"/>
                </w:tcPr>
                <w:p>
                  <w:pPr>
                    <w:pStyle w:val="20"/>
                    <w:widowControl w:val="0"/>
                    <w:ind w:firstLine="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阴</w:t>
                  </w:r>
                  <w:r>
                    <w:rPr>
                      <w:rFonts w:ascii="Times New Roman" w:hAnsi="Times New Roman" w:eastAsia="宋体" w:cs="Times New Roman"/>
                      <w:color w:val="auto"/>
                      <w:sz w:val="21"/>
                      <w:szCs w:val="21"/>
                    </w:rPr>
                    <w:t>，  风速</w:t>
                  </w:r>
                  <w:r>
                    <w:rPr>
                      <w:rFonts w:hint="eastAsia" w:ascii="Times New Roman" w:hAnsi="Times New Roman" w:eastAsia="宋体" w:cs="Times New Roman"/>
                      <w:color w:val="auto"/>
                      <w:sz w:val="21"/>
                      <w:szCs w:val="21"/>
                    </w:rPr>
                    <w:t>1.5</w:t>
                  </w:r>
                  <w:r>
                    <w:rPr>
                      <w:rFonts w:ascii="Times New Roman" w:hAnsi="Times New Roman" w:eastAsia="宋体" w:cs="Times New Roman"/>
                      <w:color w:val="auto"/>
                      <w:sz w:val="21"/>
                      <w:szCs w:val="21"/>
                    </w:rPr>
                    <w:t>m/s</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N2</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57.1</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57</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N3</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62.3</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52</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2020.</w:t>
                  </w: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6</w:t>
                  </w: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N1</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63.8</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64</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晴</w:t>
                  </w:r>
                  <w:r>
                    <w:rPr>
                      <w:rFonts w:ascii="Times New Roman" w:hAnsi="Times New Roman" w:eastAsia="宋体" w:cs="Times New Roman"/>
                      <w:color w:val="auto"/>
                      <w:sz w:val="21"/>
                      <w:szCs w:val="21"/>
                    </w:rPr>
                    <w:t>，  风速</w:t>
                  </w:r>
                  <w:r>
                    <w:rPr>
                      <w:rFonts w:hint="eastAsia" w:ascii="Times New Roman" w:hAnsi="Times New Roman" w:eastAsia="宋体" w:cs="Times New Roman"/>
                      <w:color w:val="auto"/>
                      <w:sz w:val="21"/>
                      <w:szCs w:val="21"/>
                    </w:rPr>
                    <w:t>1.6</w:t>
                  </w:r>
                  <w:r>
                    <w:rPr>
                      <w:rFonts w:ascii="Times New Roman" w:hAnsi="Times New Roman" w:eastAsia="宋体" w:cs="Times New Roman"/>
                      <w:color w:val="auto"/>
                      <w:sz w:val="21"/>
                      <w:szCs w:val="21"/>
                    </w:rPr>
                    <w:t>m/s</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N2</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58.2</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58</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spacing w:line="0" w:lineRule="atLeast"/>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N3</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61.3</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spacing w:line="0" w:lineRule="atLeast"/>
                    <w:jc w:val="center"/>
                    <w:rPr>
                      <w:rFonts w:ascii="Times New Roman" w:hAnsi="Times New Roman" w:eastAsia="宋体" w:cs="Times New Roman"/>
                      <w:color w:val="auto"/>
                      <w:sz w:val="21"/>
                      <w:szCs w:val="21"/>
                    </w:rPr>
                  </w:pPr>
                </w:p>
              </w:tc>
            </w:tr>
          </w:tbl>
          <w:p>
            <w:pPr>
              <w:pStyle w:val="28"/>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由7-</w:t>
            </w:r>
            <w:r>
              <w:rPr>
                <w:rFonts w:hint="eastAsia" w:ascii="Times New Roman" w:hAnsi="Times New Roman" w:cs="Times New Roman"/>
                <w:color w:val="auto"/>
                <w:lang w:val="en-US" w:eastAsia="zh-CN"/>
              </w:rPr>
              <w:t>4</w:t>
            </w:r>
            <w:r>
              <w:rPr>
                <w:rFonts w:ascii="Times New Roman" w:hAnsi="Times New Roman" w:cs="Times New Roman"/>
                <w:color w:val="auto"/>
              </w:rPr>
              <w:t>噪声监测结果可知，本项目噪声排放符合</w:t>
            </w:r>
            <w:r>
              <w:rPr>
                <w:rFonts w:hint="eastAsia" w:ascii="Times New Roman" w:hAnsi="Times New Roman" w:cs="Times New Roman"/>
                <w:color w:val="auto"/>
              </w:rPr>
              <w:t>《工业企业厂界环境噪声排放标准》（GB12348-2008)中的</w:t>
            </w:r>
            <w:r>
              <w:rPr>
                <w:rFonts w:hint="eastAsia" w:ascii="Times New Roman" w:hAnsi="Times New Roman" w:cs="Times New Roman"/>
                <w:color w:val="auto"/>
                <w:lang w:val="en-US" w:eastAsia="zh-CN"/>
              </w:rPr>
              <w:t>3</w:t>
            </w:r>
            <w:r>
              <w:rPr>
                <w:rFonts w:hint="eastAsia" w:ascii="Times New Roman" w:hAnsi="Times New Roman" w:cs="Times New Roman"/>
                <w:color w:val="auto"/>
              </w:rPr>
              <w:t>类标准，即：昼间噪声</w:t>
            </w:r>
            <w:r>
              <w:rPr>
                <w:rFonts w:ascii="Times New Roman" w:hAnsi="Times New Roman" w:cs="Times New Roman"/>
                <w:color w:val="auto"/>
              </w:rPr>
              <w:t>≤</w:t>
            </w:r>
            <w:r>
              <w:rPr>
                <w:rFonts w:hint="eastAsia" w:ascii="Times New Roman" w:hAnsi="Times New Roman" w:cs="Times New Roman"/>
                <w:color w:val="auto"/>
              </w:rPr>
              <w:t>6</w:t>
            </w:r>
            <w:r>
              <w:rPr>
                <w:rFonts w:hint="eastAsia" w:ascii="Times New Roman" w:hAnsi="Times New Roman" w:cs="Times New Roman"/>
                <w:color w:val="auto"/>
                <w:lang w:val="en-US" w:eastAsia="zh-CN"/>
              </w:rPr>
              <w:t>5</w:t>
            </w:r>
            <w:r>
              <w:rPr>
                <w:rFonts w:hint="eastAsia" w:ascii="Times New Roman" w:hAnsi="Times New Roman" w:cs="Times New Roman"/>
                <w:color w:val="auto"/>
              </w:rPr>
              <w:t>，夜间噪声</w:t>
            </w:r>
            <w:r>
              <w:rPr>
                <w:rFonts w:ascii="Times New Roman" w:hAnsi="Times New Roman" w:cs="Times New Roman"/>
                <w:color w:val="auto"/>
              </w:rPr>
              <w:t>≤</w:t>
            </w:r>
            <w:r>
              <w:rPr>
                <w:rFonts w:hint="eastAsia" w:ascii="Times New Roman" w:hAnsi="Times New Roman" w:cs="Times New Roman"/>
                <w:color w:val="auto"/>
              </w:rPr>
              <w:t>5</w:t>
            </w:r>
            <w:r>
              <w:rPr>
                <w:rFonts w:hint="eastAsia" w:ascii="Times New Roman" w:hAnsi="Times New Roman" w:cs="Times New Roman"/>
                <w:color w:val="auto"/>
                <w:lang w:val="en-US" w:eastAsia="zh-CN"/>
              </w:rPr>
              <w:t>5</w:t>
            </w:r>
            <w:r>
              <w:rPr>
                <w:rFonts w:ascii="Times New Roman" w:hAnsi="Times New Roman" w:cs="Times New Roman"/>
                <w:color w:val="auto"/>
              </w:rPr>
              <w:t>。</w:t>
            </w:r>
          </w:p>
          <w:p>
            <w:pPr>
              <w:pStyle w:val="28"/>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left="0" w:leftChars="0" w:firstLine="480" w:firstLineChars="200"/>
              <w:jc w:val="both"/>
              <w:textAlignment w:val="auto"/>
              <w:outlineLvl w:val="9"/>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卫生防护距离</w:t>
            </w:r>
          </w:p>
          <w:p>
            <w:pPr>
              <w:pStyle w:val="20"/>
              <w:widowControl w:val="0"/>
              <w:spacing w:line="360" w:lineRule="auto"/>
              <w:ind w:left="0" w:leftChars="0" w:firstLine="480" w:firstLineChars="200"/>
              <w:jc w:val="both"/>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经过环评测算，本项目卫生防护距离为50m，通过验收现场监测调查，项目周边多为工业企业，最近敏感点为</w:t>
            </w:r>
            <w:r>
              <w:rPr>
                <w:rFonts w:hint="eastAsia" w:ascii="Times New Roman" w:hAnsi="Times New Roman" w:eastAsia="宋体" w:cs="Times New Roman"/>
                <w:color w:val="auto"/>
                <w:sz w:val="24"/>
                <w:szCs w:val="24"/>
                <w:lang w:val="en-US" w:eastAsia="zh-CN" w:bidi="ar-SA"/>
              </w:rPr>
              <w:t>西面200m的零星居户以及南面51m处的碧山食品有限公司</w:t>
            </w:r>
            <w:r>
              <w:rPr>
                <w:rFonts w:hint="default" w:ascii="Times New Roman" w:hAnsi="Times New Roman" w:eastAsia="宋体" w:cs="Times New Roman"/>
                <w:color w:val="auto"/>
                <w:sz w:val="24"/>
                <w:szCs w:val="24"/>
                <w:lang w:val="en-US" w:eastAsia="zh-CN" w:bidi="ar-SA"/>
              </w:rPr>
              <w:t>。因此，生产车间外50m范围内无敏感目标，卫生防护距离可达</w:t>
            </w:r>
            <w:r>
              <w:rPr>
                <w:rFonts w:hint="eastAsia" w:ascii="Times New Roman" w:hAnsi="Times New Roman" w:eastAsia="宋体" w:cs="Times New Roman"/>
                <w:color w:val="auto"/>
                <w:sz w:val="24"/>
                <w:szCs w:val="24"/>
                <w:lang w:val="en-US" w:eastAsia="zh-CN" w:bidi="ar-SA"/>
              </w:rPr>
              <w:t>标</w:t>
            </w:r>
            <w:r>
              <w:rPr>
                <w:rFonts w:hint="default" w:ascii="Times New Roman" w:hAnsi="Times New Roman" w:eastAsia="宋体" w:cs="Times New Roman"/>
                <w:color w:val="auto"/>
                <w:sz w:val="24"/>
                <w:szCs w:val="24"/>
                <w:lang w:val="en-US" w:eastAsia="zh-CN" w:bidi="ar-SA"/>
              </w:rPr>
              <w:t>。</w:t>
            </w:r>
          </w:p>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污染物排放总量核算</w:t>
            </w:r>
          </w:p>
          <w:p>
            <w:pPr>
              <w:pStyle w:val="4"/>
              <w:widowControl w:val="0"/>
              <w:spacing w:line="360" w:lineRule="auto"/>
              <w:ind w:firstLine="480" w:firstLineChars="200"/>
              <w:jc w:val="both"/>
              <w:outlineLvl w:val="0"/>
              <w:rPr>
                <w:rFonts w:hint="default" w:ascii="Times New Roman" w:hAnsi="Times New Roman" w:eastAsia="宋体" w:cs="Times New Roman"/>
                <w:color w:val="0000FF"/>
                <w:lang w:val="en-US" w:eastAsia="zh-CN"/>
              </w:rPr>
            </w:pPr>
            <w:r>
              <w:rPr>
                <w:rFonts w:hint="default" w:ascii="Times New Roman" w:hAnsi="Times New Roman" w:eastAsia="宋体" w:cs="Times New Roman"/>
                <w:b w:val="0"/>
                <w:bCs w:val="0"/>
                <w:color w:val="auto"/>
                <w:kern w:val="0"/>
                <w:sz w:val="24"/>
                <w:szCs w:val="24"/>
                <w:lang w:val="en-US" w:eastAsia="zh-CN" w:bidi="ar-SA"/>
              </w:rPr>
              <w:t>环保竣工验收监测期间</w:t>
            </w:r>
            <w:r>
              <w:rPr>
                <w:rFonts w:hint="eastAsia" w:ascii="Times New Roman" w:hAnsi="Times New Roman" w:eastAsia="宋体" w:cs="Times New Roman"/>
                <w:b w:val="0"/>
                <w:bCs w:val="0"/>
                <w:color w:val="auto"/>
                <w:kern w:val="0"/>
                <w:sz w:val="24"/>
                <w:szCs w:val="24"/>
                <w:lang w:val="en-US" w:eastAsia="zh-CN" w:bidi="ar-SA"/>
              </w:rPr>
              <w:t>，本</w:t>
            </w:r>
            <w:r>
              <w:rPr>
                <w:rFonts w:hint="default" w:ascii="Times New Roman" w:hAnsi="Times New Roman" w:eastAsia="宋体" w:cs="Times New Roman"/>
                <w:b w:val="0"/>
                <w:bCs w:val="0"/>
                <w:color w:val="auto"/>
                <w:kern w:val="0"/>
                <w:sz w:val="24"/>
                <w:szCs w:val="24"/>
                <w:lang w:val="en-US" w:eastAsia="zh-CN" w:bidi="ar-SA"/>
              </w:rPr>
              <w:t>项目</w:t>
            </w:r>
            <w:r>
              <w:rPr>
                <w:rFonts w:hint="eastAsia" w:ascii="Times New Roman" w:hAnsi="Times New Roman" w:eastAsia="宋体" w:cs="Times New Roman"/>
                <w:b w:val="0"/>
                <w:bCs w:val="0"/>
                <w:color w:val="auto"/>
                <w:kern w:val="0"/>
                <w:sz w:val="24"/>
                <w:szCs w:val="24"/>
                <w:lang w:val="en-US" w:eastAsia="zh-CN" w:bidi="ar-SA"/>
              </w:rPr>
              <w:t>外排废水主要为生活污水，生活污水</w:t>
            </w:r>
            <w:r>
              <w:rPr>
                <w:rFonts w:hint="default" w:ascii="Times New Roman" w:hAnsi="Times New Roman" w:eastAsia="宋体" w:cs="Times New Roman"/>
                <w:b w:val="0"/>
                <w:bCs w:val="0"/>
                <w:color w:val="auto"/>
                <w:kern w:val="0"/>
                <w:sz w:val="24"/>
                <w:szCs w:val="24"/>
                <w:lang w:val="en-US" w:eastAsia="zh-CN" w:bidi="ar-SA"/>
              </w:rPr>
              <w:t>经厂区配套化粪池预处理</w:t>
            </w:r>
            <w:r>
              <w:rPr>
                <w:rFonts w:hint="eastAsia" w:ascii="Times New Roman" w:hAnsi="Times New Roman" w:eastAsia="宋体" w:cs="Times New Roman"/>
                <w:b w:val="0"/>
                <w:bCs w:val="0"/>
                <w:color w:val="auto"/>
                <w:kern w:val="0"/>
                <w:sz w:val="24"/>
                <w:szCs w:val="24"/>
                <w:lang w:val="en-US" w:eastAsia="zh-CN" w:bidi="ar-SA"/>
              </w:rPr>
              <w:t>后</w:t>
            </w:r>
            <w:r>
              <w:rPr>
                <w:rFonts w:hint="default" w:ascii="Times New Roman" w:hAnsi="Times New Roman" w:eastAsia="宋体" w:cs="Times New Roman"/>
                <w:b w:val="0"/>
                <w:bCs w:val="0"/>
                <w:color w:val="auto"/>
                <w:kern w:val="0"/>
                <w:sz w:val="24"/>
                <w:szCs w:val="24"/>
                <w:lang w:val="en-US" w:eastAsia="zh-CN" w:bidi="ar-SA"/>
              </w:rPr>
              <w:t>排入市政污水管网，由</w:t>
            </w:r>
            <w:r>
              <w:rPr>
                <w:rFonts w:hint="eastAsia" w:ascii="Times New Roman" w:hAnsi="Times New Roman" w:eastAsia="宋体" w:cs="Times New Roman"/>
                <w:b w:val="0"/>
                <w:bCs w:val="0"/>
                <w:color w:val="auto"/>
                <w:kern w:val="0"/>
                <w:sz w:val="24"/>
                <w:szCs w:val="24"/>
                <w:lang w:val="en-US" w:eastAsia="zh-CN" w:bidi="ar-SA"/>
              </w:rPr>
              <w:t>长泰西区</w:t>
            </w:r>
            <w:r>
              <w:rPr>
                <w:rFonts w:hint="default" w:ascii="Times New Roman" w:hAnsi="Times New Roman" w:eastAsia="宋体" w:cs="Times New Roman"/>
                <w:b w:val="0"/>
                <w:bCs w:val="0"/>
                <w:color w:val="auto"/>
                <w:kern w:val="0"/>
                <w:sz w:val="24"/>
                <w:szCs w:val="24"/>
                <w:lang w:val="en-US" w:eastAsia="zh-CN" w:bidi="ar-SA"/>
              </w:rPr>
              <w:t>污水处理厂处理，</w:t>
            </w:r>
            <w:r>
              <w:rPr>
                <w:rFonts w:hint="eastAsia" w:ascii="Times New Roman" w:hAnsi="Times New Roman" w:eastAsia="宋体" w:cs="Times New Roman"/>
                <w:b w:val="0"/>
                <w:bCs w:val="0"/>
                <w:color w:val="auto"/>
                <w:kern w:val="0"/>
                <w:sz w:val="24"/>
                <w:szCs w:val="24"/>
                <w:lang w:val="en-US" w:eastAsia="zh-CN" w:bidi="ar-SA"/>
              </w:rPr>
              <w:t>因此项目生活污水不需购买相应的排污交易权指标，</w:t>
            </w:r>
            <w:r>
              <w:rPr>
                <w:rFonts w:hint="default" w:ascii="Times New Roman" w:hAnsi="Times New Roman" w:eastAsia="宋体" w:cs="Times New Roman"/>
                <w:b w:val="0"/>
                <w:bCs w:val="0"/>
                <w:color w:val="auto"/>
                <w:kern w:val="0"/>
                <w:sz w:val="24"/>
                <w:szCs w:val="24"/>
                <w:lang w:val="en-US" w:eastAsia="zh-CN" w:bidi="ar-SA"/>
              </w:rPr>
              <w:t>不纳入建设项目主要污染物排放总量指标管理范围</w:t>
            </w:r>
            <w:r>
              <w:rPr>
                <w:rFonts w:hint="eastAsia" w:ascii="Times New Roman" w:hAnsi="Times New Roman" w:eastAsia="宋体" w:cs="Times New Roman"/>
                <w:b w:val="0"/>
                <w:bCs w:val="0"/>
                <w:color w:val="auto"/>
                <w:kern w:val="0"/>
                <w:sz w:val="24"/>
                <w:szCs w:val="24"/>
                <w:lang w:val="en-US" w:eastAsia="zh-CN" w:bidi="ar-SA"/>
              </w:rPr>
              <w:t>。本项目验收期间外排废气主要为吸塑工序产生的无组织废气，这部分废气产生量极小，对周边环境影响不大，故不对此进行总量核算。</w:t>
            </w:r>
          </w:p>
        </w:tc>
      </w:tr>
    </w:tbl>
    <w:p>
      <w:pPr>
        <w:pStyle w:val="4"/>
        <w:rPr>
          <w:rFonts w:ascii="Times New Roman" w:hAnsi="Times New Roman" w:eastAsia="宋体" w:cs="Times New Roman"/>
          <w:color w:val="0000FF"/>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表八</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验收监测结论：</w:t>
            </w:r>
          </w:p>
          <w:p>
            <w:pPr>
              <w:pStyle w:val="28"/>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本次验收针对</w:t>
            </w:r>
            <w:r>
              <w:rPr>
                <w:rFonts w:hint="eastAsia" w:ascii="Times New Roman" w:hAnsi="Times New Roman" w:cs="Times New Roman"/>
                <w:b/>
                <w:bCs/>
                <w:color w:val="auto"/>
                <w:lang w:val="en-US" w:eastAsia="zh-CN"/>
              </w:rPr>
              <w:t>恩仕（长泰）休闲卫浴有限公司浴缸、淋浴房、亚克力板材生产项目</w:t>
            </w:r>
            <w:r>
              <w:rPr>
                <w:rFonts w:ascii="Times New Roman" w:hAnsi="Times New Roman" w:cs="Times New Roman"/>
                <w:b/>
                <w:bCs/>
                <w:color w:val="auto"/>
              </w:rPr>
              <w:t>进行验收。验收期间本项目的性质、规模、地点、生产工艺等均未发生重大改变。故本次验收结论如下：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bookmarkStart w:id="8" w:name="_Toc9522"/>
            <w:r>
              <w:rPr>
                <w:rFonts w:hint="default" w:ascii="Times New Roman" w:hAnsi="Times New Roman" w:eastAsia="宋体" w:cs="Times New Roman"/>
                <w:bCs/>
                <w:color w:val="auto"/>
                <w:sz w:val="24"/>
                <w:szCs w:val="24"/>
                <w:lang w:val="en-US" w:eastAsia="zh-CN"/>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环保竣工验收监测期间，</w:t>
            </w:r>
            <w:r>
              <w:rPr>
                <w:rFonts w:hint="default" w:ascii="Times New Roman" w:hAnsi="Times New Roman" w:eastAsia="宋体" w:cs="Times New Roman"/>
                <w:color w:val="auto"/>
                <w:sz w:val="24"/>
                <w:szCs w:val="24"/>
                <w:lang w:val="en-US" w:eastAsia="zh-CN"/>
              </w:rPr>
              <w:t>废水处理设施排放口个各污染物排放浓度为：pH值：pH范围值为</w:t>
            </w:r>
            <w:r>
              <w:rPr>
                <w:rFonts w:hint="eastAsia" w:ascii="Times New Roman" w:hAnsi="Times New Roman" w:eastAsia="宋体" w:cs="Times New Roman"/>
                <w:color w:val="auto"/>
                <w:sz w:val="24"/>
                <w:szCs w:val="24"/>
                <w:lang w:val="en-US" w:eastAsia="zh-CN"/>
              </w:rPr>
              <w:t>6.50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7.16</w:t>
            </w:r>
            <w:r>
              <w:rPr>
                <w:rFonts w:hint="default" w:ascii="Times New Roman" w:hAnsi="Times New Roman" w:eastAsia="宋体" w:cs="Times New Roman"/>
                <w:color w:val="auto"/>
                <w:sz w:val="24"/>
                <w:szCs w:val="24"/>
                <w:lang w:val="en-US" w:eastAsia="zh-CN"/>
              </w:rPr>
              <w:t>；COD：排放浓度范围</w:t>
            </w:r>
            <w:r>
              <w:rPr>
                <w:rFonts w:hint="eastAsia" w:ascii="Times New Roman" w:hAnsi="Times New Roman" w:eastAsia="宋体" w:cs="Times New Roman"/>
                <w:color w:val="auto"/>
                <w:sz w:val="24"/>
                <w:szCs w:val="24"/>
                <w:lang w:val="en-US" w:eastAsia="zh-CN"/>
              </w:rPr>
              <w:t>98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116</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109</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107.67</w:t>
            </w:r>
            <w:r>
              <w:rPr>
                <w:rFonts w:hint="default" w:ascii="Times New Roman" w:hAnsi="Times New Roman" w:eastAsia="宋体" w:cs="Times New Roman"/>
                <w:color w:val="auto"/>
                <w:sz w:val="24"/>
                <w:szCs w:val="24"/>
                <w:lang w:val="en-US" w:eastAsia="zh-CN"/>
              </w:rPr>
              <w:t>mg/L；BOD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：排放浓度范围</w:t>
            </w:r>
            <w:r>
              <w:rPr>
                <w:rFonts w:hint="eastAsia" w:ascii="Times New Roman" w:hAnsi="Times New Roman" w:eastAsia="宋体" w:cs="Times New Roman"/>
                <w:color w:val="auto"/>
                <w:sz w:val="24"/>
                <w:szCs w:val="24"/>
                <w:lang w:val="en-US" w:eastAsia="zh-CN"/>
              </w:rPr>
              <w:t>32.1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34.2</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33.17</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33.07</w:t>
            </w:r>
            <w:r>
              <w:rPr>
                <w:rFonts w:hint="default" w:ascii="Times New Roman" w:hAnsi="Times New Roman" w:eastAsia="宋体" w:cs="Times New Roman"/>
                <w:color w:val="auto"/>
                <w:sz w:val="24"/>
                <w:szCs w:val="24"/>
                <w:lang w:val="en-US" w:eastAsia="zh-CN"/>
              </w:rPr>
              <w:t>mg/L；SS</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排放浓度范围</w:t>
            </w:r>
            <w:r>
              <w:rPr>
                <w:rFonts w:hint="eastAsia" w:ascii="Times New Roman" w:hAnsi="Times New Roman" w:eastAsia="宋体" w:cs="Times New Roman"/>
                <w:color w:val="auto"/>
                <w:sz w:val="24"/>
                <w:szCs w:val="24"/>
                <w:lang w:val="en-US" w:eastAsia="zh-CN"/>
              </w:rPr>
              <w:t>97</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116</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104.33</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104.67</w:t>
            </w:r>
            <w:r>
              <w:rPr>
                <w:rFonts w:hint="default" w:ascii="Times New Roman" w:hAnsi="Times New Roman" w:eastAsia="宋体" w:cs="Times New Roman"/>
                <w:color w:val="auto"/>
                <w:sz w:val="24"/>
                <w:szCs w:val="24"/>
                <w:lang w:val="en-US" w:eastAsia="zh-CN"/>
              </w:rPr>
              <w:t>mg/L</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氨氮</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排放浓度范围</w:t>
            </w:r>
            <w:r>
              <w:rPr>
                <w:rFonts w:hint="eastAsia" w:ascii="Times New Roman" w:hAnsi="Times New Roman" w:eastAsia="宋体" w:cs="Times New Roman"/>
                <w:color w:val="auto"/>
                <w:sz w:val="24"/>
                <w:szCs w:val="24"/>
                <w:lang w:val="en-US" w:eastAsia="zh-CN"/>
              </w:rPr>
              <w:t>19.1</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20.0</w:t>
            </w:r>
            <w:r>
              <w:rPr>
                <w:rFonts w:hint="default" w:ascii="Times New Roman" w:hAnsi="Times New Roman" w:eastAsia="宋体" w:cs="Times New Roman"/>
                <w:color w:val="auto"/>
                <w:sz w:val="24"/>
                <w:szCs w:val="24"/>
                <w:lang w:val="en-US" w:eastAsia="zh-CN"/>
              </w:rPr>
              <w:t>mg/L，平均值为</w:t>
            </w:r>
            <w:r>
              <w:rPr>
                <w:rFonts w:hint="eastAsia" w:ascii="Times New Roman" w:hAnsi="Times New Roman" w:eastAsia="宋体" w:cs="Times New Roman"/>
                <w:color w:val="auto"/>
                <w:sz w:val="24"/>
                <w:szCs w:val="24"/>
                <w:lang w:val="en-US" w:eastAsia="zh-CN"/>
              </w:rPr>
              <w:t>19.4</w:t>
            </w:r>
            <w:r>
              <w:rPr>
                <w:rFonts w:hint="default" w:ascii="Times New Roman" w:hAnsi="Times New Roman" w:eastAsia="宋体" w:cs="Times New Roman"/>
                <w:color w:val="auto"/>
                <w:sz w:val="24"/>
                <w:szCs w:val="24"/>
                <w:lang w:val="en-US" w:eastAsia="zh-CN"/>
              </w:rPr>
              <w:t>mg/L和</w:t>
            </w:r>
            <w:r>
              <w:rPr>
                <w:rFonts w:hint="eastAsia" w:ascii="Times New Roman" w:hAnsi="Times New Roman" w:eastAsia="宋体" w:cs="Times New Roman"/>
                <w:color w:val="auto"/>
                <w:sz w:val="24"/>
                <w:szCs w:val="24"/>
                <w:lang w:val="en-US" w:eastAsia="zh-CN"/>
              </w:rPr>
              <w:t>19.8</w:t>
            </w:r>
            <w:r>
              <w:rPr>
                <w:rFonts w:hint="default" w:ascii="Times New Roman" w:hAnsi="Times New Roman" w:eastAsia="宋体" w:cs="Times New Roman"/>
                <w:color w:val="auto"/>
                <w:sz w:val="24"/>
                <w:szCs w:val="24"/>
                <w:lang w:val="en-US" w:eastAsia="zh-CN"/>
              </w:rPr>
              <w:t>mg/L</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bCs/>
                <w:color w:val="auto"/>
                <w:sz w:val="24"/>
                <w:szCs w:val="24"/>
                <w:lang w:val="en-US" w:eastAsia="zh-CN"/>
              </w:rPr>
              <w:t>本项目废水处理设施排放口pH、SS、COD、BOD5排放浓度满足GB8978-1996《污水综合排放标准》表4</w:t>
            </w:r>
            <w:r>
              <w:rPr>
                <w:rFonts w:hint="eastAsia" w:ascii="Times New Roman" w:hAnsi="Times New Roman" w:eastAsia="宋体" w:cs="Times New Roman"/>
                <w:bCs/>
                <w:color w:val="auto"/>
                <w:sz w:val="24"/>
                <w:szCs w:val="24"/>
                <w:lang w:val="en-US" w:eastAsia="zh-CN"/>
              </w:rPr>
              <w:t>三</w:t>
            </w:r>
            <w:r>
              <w:rPr>
                <w:rFonts w:hint="default" w:ascii="Times New Roman" w:hAnsi="Times New Roman" w:eastAsia="宋体" w:cs="Times New Roman"/>
                <w:bCs/>
                <w:color w:val="auto"/>
                <w:sz w:val="24"/>
                <w:szCs w:val="24"/>
                <w:lang w:val="en-US" w:eastAsia="zh-CN"/>
              </w:rPr>
              <w:t>级排放标准</w:t>
            </w:r>
            <w:r>
              <w:rPr>
                <w:rFonts w:hint="eastAsia" w:ascii="Times New Roman" w:hAnsi="Times New Roman" w:eastAsia="宋体" w:cs="Times New Roman"/>
                <w:bCs/>
                <w:color w:val="auto"/>
                <w:sz w:val="24"/>
                <w:szCs w:val="24"/>
                <w:lang w:val="en-US" w:eastAsia="zh-CN"/>
              </w:rPr>
              <w:t>，氨氮排放浓度符合污水排入城镇下水道标准和长泰西区污水处理厂进水标准。</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（2）废气</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bCs/>
                <w:color w:val="auto"/>
                <w:sz w:val="24"/>
                <w:szCs w:val="24"/>
              </w:rPr>
              <w:t>本</w:t>
            </w:r>
            <w:r>
              <w:rPr>
                <w:rFonts w:hint="default" w:ascii="Times New Roman" w:hAnsi="Times New Roman" w:eastAsia="宋体" w:cs="Times New Roman"/>
                <w:bCs/>
                <w:color w:val="auto"/>
                <w:sz w:val="24"/>
                <w:szCs w:val="24"/>
              </w:rPr>
              <w:t>项目</w:t>
            </w:r>
            <w:r>
              <w:rPr>
                <w:rFonts w:hint="eastAsia" w:ascii="Times New Roman" w:hAnsi="Times New Roman" w:eastAsia="宋体" w:cs="Times New Roman"/>
                <w:bCs/>
                <w:color w:val="auto"/>
                <w:sz w:val="24"/>
                <w:szCs w:val="24"/>
              </w:rPr>
              <w:t>无组织废气</w:t>
            </w:r>
            <w:r>
              <w:rPr>
                <w:rFonts w:hint="eastAsia" w:ascii="Times New Roman" w:hAnsi="Times New Roman" w:eastAsia="宋体" w:cs="Times New Roman"/>
                <w:bCs/>
                <w:color w:val="auto"/>
                <w:sz w:val="24"/>
                <w:szCs w:val="24"/>
                <w:lang w:val="en-US" w:eastAsia="zh-CN"/>
              </w:rPr>
              <w:t>颗粒物</w:t>
            </w:r>
            <w:r>
              <w:rPr>
                <w:rFonts w:hint="eastAsia" w:ascii="Times New Roman" w:hAnsi="Times New Roman" w:eastAsia="宋体" w:cs="Times New Roman"/>
                <w:bCs/>
                <w:color w:val="auto"/>
                <w:sz w:val="24"/>
                <w:szCs w:val="24"/>
              </w:rPr>
              <w:t>排放满足GB16297-1996《大气污染物综合排放标准》</w:t>
            </w:r>
            <w:r>
              <w:rPr>
                <w:rFonts w:hint="default" w:ascii="Times New Roman" w:hAnsi="Times New Roman" w:eastAsia="宋体" w:cs="Times New Roman"/>
                <w:bCs/>
                <w:color w:val="auto"/>
                <w:sz w:val="24"/>
                <w:szCs w:val="24"/>
              </w:rPr>
              <w:t>无组织排放监控浓度限值要求</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非甲烷总烃排放满足DB35/1782-2018《工业企业挥发性有机物排放标准》中的表3标准。</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bCs/>
                <w:color w:val="auto"/>
                <w:sz w:val="24"/>
                <w:szCs w:val="24"/>
                <w:lang w:val="en-US" w:eastAsia="zh-CN"/>
              </w:rPr>
              <w:t>本</w:t>
            </w:r>
            <w:r>
              <w:rPr>
                <w:rFonts w:hint="default" w:ascii="Times New Roman" w:hAnsi="Times New Roman" w:eastAsia="宋体" w:cs="Times New Roman"/>
                <w:bCs/>
                <w:color w:val="auto"/>
                <w:sz w:val="24"/>
                <w:szCs w:val="24"/>
              </w:rPr>
              <w:t>项目噪声符合</w:t>
            </w:r>
            <w:r>
              <w:rPr>
                <w:rFonts w:hint="default" w:ascii="Times New Roman" w:hAnsi="Times New Roman" w:eastAsia="宋体" w:cs="Times New Roman"/>
                <w:bCs/>
                <w:color w:val="auto"/>
                <w:sz w:val="24"/>
                <w:szCs w:val="24"/>
                <w:lang w:val="en-US" w:eastAsia="zh-CN"/>
              </w:rPr>
              <w:t>《工业企业厂界环境噪声排放标准》（GB12348-2008）的</w:t>
            </w: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类标准</w:t>
            </w:r>
            <w:r>
              <w:rPr>
                <w:rFonts w:hint="eastAsia" w:ascii="Times New Roman" w:hAnsi="Times New Roman" w:eastAsia="宋体" w:cs="Times New Roman"/>
                <w:bCs/>
                <w:color w:val="auto"/>
                <w:sz w:val="24"/>
                <w:szCs w:val="24"/>
                <w:lang w:val="en-US" w:eastAsia="zh-CN"/>
              </w:rPr>
              <w:t>，即昼间≤65</w:t>
            </w:r>
            <w:r>
              <w:rPr>
                <w:rFonts w:hint="eastAsia" w:ascii="Times New Roman" w:hAnsi="Times New Roman" w:eastAsia="宋体" w:cs="Times New Roman"/>
                <w:bCs/>
                <w:color w:val="auto"/>
                <w:sz w:val="24"/>
                <w:szCs w:val="24"/>
              </w:rPr>
              <w:t>dB(A)</w:t>
            </w:r>
            <w:r>
              <w:rPr>
                <w:rFonts w:hint="eastAsia" w:ascii="Times New Roman" w:hAnsi="Times New Roman" w:eastAsia="宋体" w:cs="Times New Roman"/>
                <w:bCs/>
                <w:color w:val="auto"/>
                <w:sz w:val="24"/>
                <w:szCs w:val="24"/>
                <w:lang w:val="en-US" w:eastAsia="zh-CN"/>
              </w:rPr>
              <w:t>，夜间≤55</w:t>
            </w:r>
            <w:r>
              <w:rPr>
                <w:rFonts w:hint="eastAsia" w:ascii="Times New Roman" w:hAnsi="Times New Roman" w:eastAsia="宋体" w:cs="Times New Roman"/>
                <w:bCs/>
                <w:color w:val="auto"/>
                <w:sz w:val="24"/>
                <w:szCs w:val="24"/>
              </w:rPr>
              <w:t>dB(A)</w:t>
            </w:r>
            <w:r>
              <w:rPr>
                <w:rFonts w:hint="default" w:ascii="Times New Roman" w:hAnsi="Times New Roman" w:eastAsia="宋体" w:cs="Times New Roman"/>
                <w:bCs/>
                <w:color w:val="auto"/>
                <w:sz w:val="24"/>
                <w:szCs w:val="24"/>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（4）固废</w:t>
            </w:r>
          </w:p>
          <w:p>
            <w:pPr>
              <w:widowControl/>
              <w:spacing w:line="360" w:lineRule="auto"/>
              <w:ind w:firstLine="480" w:firstLineChars="200"/>
              <w:jc w:val="both"/>
              <w:rPr>
                <w:rFonts w:hint="eastAsia"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color w:val="auto"/>
                <w:sz w:val="24"/>
                <w:lang w:val="en-US" w:eastAsia="zh-CN"/>
              </w:rPr>
              <w:t>本项目主要固体废物为边角料和残次品以及生活垃圾。① 生活垃圾：项目运营期生活垃圾产生量为13</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 xml:space="preserve">。生活垃圾集中收集后统一由环卫部门处置，对项目周边影响小。 </w:t>
            </w:r>
            <w:r>
              <w:rPr>
                <w:rFonts w:hint="default" w:ascii="Times New Roman" w:hAnsi="Times New Roman" w:eastAsia="宋体" w:cs="Times New Roman"/>
                <w:color w:val="auto"/>
                <w:sz w:val="24"/>
                <w:lang w:val="en-US" w:eastAsia="zh-CN"/>
              </w:rPr>
              <w:t xml:space="preserve">② </w:t>
            </w:r>
            <w:r>
              <w:rPr>
                <w:rFonts w:hint="eastAsia" w:ascii="Times New Roman" w:hAnsi="Times New Roman" w:eastAsia="宋体" w:cs="Times New Roman"/>
                <w:color w:val="auto"/>
                <w:sz w:val="24"/>
                <w:lang w:val="en-US" w:eastAsia="zh-CN"/>
              </w:rPr>
              <w:t>边角料和残次品：项目裁切工艺、试水试电以及撞击检测工序产生的边角料和残次品产生量为5t/a，分类收集后，大部分直接回用于吸塑工序，无法回用于生产的则出售给相关废品回收单位。</w:t>
            </w:r>
          </w:p>
          <w:bookmarkEnd w:id="8"/>
          <w:p>
            <w:pPr>
              <w:pStyle w:val="28"/>
              <w:spacing w:line="360" w:lineRule="auto"/>
              <w:ind w:firstLine="480" w:firstLineChars="200"/>
              <w:jc w:val="both"/>
              <w:rPr>
                <w:rFonts w:hint="eastAsia" w:ascii="Times New Roman" w:hAnsi="Times New Roman" w:eastAsia="宋体" w:cs="Times New Roman"/>
                <w:color w:val="auto"/>
                <w:lang w:val="en-US" w:eastAsia="zh-CN"/>
              </w:rPr>
            </w:pPr>
            <w:r>
              <w:rPr>
                <w:rFonts w:hint="eastAsia" w:ascii="Times New Roman" w:hAnsi="Times New Roman" w:cs="Times New Roman"/>
                <w:color w:val="auto"/>
              </w:rPr>
              <w:t>（</w:t>
            </w:r>
            <w:r>
              <w:rPr>
                <w:rFonts w:hint="eastAsia" w:ascii="Times New Roman" w:hAnsi="Times New Roman" w:cs="Times New Roman"/>
                <w:color w:val="auto"/>
                <w:lang w:val="en-US" w:eastAsia="zh-CN"/>
              </w:rPr>
              <w:t>5</w:t>
            </w:r>
            <w:r>
              <w:rPr>
                <w:rFonts w:hint="eastAsia" w:ascii="Times New Roman" w:hAnsi="Times New Roman" w:cs="Times New Roman"/>
                <w:color w:val="auto"/>
              </w:rPr>
              <w:t>）</w:t>
            </w:r>
            <w:r>
              <w:rPr>
                <w:rFonts w:hint="eastAsia" w:ascii="Times New Roman" w:hAnsi="Times New Roman" w:cs="Times New Roman"/>
                <w:color w:val="auto"/>
                <w:lang w:val="en-US" w:eastAsia="zh-CN"/>
              </w:rPr>
              <w:t>卫生防护距离</w:t>
            </w:r>
          </w:p>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经过环评测算，本项目卫生防护距离为50m，通过验收现场监测调查，项目周边多为工业企业，最近敏感点为</w:t>
            </w:r>
            <w:r>
              <w:rPr>
                <w:rFonts w:hint="eastAsia" w:ascii="Times New Roman" w:hAnsi="Times New Roman" w:eastAsia="宋体" w:cs="Times New Roman"/>
                <w:color w:val="auto"/>
                <w:sz w:val="24"/>
                <w:szCs w:val="24"/>
                <w:lang w:val="en-US" w:eastAsia="zh-CN" w:bidi="ar-SA"/>
              </w:rPr>
              <w:t>西面200m的零星居户以及南面51m处的碧山食品有限公司</w:t>
            </w:r>
            <w:r>
              <w:rPr>
                <w:rFonts w:hint="default" w:ascii="Times New Roman" w:hAnsi="Times New Roman" w:eastAsia="宋体" w:cs="Times New Roman"/>
                <w:color w:val="auto"/>
                <w:sz w:val="24"/>
                <w:szCs w:val="24"/>
                <w:lang w:val="en-US" w:eastAsia="zh-CN" w:bidi="ar-SA"/>
              </w:rPr>
              <w:t>。因此，生产车间外50m范围内无敏感目标，卫生防护距离可达</w:t>
            </w:r>
            <w:r>
              <w:rPr>
                <w:rFonts w:hint="eastAsia" w:ascii="Times New Roman" w:hAnsi="Times New Roman" w:eastAsia="宋体" w:cs="Times New Roman"/>
                <w:color w:val="auto"/>
                <w:sz w:val="24"/>
                <w:szCs w:val="24"/>
                <w:lang w:val="en-US" w:eastAsia="zh-CN" w:bidi="ar-SA"/>
              </w:rPr>
              <w:t>标</w:t>
            </w:r>
            <w:r>
              <w:rPr>
                <w:rFonts w:hint="default" w:ascii="Times New Roman" w:hAnsi="Times New Roman" w:eastAsia="宋体" w:cs="Times New Roman"/>
                <w:color w:val="auto"/>
                <w:sz w:val="24"/>
                <w:szCs w:val="24"/>
                <w:lang w:val="en-US" w:eastAsia="zh-CN" w:bidi="ar-SA"/>
              </w:rPr>
              <w:t>。</w:t>
            </w:r>
          </w:p>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污染物排放总量核算</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48" w:firstLineChars="200"/>
              <w:jc w:val="both"/>
              <w:textAlignment w:val="auto"/>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本</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项目</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外排废水主要为生活污水，生活污水</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经厂区配套化粪池预处理</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后</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排入市政污水管网，由</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长泰西区</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污水处理厂处理，</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因此项目生活污水不需购买相应的排污交易权指标，</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不纳入建设项目主要污染物排放总量指标管理范围</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。本项目验收期间外排废气主要为吸塑工序产生的无组织废气，这部分废气产生量极小，对周边环境影响不大，故不对此进行总量核算</w:t>
            </w:r>
            <w:r>
              <w:rPr>
                <w:rFonts w:hint="eastAsia" w:ascii="Times New Roman" w:hAnsi="Times New Roman" w:eastAsia="宋体" w:cs="Times New Roman"/>
                <w:color w:val="000000" w:themeColor="text1"/>
                <w:sz w:val="24"/>
                <w:lang w:eastAsia="zh-CN"/>
                <w14:textFill>
                  <w14:solidFill>
                    <w14:schemeClr w14:val="tx1"/>
                  </w14:solidFill>
                </w14:textFill>
              </w:rPr>
              <w:t>。</w:t>
            </w:r>
          </w:p>
          <w:p>
            <w:pPr>
              <w:pStyle w:val="20"/>
              <w:widowControl w:val="0"/>
              <w:spacing w:line="360" w:lineRule="auto"/>
              <w:ind w:left="0" w:leftChars="0" w:firstLine="480" w:firstLineChars="200"/>
              <w:jc w:val="both"/>
              <w:rPr>
                <w:rFonts w:ascii="Times New Roman" w:hAnsi="Times New Roman" w:eastAsia="宋体" w:cs="Times New Roman"/>
                <w:bCs/>
                <w:color w:val="0000FF"/>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后续要求：</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验收结论：</w:t>
            </w:r>
          </w:p>
          <w:p>
            <w:pPr>
              <w:pStyle w:val="28"/>
              <w:spacing w:line="360" w:lineRule="auto"/>
              <w:ind w:firstLine="482" w:firstLineChars="200"/>
              <w:jc w:val="both"/>
              <w:rPr>
                <w:rFonts w:ascii="Times New Roman" w:hAnsi="Times New Roman" w:cs="Times New Roman"/>
                <w:color w:val="auto"/>
                <w:sz w:val="21"/>
                <w:szCs w:val="21"/>
              </w:rPr>
            </w:pPr>
            <w:r>
              <w:rPr>
                <w:rFonts w:ascii="Times New Roman" w:hAnsi="Times New Roman" w:cs="Times New Roman"/>
                <w:b/>
                <w:bCs/>
                <w:color w:val="auto"/>
              </w:rPr>
              <w:t>根据验收监测报告及现场踏看结果，</w:t>
            </w:r>
            <w:r>
              <w:rPr>
                <w:rFonts w:hint="eastAsia" w:ascii="Times New Roman" w:hAnsi="Times New Roman" w:cs="Times New Roman"/>
                <w:b/>
                <w:bCs/>
                <w:color w:val="auto"/>
                <w:lang w:val="en-US" w:eastAsia="zh-CN"/>
              </w:rPr>
              <w:t>恩仕（长泰）休闲卫浴有限公司浴缸、淋浴房、亚克力板材生产项目</w:t>
            </w:r>
            <w:r>
              <w:rPr>
                <w:rFonts w:ascii="Times New Roman" w:hAnsi="Times New Roman" w:cs="Times New Roman"/>
                <w:b/>
                <w:bCs/>
                <w:color w:val="auto"/>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auto"/>
              </w:rPr>
              <w:t>。</w:t>
            </w:r>
          </w:p>
          <w:p>
            <w:pPr>
              <w:pStyle w:val="28"/>
              <w:spacing w:line="360" w:lineRule="auto"/>
              <w:jc w:val="right"/>
              <w:rPr>
                <w:rFonts w:ascii="Times New Roman" w:hAnsi="Times New Roman" w:cs="Times New Roman"/>
                <w:color w:val="0000FF"/>
                <w:sz w:val="21"/>
                <w:szCs w:val="21"/>
              </w:rPr>
            </w:pPr>
          </w:p>
        </w:tc>
      </w:tr>
    </w:tbl>
    <w:p>
      <w:pPr>
        <w:pStyle w:val="28"/>
        <w:rPr>
          <w:rFonts w:ascii="Times New Roman" w:hAnsi="Times New Roman" w:cs="Times New Roman"/>
          <w:color w:val="0000FF"/>
        </w:rPr>
        <w:sectPr>
          <w:pgSz w:w="11906" w:h="16838"/>
          <w:pgMar w:top="1440" w:right="1440" w:bottom="1440" w:left="1701" w:header="709" w:footer="709" w:gutter="0"/>
          <w:cols w:space="0" w:num="1"/>
          <w:docGrid w:linePitch="312" w:charSpace="0"/>
        </w:sectPr>
      </w:pPr>
    </w:p>
    <w:tbl>
      <w:tblPr>
        <w:tblStyle w:val="21"/>
        <w:tblpPr w:leftFromText="180" w:rightFromText="180" w:vertAnchor="page" w:horzAnchor="page" w:tblpXSpec="center" w:tblpY="843"/>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265"/>
        <w:gridCol w:w="1132"/>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jc w:val="center"/>
              <w:textAlignment w:val="center"/>
              <w:rPr>
                <w:rFonts w:ascii="Times New Roman" w:hAnsi="Times New Roman" w:eastAsia="宋体" w:cs="Times New Roman"/>
                <w:b/>
                <w:color w:val="auto"/>
                <w:sz w:val="18"/>
                <w:szCs w:val="18"/>
              </w:rPr>
            </w:pPr>
            <w:r>
              <w:rPr>
                <w:rFonts w:ascii="Times New Roman" w:hAnsi="Times New Roman" w:eastAsia="宋体" w:cs="Times New Roman"/>
                <w:b/>
                <w:color w:val="auto"/>
                <w:sz w:val="18"/>
                <w:szCs w:val="18"/>
              </w:rPr>
              <w:t>建设项目工程竣工环境保护“三同时”验收登记表</w:t>
            </w:r>
          </w:p>
          <w:p>
            <w:pPr>
              <w:autoSpaceDN w:val="0"/>
              <w:ind w:firstLine="720" w:firstLineChars="400"/>
              <w:jc w:val="both"/>
              <w:textAlignment w:val="center"/>
              <w:rPr>
                <w:rFonts w:ascii="Times New Roman" w:hAnsi="Times New Roman" w:eastAsia="宋体" w:cs="Times New Roman"/>
                <w:b/>
                <w:color w:val="auto"/>
                <w:sz w:val="18"/>
                <w:szCs w:val="18"/>
              </w:rPr>
            </w:pPr>
            <w:r>
              <w:rPr>
                <w:rFonts w:ascii="Times New Roman" w:hAnsi="Times New Roman" w:eastAsia="宋体" w:cs="Times New Roman"/>
                <w:color w:val="auto"/>
                <w:sz w:val="18"/>
                <w:szCs w:val="18"/>
              </w:rPr>
              <w:t>填表单位（盖章）：</w:t>
            </w:r>
            <w:r>
              <w:rPr>
                <w:rFonts w:hint="eastAsia" w:ascii="Times New Roman" w:hAnsi="Times New Roman" w:eastAsia="宋体" w:cs="Times New Roman"/>
                <w:color w:val="auto"/>
                <w:sz w:val="18"/>
                <w:szCs w:val="18"/>
                <w:lang w:val="en-US" w:eastAsia="zh-CN"/>
              </w:rPr>
              <w:t>恩仕（长泰）休闲卫浴有限公司</w:t>
            </w:r>
            <w:r>
              <w:rPr>
                <w:rFonts w:ascii="Times New Roman" w:hAnsi="Times New Roman" w:eastAsia="宋体" w:cs="Times New Roman"/>
                <w:color w:val="auto"/>
                <w:sz w:val="18"/>
                <w:szCs w:val="18"/>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auto"/>
                <w:sz w:val="18"/>
                <w:szCs w:val="18"/>
                <w:shd w:val="clear" w:color="auto" w:fill="C0C0C0"/>
              </w:rPr>
            </w:pPr>
            <w:r>
              <w:rPr>
                <w:rFonts w:ascii="Times New Roman" w:hAnsi="Times New Roman" w:eastAsia="宋体" w:cs="Times New Roman"/>
                <w:color w:val="auto"/>
                <w:sz w:val="18"/>
                <w:szCs w:val="18"/>
                <w:shd w:val="solid" w:color="FFFFFF" w:themeColor="background1" w:fill="FFFFFF" w:themeFill="background1"/>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年产浴缸60000套、淋浴盆20000套、淋浴房18000套</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长泰</w:t>
            </w:r>
            <w:r>
              <w:rPr>
                <w:rFonts w:hint="eastAsia" w:ascii="Times New Roman" w:hAnsi="Times New Roman" w:eastAsia="宋体" w:cs="Times New Roman"/>
                <w:color w:val="auto"/>
                <w:sz w:val="18"/>
                <w:szCs w:val="18"/>
                <w:lang w:val="en-US" w:eastAsia="zh-CN"/>
              </w:rPr>
              <w:t>经济开发区古农泰坤工业园</w:t>
            </w:r>
          </w:p>
        </w:tc>
      </w:tr>
      <w:tr>
        <w:tblPrEx>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C2927日用塑料制品制造</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 xml:space="preserve">  新建√   改扩建    技术改造    </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5"/>
              <w:spacing w:line="240" w:lineRule="auto"/>
              <w:jc w:val="center"/>
              <w:rPr>
                <w:rFonts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浴缸60000套、淋浴盆20000套、淋浴房18000套</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总规模</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5"/>
              <w:spacing w:line="240" w:lineRule="auto"/>
              <w:jc w:val="center"/>
              <w:rPr>
                <w:rFonts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浴缸60000套、淋浴盆20000套、淋浴房18000套</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浙江商达环保</w:t>
            </w:r>
            <w:r>
              <w:rPr>
                <w:rFonts w:ascii="Times New Roman" w:hAnsi="Times New Roman" w:eastAsia="宋体" w:cs="Times New Roman"/>
                <w:color w:val="auto"/>
                <w:sz w:val="18"/>
                <w:szCs w:val="18"/>
              </w:rPr>
              <w:t>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漳州市长泰</w:t>
            </w:r>
            <w:r>
              <w:rPr>
                <w:rFonts w:hint="eastAsia" w:ascii="Times New Roman" w:hAnsi="Times New Roman" w:eastAsia="宋体" w:cs="Times New Roman"/>
                <w:color w:val="auto"/>
                <w:sz w:val="18"/>
                <w:szCs w:val="18"/>
              </w:rPr>
              <w:t>生态环境</w:t>
            </w:r>
            <w:r>
              <w:rPr>
                <w:rFonts w:ascii="Times New Roman" w:hAnsi="Times New Roman" w:eastAsia="宋体" w:cs="Times New Roman"/>
                <w:color w:val="auto"/>
                <w:sz w:val="18"/>
                <w:szCs w:val="18"/>
              </w:rPr>
              <w:t>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审批文号</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vertAlign w:val="baseline"/>
                <w:lang w:val="en-US" w:eastAsia="zh-CN"/>
              </w:rPr>
              <w:t>泰环审【2013】2号</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报告表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w:t>
            </w:r>
            <w:r>
              <w:rPr>
                <w:rFonts w:hint="eastAsia" w:ascii="Times New Roman" w:hAnsi="Times New Roman" w:eastAsia="宋体" w:cs="Times New Roman"/>
                <w:color w:val="auto"/>
                <w:sz w:val="18"/>
                <w:szCs w:val="18"/>
                <w:lang w:val="en-US" w:eastAsia="zh-CN"/>
              </w:rPr>
              <w:t>13</w:t>
            </w:r>
            <w:r>
              <w:rPr>
                <w:rFonts w:ascii="Times New Roman" w:hAnsi="Times New Roman" w:eastAsia="宋体" w:cs="Times New Roman"/>
                <w:color w:val="auto"/>
                <w:sz w:val="18"/>
                <w:szCs w:val="18"/>
              </w:rPr>
              <w:t>年</w:t>
            </w:r>
            <w:r>
              <w:rPr>
                <w:rFonts w:hint="eastAsia" w:ascii="Times New Roman" w:hAnsi="Times New Roman" w:eastAsia="宋体" w:cs="Times New Roman"/>
                <w:color w:val="auto"/>
                <w:sz w:val="18"/>
                <w:szCs w:val="18"/>
                <w:lang w:val="en-US" w:eastAsia="zh-CN"/>
              </w:rPr>
              <w:t>1</w:t>
            </w:r>
            <w:r>
              <w:rPr>
                <w:rFonts w:ascii="Times New Roman" w:hAnsi="Times New Roman" w:eastAsia="宋体" w:cs="Times New Roman"/>
                <w:color w:val="auto"/>
                <w:sz w:val="18"/>
                <w:szCs w:val="18"/>
              </w:rPr>
              <w:t>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竣工日期</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w:t>
            </w:r>
            <w:r>
              <w:rPr>
                <w:rFonts w:hint="eastAsia" w:ascii="Times New Roman" w:hAnsi="Times New Roman" w:eastAsia="宋体" w:cs="Times New Roman"/>
                <w:color w:val="auto"/>
                <w:sz w:val="18"/>
                <w:szCs w:val="18"/>
                <w:lang w:val="en-US" w:eastAsia="zh-CN"/>
              </w:rPr>
              <w:t>13</w:t>
            </w:r>
            <w:r>
              <w:rPr>
                <w:rFonts w:ascii="Times New Roman" w:hAnsi="Times New Roman" w:eastAsia="宋体" w:cs="Times New Roman"/>
                <w:color w:val="auto"/>
                <w:sz w:val="18"/>
                <w:szCs w:val="18"/>
              </w:rPr>
              <w:t>年</w:t>
            </w:r>
            <w:r>
              <w:rPr>
                <w:rFonts w:hint="eastAsia" w:ascii="Times New Roman" w:hAnsi="Times New Roman" w:eastAsia="宋体" w:cs="Times New Roman"/>
                <w:color w:val="auto"/>
                <w:sz w:val="18"/>
                <w:szCs w:val="18"/>
                <w:lang w:val="en-US" w:eastAsia="zh-CN"/>
              </w:rPr>
              <w:t>11</w:t>
            </w:r>
            <w:r>
              <w:rPr>
                <w:rFonts w:ascii="Times New Roman" w:hAnsi="Times New Roman" w:eastAsia="宋体" w:cs="Times New Roman"/>
                <w:color w:val="auto"/>
                <w:sz w:val="18"/>
                <w:szCs w:val="18"/>
              </w:rPr>
              <w:t>月</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恩仕（长泰）休闲卫浴有限公司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环保设施施工单位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恩仕（长泰）休闲卫浴有限公司</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恩仕（长泰）休闲卫浴有限公司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环保设施监测单位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厦门科仪检测技术有限公司</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1200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环保投资总概算（万元）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15</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1.25</w:t>
            </w:r>
            <w:r>
              <w:rPr>
                <w:rFonts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1200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实际环保投资（万元）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15</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1.25</w:t>
            </w:r>
            <w:r>
              <w:rPr>
                <w:rFonts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2</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固体废物治理（万元）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0</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0</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新增废气处理设施能力</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3024</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lang w:val="en-US" w:eastAsia="zh-CN"/>
              </w:rPr>
              <w:t>恩仕（长泰）休闲卫浴有限公司</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运营单位社会统一信用代码（或组织机构代码）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rPr>
              <w:t>913506250523267154</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rPr>
              <w:t>2020.</w:t>
            </w:r>
            <w:r>
              <w:rPr>
                <w:rFonts w:hint="eastAsia" w:ascii="Times New Roman" w:hAnsi="Times New Roman" w:eastAsia="宋体" w:cs="Times New Roman"/>
                <w:color w:val="auto"/>
                <w:sz w:val="18"/>
                <w:szCs w:val="18"/>
                <w:shd w:val="solid" w:color="FFFFFF" w:themeColor="background1" w:fill="FFFFFF" w:themeFill="background1"/>
                <w:lang w:val="en-US" w:eastAsia="zh-CN"/>
              </w:rPr>
              <w:t>8.17</w:t>
            </w: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物排</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放达</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标与</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控制</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（工</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业建</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设项</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目详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原有排放量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本期工程允许排放浓度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本期工程产生量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本期工程自身削减量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（7）</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本期工程“以新带老”削减量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（8）</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全厂实际排放总量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区域平衡替代削减量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排放增</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278"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石油类</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甲醛</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r>
    </w:tbl>
    <w:p>
      <w:pPr>
        <w:pStyle w:val="28"/>
        <w:rPr>
          <w:rFonts w:ascii="Times New Roman" w:hAnsi="Times New Roman" w:cs="Times New Roman"/>
          <w:color w:val="0000FF"/>
        </w:rPr>
        <w:sectPr>
          <w:pgSz w:w="16838" w:h="11906" w:orient="landscape"/>
          <w:pgMar w:top="1701" w:right="1440" w:bottom="1440" w:left="1440" w:header="709" w:footer="709" w:gutter="0"/>
          <w:cols w:space="0" w:num="1"/>
          <w:docGrid w:linePitch="312" w:charSpace="0"/>
        </w:sectPr>
      </w:pPr>
      <w:r>
        <w:rPr>
          <w:rFonts w:ascii="Times New Roman" w:hAnsi="Times New Roman" w:cs="Times New Roman"/>
          <w:color w:val="auto"/>
          <w:sz w:val="18"/>
        </w:rPr>
        <w:t>注：1、排放增减量：（+）表示增加，（-）表示减少。2、(12)=(6)-(8)-(11)，（9）= (4)-(5)-(8)-(11)+（1）。3、计量单位：废水排放量——万吨/年；废气排放量——万标立方米/年；工业固体废物排放量——万吨/年； 水污染物排放浓度——毫克/升；大气污染物排放浓度——毫克/立方米；水污染排放量——吨/年；大气污染物排放量——吨/年附图</w:t>
      </w:r>
    </w:p>
    <w:p>
      <w:pPr>
        <w:pStyle w:val="20"/>
        <w:ind w:firstLine="0"/>
        <w:jc w:val="both"/>
        <w:outlineLvl w:val="1"/>
        <w:rPr>
          <w:rFonts w:ascii="Times New Roman" w:hAnsi="Times New Roman" w:eastAsia="宋体" w:cs="Times New Roman"/>
          <w:color w:val="auto"/>
          <w:sz w:val="28"/>
          <w:szCs w:val="24"/>
        </w:rPr>
      </w:pPr>
      <w:r>
        <w:rPr>
          <w:rFonts w:ascii="Times New Roman" w:hAnsi="Times New Roman" w:eastAsia="宋体" w:cs="Times New Roman"/>
          <w:color w:val="auto"/>
          <w:sz w:val="28"/>
          <w:szCs w:val="24"/>
        </w:rPr>
        <w:t>附图1：项目地理位置图</w:t>
      </w:r>
    </w:p>
    <w:p>
      <w:pPr>
        <w:pStyle w:val="20"/>
        <w:ind w:firstLine="0"/>
        <w:rPr>
          <w:color w:val="0000FF"/>
        </w:rPr>
      </w:pPr>
      <w:r>
        <w:rPr>
          <w:sz w:val="28"/>
        </w:rPr>
        <mc:AlternateContent>
          <mc:Choice Requires="wps">
            <w:drawing>
              <wp:anchor distT="0" distB="0" distL="114300" distR="114300" simplePos="0" relativeHeight="3300084736" behindDoc="0" locked="0" layoutInCell="1" allowOverlap="1">
                <wp:simplePos x="0" y="0"/>
                <wp:positionH relativeFrom="column">
                  <wp:posOffset>2538730</wp:posOffset>
                </wp:positionH>
                <wp:positionV relativeFrom="paragraph">
                  <wp:posOffset>4993005</wp:posOffset>
                </wp:positionV>
                <wp:extent cx="819785" cy="286385"/>
                <wp:effectExtent l="340360" t="6350" r="20955" b="393065"/>
                <wp:wrapNone/>
                <wp:docPr id="40" name="矩形标注 40"/>
                <wp:cNvGraphicFramePr/>
                <a:graphic xmlns:a="http://schemas.openxmlformats.org/drawingml/2006/main">
                  <a:graphicData uri="http://schemas.microsoft.com/office/word/2010/wordprocessingShape">
                    <wps:wsp>
                      <wps:cNvSpPr/>
                      <wps:spPr>
                        <a:xfrm>
                          <a:off x="0" y="0"/>
                          <a:ext cx="819785" cy="286385"/>
                        </a:xfrm>
                        <a:prstGeom prst="wedgeRectCallout">
                          <a:avLst>
                            <a:gd name="adj1" fmla="val -86321"/>
                            <a:gd name="adj2" fmla="val 1754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9.9pt;margin-top:393.15pt;height:22.55pt;width:64.55pt;z-index:-994882560;v-text-anchor:middle;mso-width-relative:page;mso-height-relative:page;" filled="f" stroked="t" coordsize="21600,21600" o:gfxdata="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7PmrfYAAAACwEAAA8A&#10;AAAAAAAAAQAgAAAAIgAAAGRycy9kb3ducmV2LnhtbFBLAQIUABQAAAAIAIdO4kC2NhfniQIAAO4E&#10;AAAOAAAAAAAAAAEAIAAAACcBAABkcnMvZTJvRG9jLnhtbFBLBQYAAAAABgAGAFkBAAAiBgAAAAA=&#10;" adj="-7845,48708">
                <v:fill on="f" focussize="0,0"/>
                <v:stroke weight="1pt" color="#000000 [3213]" miterlimit="8" joinstyle="miter"/>
                <v:imagedata o:title=""/>
                <o:lock v:ext="edit" aspectratio="f"/>
                <v:textbox>
                  <w:txbxContent>
                    <w:p>
                      <w:pPr>
                        <w:jc w:val="center"/>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本项目</w:t>
                      </w:r>
                    </w:p>
                  </w:txbxContent>
                </v:textbox>
              </v:shape>
            </w:pict>
          </mc:Fallback>
        </mc:AlternateContent>
      </w:r>
      <w:r>
        <w:rPr>
          <w:rFonts w:hint="default" w:ascii="Times New Roman" w:hAnsi="Times New Roman" w:eastAsia="宋体" w:cs="Times New Roman"/>
          <w:bCs/>
          <w:color w:val="FF0000"/>
          <w:sz w:val="28"/>
          <w:szCs w:val="28"/>
          <w:lang w:val="en-US" w:eastAsia="zh-CN" w:bidi="ar-SA"/>
        </w:rPr>
        <w:drawing>
          <wp:inline distT="0" distB="0" distL="114300" distR="114300">
            <wp:extent cx="5205730" cy="8263255"/>
            <wp:effectExtent l="0" t="0" r="13970" b="4445"/>
            <wp:docPr id="15" name="图片 15" descr="chang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hangtai"/>
                    <pic:cNvPicPr>
                      <a:picLocks noChangeAspect="1"/>
                    </pic:cNvPicPr>
                  </pic:nvPicPr>
                  <pic:blipFill>
                    <a:blip r:embed="rId16"/>
                    <a:stretch>
                      <a:fillRect/>
                    </a:stretch>
                  </pic:blipFill>
                  <pic:spPr>
                    <a:xfrm>
                      <a:off x="0" y="0"/>
                      <a:ext cx="5205730" cy="8263255"/>
                    </a:xfrm>
                    <a:prstGeom prst="rect">
                      <a:avLst/>
                    </a:prstGeom>
                  </pic:spPr>
                </pic:pic>
              </a:graphicData>
            </a:graphic>
          </wp:inline>
        </w:drawing>
      </w:r>
    </w:p>
    <w:p>
      <w:pPr>
        <w:pStyle w:val="20"/>
        <w:ind w:firstLine="0"/>
        <w:rPr>
          <w:color w:val="0000FF"/>
        </w:rPr>
        <w:sectPr>
          <w:headerReference r:id="rId7" w:type="default"/>
          <w:footerReference r:id="rId8" w:type="default"/>
          <w:pgSz w:w="11906" w:h="16838"/>
          <w:pgMar w:top="1440" w:right="1440" w:bottom="1440" w:left="1701" w:header="709" w:footer="709" w:gutter="0"/>
          <w:cols w:space="0" w:num="1"/>
          <w:docGrid w:linePitch="312" w:charSpace="0"/>
        </w:sectPr>
      </w:pPr>
    </w:p>
    <w:p>
      <w:pPr>
        <w:pStyle w:val="20"/>
        <w:ind w:firstLine="0"/>
        <w:jc w:val="both"/>
        <w:outlineLvl w:val="1"/>
        <w:rPr>
          <w:rFonts w:ascii="Times New Roman" w:hAnsi="Times New Roman" w:eastAsia="宋体" w:cs="Times New Roman"/>
          <w:b/>
          <w:bCs/>
          <w:color w:val="auto"/>
          <w:sz w:val="28"/>
          <w:szCs w:val="24"/>
        </w:rPr>
      </w:pPr>
      <w:r>
        <w:rPr>
          <w:rFonts w:hint="eastAsia" w:ascii="Times New Roman" w:hAnsi="Times New Roman" w:eastAsia="宋体" w:cs="Times New Roman"/>
          <w:b/>
          <w:bCs/>
          <w:color w:val="auto"/>
          <w:sz w:val="28"/>
          <w:szCs w:val="24"/>
        </w:rPr>
        <w:t>附图2 项目周边环境示意图</w:t>
      </w:r>
    </w:p>
    <w:p>
      <w:pPr>
        <w:pStyle w:val="20"/>
        <w:ind w:firstLine="0"/>
        <w:jc w:val="both"/>
        <w:rPr>
          <w:color w:val="auto"/>
        </w:rPr>
      </w:pPr>
    </w:p>
    <w:p>
      <w:pPr>
        <w:pStyle w:val="20"/>
        <w:ind w:firstLine="0"/>
        <w:jc w:val="both"/>
        <w:rPr>
          <w:color w:val="auto"/>
        </w:rPr>
        <w:sectPr>
          <w:pgSz w:w="16838" w:h="11906" w:orient="landscape"/>
          <w:pgMar w:top="1417" w:right="1440" w:bottom="1440" w:left="1440" w:header="709" w:footer="709" w:gutter="0"/>
          <w:cols w:space="0" w:num="1"/>
          <w:docGrid w:linePitch="312" w:charSpace="0"/>
        </w:sectPr>
      </w:pPr>
      <w:r>
        <w:rPr>
          <w:color w:val="auto"/>
        </w:rPr>
        <w:drawing>
          <wp:inline distT="0" distB="0" distL="114300" distR="114300">
            <wp:extent cx="8854440" cy="4523105"/>
            <wp:effectExtent l="0" t="0" r="3810"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8854440" cy="4523105"/>
                    </a:xfrm>
                    <a:prstGeom prst="rect">
                      <a:avLst/>
                    </a:prstGeom>
                    <a:noFill/>
                    <a:ln>
                      <a:noFill/>
                    </a:ln>
                  </pic:spPr>
                </pic:pic>
              </a:graphicData>
            </a:graphic>
          </wp:inline>
        </w:drawing>
      </w:r>
    </w:p>
    <w:p>
      <w:pPr>
        <w:pStyle w:val="20"/>
        <w:ind w:firstLine="0"/>
        <w:jc w:val="both"/>
        <w:rPr>
          <w:rFonts w:hint="eastAsia" w:ascii="Times New Roman" w:hAnsi="Times New Roman" w:eastAsia="宋体" w:cs="Times New Roman"/>
          <w:b/>
          <w:bCs/>
          <w:color w:val="auto"/>
          <w:sz w:val="28"/>
          <w:szCs w:val="24"/>
        </w:rPr>
      </w:pPr>
      <w:r>
        <w:rPr>
          <w:rFonts w:ascii="Times New Roman" w:hAnsi="Times New Roman" w:eastAsia="宋体" w:cs="Times New Roman"/>
          <w:b/>
          <w:bCs/>
          <w:color w:val="auto"/>
          <w:sz w:val="28"/>
          <w:szCs w:val="24"/>
        </w:rPr>
        <w:t>附图</w:t>
      </w:r>
      <w:r>
        <w:rPr>
          <w:rFonts w:hint="eastAsia" w:ascii="Times New Roman" w:hAnsi="Times New Roman" w:eastAsia="宋体" w:cs="Times New Roman"/>
          <w:b/>
          <w:bCs/>
          <w:color w:val="auto"/>
          <w:sz w:val="28"/>
          <w:szCs w:val="24"/>
        </w:rPr>
        <w:t>3</w:t>
      </w:r>
      <w:r>
        <w:rPr>
          <w:rFonts w:ascii="Times New Roman" w:hAnsi="Times New Roman" w:eastAsia="宋体" w:cs="Times New Roman"/>
          <w:b/>
          <w:bCs/>
          <w:color w:val="auto"/>
          <w:sz w:val="28"/>
          <w:szCs w:val="24"/>
        </w:rPr>
        <w:t>：</w:t>
      </w:r>
      <w:r>
        <w:rPr>
          <w:rFonts w:hint="eastAsia" w:ascii="Times New Roman" w:hAnsi="Times New Roman" w:eastAsia="宋体" w:cs="Times New Roman"/>
          <w:b/>
          <w:bCs/>
          <w:color w:val="auto"/>
          <w:sz w:val="28"/>
          <w:szCs w:val="24"/>
        </w:rPr>
        <w:t>厂区平面布置图</w:t>
      </w:r>
    </w:p>
    <w:p>
      <w:pPr>
        <w:pStyle w:val="20"/>
        <w:ind w:firstLine="0"/>
        <w:jc w:val="both"/>
        <w:rPr>
          <w:rFonts w:hint="eastAsia" w:eastAsia="楷体_GB2312"/>
          <w:b/>
          <w:bCs/>
          <w:color w:val="auto"/>
          <w:lang w:eastAsia="zh-CN"/>
        </w:rPr>
      </w:pPr>
      <w:r>
        <w:rPr>
          <w:rFonts w:hint="eastAsia" w:eastAsia="楷体_GB2312"/>
          <w:b/>
          <w:bCs/>
          <w:color w:val="auto"/>
          <w:lang w:eastAsia="zh-CN"/>
        </w:rPr>
        <w:drawing>
          <wp:inline distT="0" distB="0" distL="114300" distR="114300">
            <wp:extent cx="8117205" cy="5066030"/>
            <wp:effectExtent l="0" t="0" r="17145" b="1270"/>
            <wp:docPr id="18" name="图片 18" descr="图像-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像-37"/>
                    <pic:cNvPicPr>
                      <a:picLocks noChangeAspect="1"/>
                    </pic:cNvPicPr>
                  </pic:nvPicPr>
                  <pic:blipFill>
                    <a:blip r:embed="rId18"/>
                    <a:srcRect t="1659" b="4425"/>
                    <a:stretch>
                      <a:fillRect/>
                    </a:stretch>
                  </pic:blipFill>
                  <pic:spPr>
                    <a:xfrm>
                      <a:off x="0" y="0"/>
                      <a:ext cx="8117205" cy="5066030"/>
                    </a:xfrm>
                    <a:prstGeom prst="rect">
                      <a:avLst/>
                    </a:prstGeom>
                  </pic:spPr>
                </pic:pic>
              </a:graphicData>
            </a:graphic>
          </wp:inline>
        </w:drawing>
      </w:r>
    </w:p>
    <w:p>
      <w:pPr>
        <w:pStyle w:val="20"/>
        <w:ind w:firstLine="0"/>
        <w:jc w:val="both"/>
        <w:rPr>
          <w:rFonts w:hint="eastAsia" w:eastAsia="楷体_GB2312"/>
          <w:b/>
          <w:bCs/>
          <w:color w:val="auto"/>
          <w:lang w:eastAsia="zh-CN"/>
        </w:rPr>
      </w:pPr>
    </w:p>
    <w:p>
      <w:pPr>
        <w:pStyle w:val="20"/>
        <w:ind w:firstLine="0"/>
        <w:jc w:val="both"/>
        <w:rPr>
          <w:rFonts w:hint="eastAsia" w:eastAsia="楷体_GB2312"/>
          <w:b/>
          <w:bCs/>
          <w:color w:val="auto"/>
          <w:lang w:eastAsia="zh-CN"/>
        </w:rPr>
        <w:sectPr>
          <w:pgSz w:w="16838" w:h="11906" w:orient="landscape"/>
          <w:pgMar w:top="1417" w:right="1440" w:bottom="1440" w:left="1440" w:header="709" w:footer="709" w:gutter="0"/>
          <w:cols w:space="0" w:num="1"/>
          <w:docGrid w:linePitch="312" w:charSpace="0"/>
        </w:sectPr>
      </w:pPr>
    </w:p>
    <w:p>
      <w:pPr>
        <w:pStyle w:val="20"/>
        <w:ind w:firstLine="0"/>
        <w:jc w:val="both"/>
        <w:rPr>
          <w:rFonts w:hint="eastAsia" w:ascii="Times New Roman" w:hAnsi="Times New Roman" w:eastAsia="宋体" w:cs="Times New Roman"/>
          <w:b/>
          <w:bCs/>
          <w:color w:val="auto"/>
          <w:sz w:val="28"/>
          <w:szCs w:val="24"/>
          <w:lang w:val="en-US" w:eastAsia="zh-CN"/>
        </w:rPr>
      </w:pPr>
      <w:r>
        <w:rPr>
          <w:rFonts w:ascii="Times New Roman" w:hAnsi="Times New Roman" w:eastAsia="宋体" w:cs="Times New Roman"/>
          <w:b/>
          <w:bCs/>
          <w:color w:val="auto"/>
          <w:sz w:val="28"/>
          <w:szCs w:val="24"/>
        </w:rPr>
        <w:t>附图</w:t>
      </w:r>
      <w:r>
        <w:rPr>
          <w:rFonts w:hint="eastAsia" w:ascii="Times New Roman" w:hAnsi="Times New Roman" w:eastAsia="宋体" w:cs="Times New Roman"/>
          <w:b/>
          <w:bCs/>
          <w:color w:val="auto"/>
          <w:sz w:val="28"/>
          <w:szCs w:val="24"/>
          <w:lang w:val="en-US" w:eastAsia="zh-CN"/>
        </w:rPr>
        <w:t>4</w:t>
      </w:r>
      <w:r>
        <w:rPr>
          <w:rFonts w:ascii="Times New Roman" w:hAnsi="Times New Roman" w:eastAsia="宋体" w:cs="Times New Roman"/>
          <w:b/>
          <w:bCs/>
          <w:color w:val="auto"/>
          <w:sz w:val="28"/>
          <w:szCs w:val="24"/>
        </w:rPr>
        <w:t>：</w:t>
      </w:r>
      <w:r>
        <w:rPr>
          <w:rFonts w:hint="eastAsia" w:ascii="Times New Roman" w:hAnsi="Times New Roman" w:eastAsia="宋体" w:cs="Times New Roman"/>
          <w:b/>
          <w:bCs/>
          <w:color w:val="auto"/>
          <w:sz w:val="28"/>
          <w:szCs w:val="24"/>
          <w:lang w:val="en-US" w:eastAsia="zh-CN"/>
        </w:rPr>
        <w:t>现场采样照片</w:t>
      </w:r>
    </w:p>
    <w:p>
      <w:pPr>
        <w:pStyle w:val="20"/>
        <w:ind w:firstLine="0"/>
        <w:jc w:val="both"/>
        <w:rPr>
          <w:rFonts w:hint="eastAsia" w:ascii="Times New Roman" w:hAnsi="Times New Roman" w:eastAsia="宋体" w:cs="Times New Roman"/>
          <w:b/>
          <w:bCs/>
          <w:color w:val="auto"/>
          <w:sz w:val="28"/>
          <w:szCs w:val="24"/>
          <w:lang w:val="en-US" w:eastAsia="zh-CN"/>
        </w:rPr>
      </w:pPr>
      <w:r>
        <w:rPr>
          <w:color w:val="auto"/>
        </w:rPr>
        <w:drawing>
          <wp:inline distT="0" distB="0" distL="114300" distR="114300">
            <wp:extent cx="5744210" cy="6850380"/>
            <wp:effectExtent l="0" t="0" r="8890" b="762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9"/>
                    <a:stretch>
                      <a:fillRect/>
                    </a:stretch>
                  </pic:blipFill>
                  <pic:spPr>
                    <a:xfrm>
                      <a:off x="0" y="0"/>
                      <a:ext cx="5744210" cy="6850380"/>
                    </a:xfrm>
                    <a:prstGeom prst="rect">
                      <a:avLst/>
                    </a:prstGeom>
                    <a:noFill/>
                    <a:ln>
                      <a:noFill/>
                    </a:ln>
                  </pic:spPr>
                </pic:pic>
              </a:graphicData>
            </a:graphic>
          </wp:inline>
        </w:drawing>
      </w:r>
    </w:p>
    <w:p>
      <w:pPr>
        <w:pStyle w:val="20"/>
        <w:ind w:firstLine="0"/>
        <w:jc w:val="both"/>
        <w:rPr>
          <w:rFonts w:hint="default" w:ascii="Times New Roman" w:hAnsi="Times New Roman" w:eastAsia="宋体" w:cs="Times New Roman"/>
          <w:b/>
          <w:bCs/>
          <w:color w:val="auto"/>
          <w:sz w:val="28"/>
          <w:szCs w:val="24"/>
          <w:lang w:val="en-US" w:eastAsia="zh-CN"/>
        </w:rPr>
        <w:sectPr>
          <w:pgSz w:w="11906" w:h="16838"/>
          <w:pgMar w:top="1440" w:right="1440" w:bottom="1440" w:left="1417" w:header="709" w:footer="709" w:gutter="0"/>
          <w:cols w:space="0" w:num="1"/>
          <w:docGrid w:linePitch="312" w:charSpace="0"/>
        </w:sectPr>
      </w:pPr>
      <w:r>
        <w:rPr>
          <w:color w:val="auto"/>
        </w:rPr>
        <w:drawing>
          <wp:inline distT="0" distB="0" distL="114300" distR="114300">
            <wp:extent cx="5534025" cy="7248525"/>
            <wp:effectExtent l="0" t="0" r="952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0"/>
                    <a:stretch>
                      <a:fillRect/>
                    </a:stretch>
                  </pic:blipFill>
                  <pic:spPr>
                    <a:xfrm>
                      <a:off x="0" y="0"/>
                      <a:ext cx="5534025" cy="7248525"/>
                    </a:xfrm>
                    <a:prstGeom prst="rect">
                      <a:avLst/>
                    </a:prstGeom>
                    <a:noFill/>
                    <a:ln>
                      <a:noFill/>
                    </a:ln>
                  </pic:spPr>
                </pic:pic>
              </a:graphicData>
            </a:graphic>
          </wp:inline>
        </w:drawing>
      </w:r>
    </w:p>
    <w:p>
      <w:pPr>
        <w:pStyle w:val="20"/>
        <w:ind w:firstLine="0"/>
        <w:jc w:val="both"/>
        <w:outlineLvl w:val="1"/>
        <w:rPr>
          <w:rFonts w:ascii="Times New Roman" w:hAnsi="Times New Roman" w:eastAsia="宋体" w:cs="Times New Roman"/>
          <w:color w:val="auto"/>
          <w:sz w:val="28"/>
          <w:szCs w:val="24"/>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1</w:t>
      </w:r>
      <w:r>
        <w:rPr>
          <w:rFonts w:ascii="Times New Roman" w:hAnsi="Times New Roman" w:eastAsia="宋体" w:cs="Times New Roman"/>
          <w:color w:val="auto"/>
          <w:sz w:val="28"/>
          <w:szCs w:val="24"/>
        </w:rPr>
        <w:t>：环评批复</w:t>
      </w:r>
    </w:p>
    <w:p>
      <w:pPr>
        <w:pStyle w:val="20"/>
        <w:ind w:firstLine="0"/>
        <w:jc w:val="both"/>
        <w:outlineLvl w:val="1"/>
        <w:rPr>
          <w:rFonts w:ascii="Times New Roman" w:hAnsi="Times New Roman" w:eastAsia="宋体" w:cs="Times New Roman"/>
          <w:color w:val="auto"/>
          <w:sz w:val="28"/>
          <w:szCs w:val="24"/>
        </w:rPr>
      </w:pPr>
      <w:r>
        <w:rPr>
          <w:rFonts w:hint="eastAsia" w:ascii="Times New Roman" w:hAnsi="Times New Roman" w:eastAsia="宋体" w:cs="Times New Roman"/>
          <w:color w:val="auto"/>
          <w:sz w:val="28"/>
          <w:lang w:eastAsia="zh-CN"/>
        </w:rPr>
        <w:drawing>
          <wp:inline distT="0" distB="0" distL="114300" distR="114300">
            <wp:extent cx="5551170" cy="7849870"/>
            <wp:effectExtent l="0" t="0" r="11430" b="17780"/>
            <wp:docPr id="22" name="图片 22" descr="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像-1"/>
                    <pic:cNvPicPr>
                      <a:picLocks noChangeAspect="1"/>
                    </pic:cNvPicPr>
                  </pic:nvPicPr>
                  <pic:blipFill>
                    <a:blip r:embed="rId21"/>
                    <a:stretch>
                      <a:fillRect/>
                    </a:stretch>
                  </pic:blipFill>
                  <pic:spPr>
                    <a:xfrm>
                      <a:off x="0" y="0"/>
                      <a:ext cx="5551170" cy="7849870"/>
                    </a:xfrm>
                    <a:prstGeom prst="rect">
                      <a:avLst/>
                    </a:prstGeom>
                  </pic:spPr>
                </pic:pic>
              </a:graphicData>
            </a:graphic>
          </wp:inline>
        </w:drawing>
      </w:r>
    </w:p>
    <w:p>
      <w:pPr>
        <w:pStyle w:val="20"/>
        <w:ind w:firstLine="0"/>
        <w:jc w:val="both"/>
        <w:outlineLvl w:val="1"/>
        <w:rPr>
          <w:rFonts w:ascii="Times New Roman" w:hAnsi="Times New Roman" w:eastAsia="宋体" w:cs="Times New Roman"/>
          <w:color w:val="auto"/>
          <w:sz w:val="28"/>
          <w:szCs w:val="24"/>
        </w:rPr>
      </w:pPr>
      <w:r>
        <w:rPr>
          <w:rFonts w:hint="eastAsia" w:ascii="Times New Roman" w:hAnsi="Times New Roman" w:eastAsia="宋体" w:cs="Times New Roman"/>
          <w:color w:val="auto"/>
          <w:sz w:val="28"/>
          <w:lang w:eastAsia="zh-CN"/>
        </w:rPr>
        <w:drawing>
          <wp:inline distT="0" distB="0" distL="114300" distR="114300">
            <wp:extent cx="5551170" cy="7849870"/>
            <wp:effectExtent l="0" t="0" r="11430" b="17780"/>
            <wp:docPr id="23" name="图片 23" descr="图像-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像-40"/>
                    <pic:cNvPicPr>
                      <a:picLocks noChangeAspect="1"/>
                    </pic:cNvPicPr>
                  </pic:nvPicPr>
                  <pic:blipFill>
                    <a:blip r:embed="rId22"/>
                    <a:stretch>
                      <a:fillRect/>
                    </a:stretch>
                  </pic:blipFill>
                  <pic:spPr>
                    <a:xfrm>
                      <a:off x="0" y="0"/>
                      <a:ext cx="5551170" cy="7849870"/>
                    </a:xfrm>
                    <a:prstGeom prst="rect">
                      <a:avLst/>
                    </a:prstGeom>
                  </pic:spPr>
                </pic:pic>
              </a:graphicData>
            </a:graphic>
          </wp:inline>
        </w:drawing>
      </w:r>
    </w:p>
    <w:p>
      <w:pPr>
        <w:pStyle w:val="20"/>
        <w:ind w:firstLine="0"/>
        <w:jc w:val="both"/>
        <w:rPr>
          <w:rFonts w:hint="eastAsia" w:ascii="Times New Roman" w:hAnsi="Times New Roman" w:eastAsia="宋体" w:cs="Times New Roman"/>
          <w:color w:val="auto"/>
          <w:sz w:val="28"/>
          <w:lang w:eastAsia="zh-CN"/>
        </w:rPr>
        <w:sectPr>
          <w:pgSz w:w="11906" w:h="16838"/>
          <w:pgMar w:top="1440" w:right="1440" w:bottom="1440" w:left="1701" w:header="709" w:footer="709" w:gutter="0"/>
          <w:cols w:space="0" w:num="1"/>
          <w:docGrid w:linePitch="312" w:charSpace="0"/>
        </w:sectPr>
      </w:pPr>
    </w:p>
    <w:p>
      <w:pPr>
        <w:pStyle w:val="20"/>
        <w:ind w:firstLine="0"/>
        <w:jc w:val="both"/>
        <w:outlineLvl w:val="1"/>
        <w:rPr>
          <w:rFonts w:hint="eastAsia" w:ascii="Times New Roman" w:hAnsi="Times New Roman" w:eastAsia="宋体" w:cs="Times New Roman"/>
          <w:color w:val="auto"/>
          <w:sz w:val="28"/>
          <w:szCs w:val="24"/>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30"/>
          <w:szCs w:val="30"/>
          <w:lang w:val="en-US" w:eastAsia="zh-CN"/>
        </w:rPr>
        <w:t>2</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租赁</w:t>
      </w:r>
      <w:r>
        <w:rPr>
          <w:rFonts w:hint="eastAsia" w:ascii="Times New Roman" w:hAnsi="Times New Roman" w:eastAsia="宋体" w:cs="Times New Roman"/>
          <w:color w:val="auto"/>
          <w:sz w:val="28"/>
          <w:szCs w:val="24"/>
        </w:rPr>
        <w:t>合同</w:t>
      </w:r>
    </w:p>
    <w:p>
      <w:pPr>
        <w:pStyle w:val="20"/>
        <w:ind w:firstLine="0"/>
        <w:jc w:val="both"/>
        <w:outlineLvl w:val="1"/>
        <w:rPr>
          <w:rFonts w:hint="eastAsia" w:ascii="Times New Roman" w:hAnsi="Times New Roman" w:eastAsia="宋体" w:cs="Times New Roman"/>
          <w:color w:val="0000FF"/>
          <w:sz w:val="28"/>
          <w:szCs w:val="24"/>
        </w:rPr>
      </w:pPr>
      <w:r>
        <w:rPr>
          <w:rFonts w:hint="eastAsia" w:ascii="Times New Roman" w:hAnsi="Times New Roman" w:eastAsia="宋体" w:cs="Times New Roman"/>
          <w:color w:val="0000FF"/>
          <w:sz w:val="28"/>
          <w:szCs w:val="24"/>
          <w:lang w:eastAsia="zh-CN"/>
        </w:rPr>
        <w:drawing>
          <wp:inline distT="0" distB="0" distL="114300" distR="114300">
            <wp:extent cx="5267960" cy="7449185"/>
            <wp:effectExtent l="0" t="0" r="8890" b="18415"/>
            <wp:docPr id="27" name="图片 27" descr="图像-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像-31"/>
                    <pic:cNvPicPr>
                      <a:picLocks noChangeAspect="1"/>
                    </pic:cNvPicPr>
                  </pic:nvPicPr>
                  <pic:blipFill>
                    <a:blip r:embed="rId23"/>
                    <a:stretch>
                      <a:fillRect/>
                    </a:stretch>
                  </pic:blipFill>
                  <pic:spPr>
                    <a:xfrm>
                      <a:off x="0" y="0"/>
                      <a:ext cx="5267960" cy="7449185"/>
                    </a:xfrm>
                    <a:prstGeom prst="rect">
                      <a:avLst/>
                    </a:prstGeom>
                  </pic:spPr>
                </pic:pic>
              </a:graphicData>
            </a:graphic>
          </wp:inline>
        </w:drawing>
      </w:r>
    </w:p>
    <w:p>
      <w:pPr>
        <w:pStyle w:val="20"/>
        <w:ind w:firstLine="0"/>
        <w:jc w:val="both"/>
        <w:outlineLvl w:val="1"/>
        <w:rPr>
          <w:rFonts w:hint="eastAsia" w:ascii="Times New Roman" w:hAnsi="Times New Roman" w:eastAsia="宋体" w:cs="Times New Roman"/>
          <w:color w:val="0000FF"/>
          <w:sz w:val="28"/>
          <w:szCs w:val="24"/>
          <w:lang w:eastAsia="zh-CN"/>
        </w:rPr>
      </w:pPr>
      <w:r>
        <w:rPr>
          <w:rFonts w:hint="eastAsia" w:ascii="Times New Roman" w:hAnsi="Times New Roman" w:eastAsia="宋体" w:cs="Times New Roman"/>
          <w:color w:val="0000FF"/>
          <w:sz w:val="28"/>
          <w:szCs w:val="24"/>
          <w:lang w:eastAsia="zh-CN"/>
        </w:rPr>
        <w:drawing>
          <wp:inline distT="0" distB="0" distL="114300" distR="114300">
            <wp:extent cx="5267960" cy="7449185"/>
            <wp:effectExtent l="0" t="0" r="8890" b="18415"/>
            <wp:docPr id="26" name="图片 26" descr="图像-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像-32"/>
                    <pic:cNvPicPr>
                      <a:picLocks noChangeAspect="1"/>
                    </pic:cNvPicPr>
                  </pic:nvPicPr>
                  <pic:blipFill>
                    <a:blip r:embed="rId24"/>
                    <a:stretch>
                      <a:fillRect/>
                    </a:stretch>
                  </pic:blipFill>
                  <pic:spPr>
                    <a:xfrm>
                      <a:off x="0" y="0"/>
                      <a:ext cx="5267960" cy="7449185"/>
                    </a:xfrm>
                    <a:prstGeom prst="rect">
                      <a:avLst/>
                    </a:prstGeom>
                  </pic:spPr>
                </pic:pic>
              </a:graphicData>
            </a:graphic>
          </wp:inline>
        </w:drawing>
      </w:r>
      <w:r>
        <w:rPr>
          <w:rFonts w:hint="eastAsia" w:ascii="Times New Roman" w:hAnsi="Times New Roman" w:eastAsia="宋体" w:cs="Times New Roman"/>
          <w:color w:val="0000FF"/>
          <w:sz w:val="28"/>
          <w:szCs w:val="24"/>
          <w:lang w:eastAsia="zh-CN"/>
        </w:rPr>
        <w:drawing>
          <wp:inline distT="0" distB="0" distL="114300" distR="114300">
            <wp:extent cx="5267960" cy="7449185"/>
            <wp:effectExtent l="0" t="0" r="8890" b="18415"/>
            <wp:docPr id="25" name="图片 25" descr="图像-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像-33"/>
                    <pic:cNvPicPr>
                      <a:picLocks noChangeAspect="1"/>
                    </pic:cNvPicPr>
                  </pic:nvPicPr>
                  <pic:blipFill>
                    <a:blip r:embed="rId25"/>
                    <a:stretch>
                      <a:fillRect/>
                    </a:stretch>
                  </pic:blipFill>
                  <pic:spPr>
                    <a:xfrm>
                      <a:off x="0" y="0"/>
                      <a:ext cx="5267960" cy="7449185"/>
                    </a:xfrm>
                    <a:prstGeom prst="rect">
                      <a:avLst/>
                    </a:prstGeom>
                  </pic:spPr>
                </pic:pic>
              </a:graphicData>
            </a:graphic>
          </wp:inline>
        </w:drawing>
      </w:r>
    </w:p>
    <w:p>
      <w:pPr>
        <w:pStyle w:val="20"/>
        <w:ind w:firstLine="0"/>
        <w:jc w:val="both"/>
        <w:outlineLvl w:val="1"/>
        <w:rPr>
          <w:rFonts w:ascii="Times New Roman" w:hAnsi="Times New Roman" w:eastAsia="宋体" w:cs="Times New Roman"/>
          <w:color w:val="0000FF"/>
          <w:sz w:val="28"/>
          <w:szCs w:val="24"/>
        </w:rPr>
        <w:sectPr>
          <w:footerReference r:id="rId9" w:type="default"/>
          <w:pgSz w:w="11906" w:h="16838"/>
          <w:pgMar w:top="1440" w:right="1803" w:bottom="1440" w:left="1803" w:header="851" w:footer="992" w:gutter="0"/>
          <w:cols w:space="0" w:num="1"/>
          <w:docGrid w:type="lines" w:linePitch="319" w:charSpace="0"/>
        </w:sectPr>
      </w:pPr>
      <w:r>
        <w:rPr>
          <w:rFonts w:hint="eastAsia" w:ascii="Times New Roman" w:hAnsi="Times New Roman" w:eastAsia="宋体" w:cs="Times New Roman"/>
          <w:color w:val="0000FF"/>
          <w:sz w:val="28"/>
          <w:szCs w:val="24"/>
          <w:lang w:eastAsia="zh-CN"/>
        </w:rPr>
        <w:drawing>
          <wp:inline distT="0" distB="0" distL="114300" distR="114300">
            <wp:extent cx="5267960" cy="7449185"/>
            <wp:effectExtent l="0" t="0" r="8890" b="18415"/>
            <wp:docPr id="24" name="图片 24" descr="图像-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像-34"/>
                    <pic:cNvPicPr>
                      <a:picLocks noChangeAspect="1"/>
                    </pic:cNvPicPr>
                  </pic:nvPicPr>
                  <pic:blipFill>
                    <a:blip r:embed="rId26"/>
                    <a:stretch>
                      <a:fillRect/>
                    </a:stretch>
                  </pic:blipFill>
                  <pic:spPr>
                    <a:xfrm>
                      <a:off x="0" y="0"/>
                      <a:ext cx="5267960" cy="7449185"/>
                    </a:xfrm>
                    <a:prstGeom prst="rect">
                      <a:avLst/>
                    </a:prstGeom>
                  </pic:spPr>
                </pic:pic>
              </a:graphicData>
            </a:graphic>
          </wp:inline>
        </w:drawing>
      </w:r>
    </w:p>
    <w:p>
      <w:pPr>
        <w:pStyle w:val="20"/>
        <w:ind w:firstLine="0"/>
        <w:jc w:val="both"/>
        <w:outlineLvl w:val="1"/>
        <w:rPr>
          <w:rFonts w:hint="eastAsia" w:ascii="Times New Roman" w:hAnsi="Times New Roman" w:eastAsia="宋体" w:cs="Times New Roman"/>
          <w:color w:val="auto"/>
          <w:sz w:val="28"/>
          <w:szCs w:val="24"/>
          <w:lang w:val="en-US" w:eastAsia="zh-CN"/>
        </w:rPr>
      </w:pPr>
      <w:r>
        <w:rPr>
          <w:rFonts w:hint="eastAsia" w:ascii="Times New Roman" w:hAnsi="Times New Roman" w:eastAsia="宋体" w:cs="Times New Roman"/>
          <w:color w:val="auto"/>
          <w:sz w:val="28"/>
          <w:szCs w:val="24"/>
        </w:rPr>
        <w:t>附件4：</w:t>
      </w:r>
      <w:r>
        <w:rPr>
          <w:rFonts w:hint="eastAsia" w:ascii="Times New Roman" w:hAnsi="Times New Roman" w:eastAsia="宋体" w:cs="Times New Roman"/>
          <w:color w:val="auto"/>
          <w:sz w:val="28"/>
          <w:szCs w:val="24"/>
          <w:lang w:val="en-US" w:eastAsia="zh-CN"/>
        </w:rPr>
        <w:t>营业执照</w:t>
      </w:r>
    </w:p>
    <w:p>
      <w:pPr>
        <w:pStyle w:val="20"/>
        <w:ind w:firstLine="0"/>
        <w:jc w:val="both"/>
        <w:outlineLvl w:val="1"/>
        <w:rPr>
          <w:rFonts w:hint="eastAsia" w:ascii="Times New Roman" w:hAnsi="Times New Roman" w:eastAsia="宋体" w:cs="Times New Roman"/>
          <w:color w:val="0000FF"/>
          <w:sz w:val="28"/>
          <w:szCs w:val="24"/>
          <w:lang w:eastAsia="zh-CN"/>
        </w:rPr>
      </w:pPr>
      <w:r>
        <w:rPr>
          <w:rFonts w:hint="eastAsia" w:ascii="Times New Roman" w:hAnsi="Times New Roman" w:eastAsia="宋体" w:cs="Times New Roman"/>
          <w:color w:val="0000FF"/>
          <w:sz w:val="28"/>
          <w:szCs w:val="24"/>
          <w:lang w:eastAsia="zh-CN"/>
        </w:rPr>
        <w:drawing>
          <wp:inline distT="0" distB="0" distL="114300" distR="114300">
            <wp:extent cx="5267960" cy="7449185"/>
            <wp:effectExtent l="0" t="0" r="8890" b="18415"/>
            <wp:docPr id="28" name="图片 28" descr="图像-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像-29"/>
                    <pic:cNvPicPr>
                      <a:picLocks noChangeAspect="1"/>
                    </pic:cNvPicPr>
                  </pic:nvPicPr>
                  <pic:blipFill>
                    <a:blip r:embed="rId27"/>
                    <a:stretch>
                      <a:fillRect/>
                    </a:stretch>
                  </pic:blipFill>
                  <pic:spPr>
                    <a:xfrm>
                      <a:off x="0" y="0"/>
                      <a:ext cx="5267960" cy="7449185"/>
                    </a:xfrm>
                    <a:prstGeom prst="rect">
                      <a:avLst/>
                    </a:prstGeom>
                  </pic:spPr>
                </pic:pic>
              </a:graphicData>
            </a:graphic>
          </wp:inline>
        </w:drawing>
      </w:r>
    </w:p>
    <w:p>
      <w:pPr>
        <w:pStyle w:val="20"/>
        <w:ind w:firstLine="0"/>
        <w:jc w:val="both"/>
        <w:rPr>
          <w:rFonts w:ascii="Times New Roman" w:hAnsi="Times New Roman" w:eastAsia="宋体" w:cs="Times New Roman"/>
          <w:color w:val="0000FF"/>
          <w:sz w:val="28"/>
          <w:szCs w:val="24"/>
        </w:rPr>
      </w:pPr>
    </w:p>
    <w:p>
      <w:pPr>
        <w:pStyle w:val="20"/>
        <w:ind w:firstLine="0"/>
        <w:jc w:val="both"/>
        <w:rPr>
          <w:rFonts w:ascii="Times New Roman" w:hAnsi="Times New Roman" w:eastAsia="宋体" w:cs="Times New Roman"/>
          <w:color w:val="0000FF"/>
          <w:sz w:val="28"/>
          <w:szCs w:val="24"/>
        </w:rPr>
      </w:pPr>
    </w:p>
    <w:p>
      <w:pPr>
        <w:pStyle w:val="20"/>
        <w:ind w:firstLine="0"/>
        <w:jc w:val="both"/>
        <w:rPr>
          <w:color w:val="0000FF"/>
        </w:rPr>
      </w:pPr>
    </w:p>
    <w:p>
      <w:pPr>
        <w:pStyle w:val="20"/>
        <w:ind w:firstLine="0"/>
        <w:jc w:val="both"/>
        <w:rPr>
          <w:color w:val="0000FF"/>
        </w:rPr>
      </w:pPr>
    </w:p>
    <w:p>
      <w:pPr>
        <w:pStyle w:val="20"/>
        <w:ind w:firstLine="0"/>
        <w:jc w:val="both"/>
        <w:rPr>
          <w:color w:val="0000FF"/>
        </w:rPr>
      </w:pPr>
    </w:p>
    <w:p>
      <w:pPr>
        <w:pStyle w:val="20"/>
        <w:ind w:firstLine="0"/>
        <w:jc w:val="both"/>
        <w:outlineLvl w:val="1"/>
        <w:rPr>
          <w:rFonts w:ascii="Times New Roman" w:hAnsi="Times New Roman" w:eastAsia="宋体" w:cs="Times New Roman"/>
          <w:color w:val="0000FF"/>
          <w:sz w:val="28"/>
          <w:szCs w:val="24"/>
        </w:rPr>
        <w:sectPr>
          <w:pgSz w:w="11906" w:h="16838"/>
          <w:pgMar w:top="1440" w:right="1803" w:bottom="1440" w:left="1803" w:header="851" w:footer="992" w:gutter="0"/>
          <w:cols w:space="0" w:num="1"/>
          <w:docGrid w:type="lines" w:linePitch="319" w:charSpace="0"/>
        </w:sectPr>
      </w:pPr>
    </w:p>
    <w:p>
      <w:pPr>
        <w:pStyle w:val="20"/>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w:t>
      </w:r>
      <w:r>
        <w:rPr>
          <w:rFonts w:hint="eastAsia" w:ascii="Times New Roman" w:hAnsi="Times New Roman" w:eastAsia="宋体" w:cs="Times New Roman"/>
          <w:color w:val="auto"/>
          <w:sz w:val="28"/>
          <w:szCs w:val="24"/>
        </w:rPr>
        <w:t>件</w:t>
      </w:r>
      <w:r>
        <w:rPr>
          <w:rFonts w:hint="eastAsia" w:ascii="Times New Roman" w:hAnsi="Times New Roman" w:eastAsia="宋体" w:cs="Times New Roman"/>
          <w:color w:val="auto"/>
          <w:sz w:val="28"/>
          <w:szCs w:val="24"/>
          <w:lang w:val="en-US" w:eastAsia="zh-CN"/>
        </w:rPr>
        <w:t>5</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检测报告</w:t>
      </w:r>
    </w:p>
    <w:p>
      <w:pPr>
        <w:pStyle w:val="20"/>
        <w:ind w:firstLine="0"/>
        <w:jc w:val="both"/>
        <w:outlineLvl w:val="1"/>
        <w:rPr>
          <w:rFonts w:hint="eastAsia" w:ascii="Times New Roman" w:hAnsi="Times New Roman" w:eastAsia="宋体" w:cs="Times New Roman"/>
          <w:color w:val="auto"/>
          <w:sz w:val="28"/>
          <w:szCs w:val="24"/>
          <w:lang w:val="en-US" w:eastAsia="zh-CN"/>
        </w:rPr>
      </w:pPr>
      <w:r>
        <w:rPr>
          <w:color w:val="0000FF"/>
        </w:rPr>
        <w:drawing>
          <wp:inline distT="0" distB="0" distL="114300" distR="114300">
            <wp:extent cx="5266690" cy="7444105"/>
            <wp:effectExtent l="0" t="0" r="10160" b="4445"/>
            <wp:docPr id="39" name="图片 39" descr="KYJCJB20200805E恩仕（长泰）休闲卫浴有限公司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KYJCJB20200805E恩仕（长泰）休闲卫浴有限公司0000"/>
                    <pic:cNvPicPr>
                      <a:picLocks noChangeAspect="1"/>
                    </pic:cNvPicPr>
                  </pic:nvPicPr>
                  <pic:blipFill>
                    <a:blip r:embed="rId28"/>
                    <a:stretch>
                      <a:fillRect/>
                    </a:stretch>
                  </pic:blipFill>
                  <pic:spPr>
                    <a:xfrm>
                      <a:off x="0" y="0"/>
                      <a:ext cx="5266690" cy="7444105"/>
                    </a:xfrm>
                    <a:prstGeom prst="rect">
                      <a:avLst/>
                    </a:prstGeom>
                  </pic:spPr>
                </pic:pic>
              </a:graphicData>
            </a:graphic>
          </wp:inline>
        </w:drawing>
      </w:r>
    </w:p>
    <w:p>
      <w:pPr>
        <w:pStyle w:val="20"/>
        <w:ind w:firstLine="0"/>
        <w:jc w:val="both"/>
        <w:outlineLvl w:val="1"/>
        <w:rPr>
          <w:color w:val="0000FF"/>
        </w:rPr>
      </w:pPr>
      <w:r>
        <w:rPr>
          <w:color w:val="0000FF"/>
        </w:rPr>
        <w:drawing>
          <wp:inline distT="0" distB="0" distL="114300" distR="114300">
            <wp:extent cx="5266690" cy="7444105"/>
            <wp:effectExtent l="0" t="0" r="10160" b="4445"/>
            <wp:docPr id="38" name="图片 38" descr="KYJCJB20200805E恩仕（长泰）休闲卫浴有限公司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KYJCJB20200805E恩仕（长泰）休闲卫浴有限公司0001"/>
                    <pic:cNvPicPr>
                      <a:picLocks noChangeAspect="1"/>
                    </pic:cNvPicPr>
                  </pic:nvPicPr>
                  <pic:blipFill>
                    <a:blip r:embed="rId29"/>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7" name="图片 37" descr="KYJCJB20200805E恩仕（长泰）休闲卫浴有限公司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KYJCJB20200805E恩仕（长泰）休闲卫浴有限公司0002"/>
                    <pic:cNvPicPr>
                      <a:picLocks noChangeAspect="1"/>
                    </pic:cNvPicPr>
                  </pic:nvPicPr>
                  <pic:blipFill>
                    <a:blip r:embed="rId30"/>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6" name="图片 36" descr="KYJCJB20200805E恩仕（长泰）休闲卫浴有限公司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KYJCJB20200805E恩仕（长泰）休闲卫浴有限公司0003"/>
                    <pic:cNvPicPr>
                      <a:picLocks noChangeAspect="1"/>
                    </pic:cNvPicPr>
                  </pic:nvPicPr>
                  <pic:blipFill>
                    <a:blip r:embed="rId31"/>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5" name="图片 35" descr="KYJCJB20200805E恩仕（长泰）休闲卫浴有限公司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KYJCJB20200805E恩仕（长泰）休闲卫浴有限公司0004"/>
                    <pic:cNvPicPr>
                      <a:picLocks noChangeAspect="1"/>
                    </pic:cNvPicPr>
                  </pic:nvPicPr>
                  <pic:blipFill>
                    <a:blip r:embed="rId32"/>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4" name="图片 34" descr="KYJCJB20200805E恩仕（长泰）休闲卫浴有限公司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KYJCJB20200805E恩仕（长泰）休闲卫浴有限公司0005"/>
                    <pic:cNvPicPr>
                      <a:picLocks noChangeAspect="1"/>
                    </pic:cNvPicPr>
                  </pic:nvPicPr>
                  <pic:blipFill>
                    <a:blip r:embed="rId33"/>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3" name="图片 33" descr="KYJCJB20200805E恩仕（长泰）休闲卫浴有限公司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KYJCJB20200805E恩仕（长泰）休闲卫浴有限公司0006"/>
                    <pic:cNvPicPr>
                      <a:picLocks noChangeAspect="1"/>
                    </pic:cNvPicPr>
                  </pic:nvPicPr>
                  <pic:blipFill>
                    <a:blip r:embed="rId34"/>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2" name="图片 32" descr="KYJCJB20200805E恩仕（长泰）休闲卫浴有限公司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KYJCJB20200805E恩仕（长泰）休闲卫浴有限公司0007"/>
                    <pic:cNvPicPr>
                      <a:picLocks noChangeAspect="1"/>
                    </pic:cNvPicPr>
                  </pic:nvPicPr>
                  <pic:blipFill>
                    <a:blip r:embed="rId35"/>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1" name="图片 31" descr="KYJCJB20200805E恩仕（长泰）休闲卫浴有限公司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KYJCJB20200805E恩仕（长泰）休闲卫浴有限公司0008"/>
                    <pic:cNvPicPr>
                      <a:picLocks noChangeAspect="1"/>
                    </pic:cNvPicPr>
                  </pic:nvPicPr>
                  <pic:blipFill>
                    <a:blip r:embed="rId36"/>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30" name="图片 30" descr="KYJCJB20200805E恩仕（长泰）休闲卫浴有限公司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KYJCJB20200805E恩仕（长泰）休闲卫浴有限公司0009"/>
                    <pic:cNvPicPr>
                      <a:picLocks noChangeAspect="1"/>
                    </pic:cNvPicPr>
                  </pic:nvPicPr>
                  <pic:blipFill>
                    <a:blip r:embed="rId37"/>
                    <a:stretch>
                      <a:fillRect/>
                    </a:stretch>
                  </pic:blipFill>
                  <pic:spPr>
                    <a:xfrm>
                      <a:off x="0" y="0"/>
                      <a:ext cx="5266690" cy="7444105"/>
                    </a:xfrm>
                    <a:prstGeom prst="rect">
                      <a:avLst/>
                    </a:prstGeom>
                  </pic:spPr>
                </pic:pic>
              </a:graphicData>
            </a:graphic>
          </wp:inline>
        </w:drawing>
      </w:r>
      <w:r>
        <w:rPr>
          <w:color w:val="0000FF"/>
        </w:rPr>
        <w:drawing>
          <wp:inline distT="0" distB="0" distL="114300" distR="114300">
            <wp:extent cx="5266690" cy="7444105"/>
            <wp:effectExtent l="0" t="0" r="10160" b="4445"/>
            <wp:docPr id="29" name="图片 29" descr="KYJCJB20200805E恩仕（长泰）休闲卫浴有限公司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KYJCJB20200805E恩仕（长泰）休闲卫浴有限公司0010"/>
                    <pic:cNvPicPr>
                      <a:picLocks noChangeAspect="1"/>
                    </pic:cNvPicPr>
                  </pic:nvPicPr>
                  <pic:blipFill>
                    <a:blip r:embed="rId38"/>
                    <a:stretch>
                      <a:fillRect/>
                    </a:stretch>
                  </pic:blipFill>
                  <pic:spPr>
                    <a:xfrm>
                      <a:off x="0" y="0"/>
                      <a:ext cx="5266690" cy="7444105"/>
                    </a:xfrm>
                    <a:prstGeom prst="rect">
                      <a:avLst/>
                    </a:prstGeom>
                  </pic:spPr>
                </pic:pic>
              </a:graphicData>
            </a:graphic>
          </wp:inline>
        </w:drawing>
      </w:r>
    </w:p>
    <w:sectPr>
      <w:footerReference r:id="rId10" w:type="default"/>
      <w:pgSz w:w="11906" w:h="16838"/>
      <w:pgMar w:top="1440" w:right="1803" w:bottom="1440" w:left="1803" w:header="851" w:footer="992" w:gutter="0"/>
      <w:pgNumType w:start="1"/>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Npw48UbAgAAIgQAAA4A&#10;AAAAAAAAAQAgAAAAHwEAAGRycy9lMm9Eb2MueG1sUEsFBgAAAAAGAAYAWQEAAKw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VbPodAgAAIw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lRVs+h0CAAAjBAAA&#10;DgAAAAAAAAABACAAAAAfAQAAZHJzL2Uyb0RvYy54bWxQSwUGAAAAAAYABgBZAQAArg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5"/>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5"/>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8"/>
      <w:docPartObj>
        <w:docPartGallery w:val="autotext"/>
      </w:docPartObj>
    </w:sdtPr>
    <w:sdtContent>
      <w:p>
        <w:pPr>
          <w:pStyle w:val="15"/>
          <w:jc w:val="center"/>
        </w:pPr>
        <w:r>
          <w:fldChar w:fldCharType="begin"/>
        </w:r>
        <w:r>
          <w:instrText xml:space="preserve"> PAGE   \* MERGEFORMAT </w:instrText>
        </w:r>
        <w:r>
          <w:fldChar w:fldCharType="separate"/>
        </w:r>
        <w:r>
          <w:rPr>
            <w:lang w:val="zh-CN"/>
          </w:rPr>
          <w:t>55</w:t>
        </w:r>
        <w:r>
          <w:rPr>
            <w:lang w:val="zh-CN"/>
          </w:rPr>
          <w:fldChar w:fldCharType="end"/>
        </w:r>
      </w:p>
    </w:sdtContent>
  </w:sdt>
  <w:p>
    <w:pPr>
      <w:pStyle w:val="15"/>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81A2C1"/>
    <w:multiLevelType w:val="singleLevel"/>
    <w:tmpl w:val="C781A2C1"/>
    <w:lvl w:ilvl="0" w:tentative="0">
      <w:start w:val="1"/>
      <w:numFmt w:val="decimal"/>
      <w:suff w:val="nothing"/>
      <w:lvlText w:val="%1、"/>
      <w:lvlJc w:val="left"/>
    </w:lvl>
  </w:abstractNum>
  <w:abstractNum w:abstractNumId="1">
    <w:nsid w:val="E8E746C5"/>
    <w:multiLevelType w:val="singleLevel"/>
    <w:tmpl w:val="E8E746C5"/>
    <w:lvl w:ilvl="0" w:tentative="0">
      <w:start w:val="1"/>
      <w:numFmt w:val="decimal"/>
      <w:suff w:val="space"/>
      <w:lvlText w:val="（%1）"/>
      <w:lvlJc w:val="left"/>
    </w:lvl>
  </w:abstractNum>
  <w:abstractNum w:abstractNumId="2">
    <w:nsid w:val="68804528"/>
    <w:multiLevelType w:val="singleLevel"/>
    <w:tmpl w:val="68804528"/>
    <w:lvl w:ilvl="0" w:tentative="0">
      <w:start w:val="1"/>
      <w:numFmt w:val="decimal"/>
      <w:suff w:val="nothing"/>
      <w:lvlText w:val="%1、"/>
      <w:lvlJc w:val="left"/>
    </w:lvl>
  </w:abstractNum>
  <w:abstractNum w:abstractNumId="3">
    <w:nsid w:val="73D1E309"/>
    <w:multiLevelType w:val="singleLevel"/>
    <w:tmpl w:val="73D1E309"/>
    <w:lvl w:ilvl="0" w:tentative="0">
      <w:start w:val="2"/>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D120E"/>
    <w:rsid w:val="005F53BF"/>
    <w:rsid w:val="00606883"/>
    <w:rsid w:val="006176E5"/>
    <w:rsid w:val="006230C1"/>
    <w:rsid w:val="006247C8"/>
    <w:rsid w:val="00625732"/>
    <w:rsid w:val="00634D69"/>
    <w:rsid w:val="00655A0D"/>
    <w:rsid w:val="0068079D"/>
    <w:rsid w:val="00693390"/>
    <w:rsid w:val="006A6EFD"/>
    <w:rsid w:val="00703BD4"/>
    <w:rsid w:val="00705AFD"/>
    <w:rsid w:val="00726981"/>
    <w:rsid w:val="007276CA"/>
    <w:rsid w:val="00731732"/>
    <w:rsid w:val="00795431"/>
    <w:rsid w:val="007B4F1B"/>
    <w:rsid w:val="007B4FE2"/>
    <w:rsid w:val="007F742E"/>
    <w:rsid w:val="0080473F"/>
    <w:rsid w:val="008103A3"/>
    <w:rsid w:val="00820918"/>
    <w:rsid w:val="00822E69"/>
    <w:rsid w:val="008271EE"/>
    <w:rsid w:val="00827AEA"/>
    <w:rsid w:val="00867BDE"/>
    <w:rsid w:val="00870741"/>
    <w:rsid w:val="008717A8"/>
    <w:rsid w:val="00880CB8"/>
    <w:rsid w:val="008A04D2"/>
    <w:rsid w:val="008D27CB"/>
    <w:rsid w:val="008D3252"/>
    <w:rsid w:val="008E0FFA"/>
    <w:rsid w:val="008E3AD1"/>
    <w:rsid w:val="008F7495"/>
    <w:rsid w:val="00902C93"/>
    <w:rsid w:val="00913646"/>
    <w:rsid w:val="009317D1"/>
    <w:rsid w:val="00946E55"/>
    <w:rsid w:val="0097365A"/>
    <w:rsid w:val="00981994"/>
    <w:rsid w:val="009B732C"/>
    <w:rsid w:val="009D19F6"/>
    <w:rsid w:val="009D2A8B"/>
    <w:rsid w:val="009F0F48"/>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E3AC6"/>
    <w:rsid w:val="00C313C9"/>
    <w:rsid w:val="00C72774"/>
    <w:rsid w:val="00CA778C"/>
    <w:rsid w:val="00CB0D76"/>
    <w:rsid w:val="00CB431F"/>
    <w:rsid w:val="00CF240E"/>
    <w:rsid w:val="00D25CA4"/>
    <w:rsid w:val="00D3491B"/>
    <w:rsid w:val="00D60A9D"/>
    <w:rsid w:val="00DB4C43"/>
    <w:rsid w:val="00DB4EE0"/>
    <w:rsid w:val="00DC74A7"/>
    <w:rsid w:val="00DD5DB0"/>
    <w:rsid w:val="00E31175"/>
    <w:rsid w:val="00E34923"/>
    <w:rsid w:val="00E53EB7"/>
    <w:rsid w:val="00E7715D"/>
    <w:rsid w:val="00E82F34"/>
    <w:rsid w:val="00E86B61"/>
    <w:rsid w:val="00E91068"/>
    <w:rsid w:val="00EB1CB6"/>
    <w:rsid w:val="00EB33D5"/>
    <w:rsid w:val="00EC10CB"/>
    <w:rsid w:val="00EC22D1"/>
    <w:rsid w:val="00ED6A64"/>
    <w:rsid w:val="00F4033E"/>
    <w:rsid w:val="00F41B56"/>
    <w:rsid w:val="00F46D54"/>
    <w:rsid w:val="00FD4162"/>
    <w:rsid w:val="00FD44A1"/>
    <w:rsid w:val="00FF73D9"/>
    <w:rsid w:val="01074046"/>
    <w:rsid w:val="01087146"/>
    <w:rsid w:val="01320A89"/>
    <w:rsid w:val="013F4762"/>
    <w:rsid w:val="01555D36"/>
    <w:rsid w:val="01571B3E"/>
    <w:rsid w:val="015C039B"/>
    <w:rsid w:val="015D0B69"/>
    <w:rsid w:val="0162669E"/>
    <w:rsid w:val="01731009"/>
    <w:rsid w:val="017C1861"/>
    <w:rsid w:val="01814DD7"/>
    <w:rsid w:val="019330E1"/>
    <w:rsid w:val="01A76B9F"/>
    <w:rsid w:val="01B55669"/>
    <w:rsid w:val="01C77ACE"/>
    <w:rsid w:val="01D504F3"/>
    <w:rsid w:val="02117A13"/>
    <w:rsid w:val="02175600"/>
    <w:rsid w:val="02201996"/>
    <w:rsid w:val="022B1076"/>
    <w:rsid w:val="02336432"/>
    <w:rsid w:val="023A0ACB"/>
    <w:rsid w:val="023F7854"/>
    <w:rsid w:val="02444CD5"/>
    <w:rsid w:val="024D3B57"/>
    <w:rsid w:val="02543B8E"/>
    <w:rsid w:val="02571FB0"/>
    <w:rsid w:val="0276779B"/>
    <w:rsid w:val="027D39E1"/>
    <w:rsid w:val="02847DB9"/>
    <w:rsid w:val="029C681D"/>
    <w:rsid w:val="02C9587A"/>
    <w:rsid w:val="02DB343C"/>
    <w:rsid w:val="02E318C8"/>
    <w:rsid w:val="02E75AF7"/>
    <w:rsid w:val="02E9438C"/>
    <w:rsid w:val="030339CF"/>
    <w:rsid w:val="03063938"/>
    <w:rsid w:val="030D661A"/>
    <w:rsid w:val="03107520"/>
    <w:rsid w:val="031E29D7"/>
    <w:rsid w:val="032D73EC"/>
    <w:rsid w:val="033D1FC5"/>
    <w:rsid w:val="03441AEB"/>
    <w:rsid w:val="03483054"/>
    <w:rsid w:val="03531B2E"/>
    <w:rsid w:val="03665FE4"/>
    <w:rsid w:val="036D76E4"/>
    <w:rsid w:val="037263D9"/>
    <w:rsid w:val="03742523"/>
    <w:rsid w:val="03815C3A"/>
    <w:rsid w:val="038559E0"/>
    <w:rsid w:val="03A21089"/>
    <w:rsid w:val="03AE7610"/>
    <w:rsid w:val="03CF5C14"/>
    <w:rsid w:val="03D07326"/>
    <w:rsid w:val="03DF073B"/>
    <w:rsid w:val="03E0331E"/>
    <w:rsid w:val="03E463D3"/>
    <w:rsid w:val="041202D3"/>
    <w:rsid w:val="041B7AA1"/>
    <w:rsid w:val="04313574"/>
    <w:rsid w:val="043F724A"/>
    <w:rsid w:val="045D5E10"/>
    <w:rsid w:val="0478104E"/>
    <w:rsid w:val="04883E48"/>
    <w:rsid w:val="04884804"/>
    <w:rsid w:val="0491352B"/>
    <w:rsid w:val="0496529C"/>
    <w:rsid w:val="049C7734"/>
    <w:rsid w:val="049F249A"/>
    <w:rsid w:val="04D3141D"/>
    <w:rsid w:val="04F26F4E"/>
    <w:rsid w:val="05002400"/>
    <w:rsid w:val="05091489"/>
    <w:rsid w:val="050A32C4"/>
    <w:rsid w:val="052147EF"/>
    <w:rsid w:val="05432981"/>
    <w:rsid w:val="05513968"/>
    <w:rsid w:val="056636DB"/>
    <w:rsid w:val="05681A75"/>
    <w:rsid w:val="056D0811"/>
    <w:rsid w:val="05871DC9"/>
    <w:rsid w:val="05925DF6"/>
    <w:rsid w:val="05A35D37"/>
    <w:rsid w:val="05A40B04"/>
    <w:rsid w:val="05AB6CBE"/>
    <w:rsid w:val="05B35541"/>
    <w:rsid w:val="05BD097D"/>
    <w:rsid w:val="05C10E79"/>
    <w:rsid w:val="05C33333"/>
    <w:rsid w:val="05D45FEB"/>
    <w:rsid w:val="05DD7822"/>
    <w:rsid w:val="05E5128D"/>
    <w:rsid w:val="05F05F3C"/>
    <w:rsid w:val="05F33DE3"/>
    <w:rsid w:val="05F5438C"/>
    <w:rsid w:val="05FD2716"/>
    <w:rsid w:val="06023097"/>
    <w:rsid w:val="0604537E"/>
    <w:rsid w:val="06101C8C"/>
    <w:rsid w:val="062B60C2"/>
    <w:rsid w:val="06326A2D"/>
    <w:rsid w:val="064B7704"/>
    <w:rsid w:val="06575936"/>
    <w:rsid w:val="06602BB4"/>
    <w:rsid w:val="06637207"/>
    <w:rsid w:val="066C1959"/>
    <w:rsid w:val="067B719C"/>
    <w:rsid w:val="06807BE4"/>
    <w:rsid w:val="06820453"/>
    <w:rsid w:val="06A341A7"/>
    <w:rsid w:val="06B75333"/>
    <w:rsid w:val="06D44F60"/>
    <w:rsid w:val="06E86867"/>
    <w:rsid w:val="06FD211F"/>
    <w:rsid w:val="070159FE"/>
    <w:rsid w:val="07052346"/>
    <w:rsid w:val="070D4194"/>
    <w:rsid w:val="071A4A25"/>
    <w:rsid w:val="071F425E"/>
    <w:rsid w:val="07335F45"/>
    <w:rsid w:val="07386A5E"/>
    <w:rsid w:val="07545637"/>
    <w:rsid w:val="075D175E"/>
    <w:rsid w:val="0760459B"/>
    <w:rsid w:val="07650044"/>
    <w:rsid w:val="07787161"/>
    <w:rsid w:val="077A7B8A"/>
    <w:rsid w:val="07A028AF"/>
    <w:rsid w:val="07A40B28"/>
    <w:rsid w:val="07A502F4"/>
    <w:rsid w:val="07BC729D"/>
    <w:rsid w:val="07C90E80"/>
    <w:rsid w:val="07D22F1A"/>
    <w:rsid w:val="07D608D5"/>
    <w:rsid w:val="07D87287"/>
    <w:rsid w:val="07DC5FAA"/>
    <w:rsid w:val="07E509E1"/>
    <w:rsid w:val="07F0031C"/>
    <w:rsid w:val="082D6213"/>
    <w:rsid w:val="082E414A"/>
    <w:rsid w:val="08342D07"/>
    <w:rsid w:val="0834513C"/>
    <w:rsid w:val="08483D46"/>
    <w:rsid w:val="08596130"/>
    <w:rsid w:val="08686183"/>
    <w:rsid w:val="086C4F68"/>
    <w:rsid w:val="08831B75"/>
    <w:rsid w:val="088D0831"/>
    <w:rsid w:val="08A211FF"/>
    <w:rsid w:val="08A623AF"/>
    <w:rsid w:val="08AC7940"/>
    <w:rsid w:val="08D36930"/>
    <w:rsid w:val="08E33990"/>
    <w:rsid w:val="08FB3880"/>
    <w:rsid w:val="0901439C"/>
    <w:rsid w:val="090E7C9B"/>
    <w:rsid w:val="091468DD"/>
    <w:rsid w:val="093375BB"/>
    <w:rsid w:val="09385D4D"/>
    <w:rsid w:val="094F58AB"/>
    <w:rsid w:val="094F5C49"/>
    <w:rsid w:val="095A0746"/>
    <w:rsid w:val="09882276"/>
    <w:rsid w:val="09886F8A"/>
    <w:rsid w:val="098B7D00"/>
    <w:rsid w:val="09927ABB"/>
    <w:rsid w:val="09987EDA"/>
    <w:rsid w:val="09B25955"/>
    <w:rsid w:val="09B66121"/>
    <w:rsid w:val="09BF31F9"/>
    <w:rsid w:val="09C7288A"/>
    <w:rsid w:val="09CC00F6"/>
    <w:rsid w:val="09D32AA4"/>
    <w:rsid w:val="09D427C0"/>
    <w:rsid w:val="09DC4DF0"/>
    <w:rsid w:val="09EA7403"/>
    <w:rsid w:val="09F01221"/>
    <w:rsid w:val="09F64B8F"/>
    <w:rsid w:val="0A207B1F"/>
    <w:rsid w:val="0A2E5D2E"/>
    <w:rsid w:val="0A5C6E0F"/>
    <w:rsid w:val="0A796CC5"/>
    <w:rsid w:val="0A7D181C"/>
    <w:rsid w:val="0A827AF5"/>
    <w:rsid w:val="0A844B06"/>
    <w:rsid w:val="0A857D39"/>
    <w:rsid w:val="0A885898"/>
    <w:rsid w:val="0A8D7DFD"/>
    <w:rsid w:val="0A903042"/>
    <w:rsid w:val="0A917864"/>
    <w:rsid w:val="0AA01447"/>
    <w:rsid w:val="0AA95240"/>
    <w:rsid w:val="0ABF7418"/>
    <w:rsid w:val="0AD140C6"/>
    <w:rsid w:val="0AD36DC9"/>
    <w:rsid w:val="0AE1709D"/>
    <w:rsid w:val="0AEF1CA4"/>
    <w:rsid w:val="0AFC7A29"/>
    <w:rsid w:val="0B0A635E"/>
    <w:rsid w:val="0B103B47"/>
    <w:rsid w:val="0B2064B2"/>
    <w:rsid w:val="0B2D4768"/>
    <w:rsid w:val="0B3558A5"/>
    <w:rsid w:val="0B385C98"/>
    <w:rsid w:val="0B426D02"/>
    <w:rsid w:val="0B4A77EA"/>
    <w:rsid w:val="0B4F1AAF"/>
    <w:rsid w:val="0B505CD8"/>
    <w:rsid w:val="0B63435B"/>
    <w:rsid w:val="0B8A7168"/>
    <w:rsid w:val="0B99666A"/>
    <w:rsid w:val="0B997CAF"/>
    <w:rsid w:val="0B9E62C4"/>
    <w:rsid w:val="0BA51239"/>
    <w:rsid w:val="0BA645D0"/>
    <w:rsid w:val="0BC466F4"/>
    <w:rsid w:val="0BC631B1"/>
    <w:rsid w:val="0BD27054"/>
    <w:rsid w:val="0BD45DB0"/>
    <w:rsid w:val="0C2B34D5"/>
    <w:rsid w:val="0C3D07BF"/>
    <w:rsid w:val="0C4613F7"/>
    <w:rsid w:val="0C5E192C"/>
    <w:rsid w:val="0C7505D5"/>
    <w:rsid w:val="0C7722F9"/>
    <w:rsid w:val="0C810D74"/>
    <w:rsid w:val="0C825A90"/>
    <w:rsid w:val="0C8B1CB3"/>
    <w:rsid w:val="0C8C7FCB"/>
    <w:rsid w:val="0C8F7B18"/>
    <w:rsid w:val="0C9F555A"/>
    <w:rsid w:val="0CA347A7"/>
    <w:rsid w:val="0CB030D0"/>
    <w:rsid w:val="0CBD7D37"/>
    <w:rsid w:val="0CCA4B07"/>
    <w:rsid w:val="0CCF5AA7"/>
    <w:rsid w:val="0CD20F22"/>
    <w:rsid w:val="0CD42BF0"/>
    <w:rsid w:val="0CD574E2"/>
    <w:rsid w:val="0CD635DC"/>
    <w:rsid w:val="0D042796"/>
    <w:rsid w:val="0D1666C2"/>
    <w:rsid w:val="0D3201BB"/>
    <w:rsid w:val="0D446F88"/>
    <w:rsid w:val="0D6C0F92"/>
    <w:rsid w:val="0D862E26"/>
    <w:rsid w:val="0D871BC2"/>
    <w:rsid w:val="0D8F2357"/>
    <w:rsid w:val="0D9A621B"/>
    <w:rsid w:val="0DA16BA8"/>
    <w:rsid w:val="0DB11C19"/>
    <w:rsid w:val="0DCA2163"/>
    <w:rsid w:val="0DCC33D9"/>
    <w:rsid w:val="0DD07926"/>
    <w:rsid w:val="0DDB0847"/>
    <w:rsid w:val="0DDC7116"/>
    <w:rsid w:val="0DF3401C"/>
    <w:rsid w:val="0DF5249E"/>
    <w:rsid w:val="0E1A6B31"/>
    <w:rsid w:val="0E2461F6"/>
    <w:rsid w:val="0E2A3D70"/>
    <w:rsid w:val="0E3A01FA"/>
    <w:rsid w:val="0E3C19C8"/>
    <w:rsid w:val="0E4404B2"/>
    <w:rsid w:val="0E4410A5"/>
    <w:rsid w:val="0E4970D4"/>
    <w:rsid w:val="0E4B613E"/>
    <w:rsid w:val="0E4C3E08"/>
    <w:rsid w:val="0E543543"/>
    <w:rsid w:val="0E761B6C"/>
    <w:rsid w:val="0E773ABB"/>
    <w:rsid w:val="0E7F3F63"/>
    <w:rsid w:val="0E8807BD"/>
    <w:rsid w:val="0E9B4995"/>
    <w:rsid w:val="0E9D4EFB"/>
    <w:rsid w:val="0EAD5805"/>
    <w:rsid w:val="0EBF4221"/>
    <w:rsid w:val="0EC1568B"/>
    <w:rsid w:val="0EE42959"/>
    <w:rsid w:val="0EFD2849"/>
    <w:rsid w:val="0F0668CA"/>
    <w:rsid w:val="0F0D7B3F"/>
    <w:rsid w:val="0F2E7F18"/>
    <w:rsid w:val="0F31112A"/>
    <w:rsid w:val="0F4126ED"/>
    <w:rsid w:val="0F4328C8"/>
    <w:rsid w:val="0F500AB0"/>
    <w:rsid w:val="0F5D3222"/>
    <w:rsid w:val="0F5D59BD"/>
    <w:rsid w:val="0F6147A0"/>
    <w:rsid w:val="0F76004A"/>
    <w:rsid w:val="0F7F46C4"/>
    <w:rsid w:val="0F8F2578"/>
    <w:rsid w:val="0F945149"/>
    <w:rsid w:val="0FA56FC7"/>
    <w:rsid w:val="0FA96E6B"/>
    <w:rsid w:val="0FB6376E"/>
    <w:rsid w:val="0FBA4E83"/>
    <w:rsid w:val="0FBC73ED"/>
    <w:rsid w:val="0FBF07D3"/>
    <w:rsid w:val="0FC54EE6"/>
    <w:rsid w:val="0FD609C1"/>
    <w:rsid w:val="0FE2665E"/>
    <w:rsid w:val="0FF6328B"/>
    <w:rsid w:val="10052627"/>
    <w:rsid w:val="100C3E07"/>
    <w:rsid w:val="1017171F"/>
    <w:rsid w:val="10206FB0"/>
    <w:rsid w:val="103831C6"/>
    <w:rsid w:val="103E4562"/>
    <w:rsid w:val="10404158"/>
    <w:rsid w:val="10524AF7"/>
    <w:rsid w:val="10820F19"/>
    <w:rsid w:val="108A7C66"/>
    <w:rsid w:val="109A0CC1"/>
    <w:rsid w:val="10A136B9"/>
    <w:rsid w:val="10A42E2D"/>
    <w:rsid w:val="10A44B24"/>
    <w:rsid w:val="10A565D2"/>
    <w:rsid w:val="10AF51E5"/>
    <w:rsid w:val="10BA6E1A"/>
    <w:rsid w:val="10C2430D"/>
    <w:rsid w:val="10C90ACF"/>
    <w:rsid w:val="10CA3BDC"/>
    <w:rsid w:val="10CF3E89"/>
    <w:rsid w:val="10D805D5"/>
    <w:rsid w:val="10F918EB"/>
    <w:rsid w:val="112003A1"/>
    <w:rsid w:val="11293937"/>
    <w:rsid w:val="1146686D"/>
    <w:rsid w:val="11565CBD"/>
    <w:rsid w:val="11706D7A"/>
    <w:rsid w:val="11706ED2"/>
    <w:rsid w:val="117307F9"/>
    <w:rsid w:val="11796DD7"/>
    <w:rsid w:val="118A79F7"/>
    <w:rsid w:val="11941056"/>
    <w:rsid w:val="119909C8"/>
    <w:rsid w:val="119B2E2E"/>
    <w:rsid w:val="11A6066D"/>
    <w:rsid w:val="11A87179"/>
    <w:rsid w:val="11AB4549"/>
    <w:rsid w:val="11AE7D52"/>
    <w:rsid w:val="11B52839"/>
    <w:rsid w:val="11CA4CC1"/>
    <w:rsid w:val="11D67F5D"/>
    <w:rsid w:val="11D75F2A"/>
    <w:rsid w:val="11DD0499"/>
    <w:rsid w:val="11DD31D1"/>
    <w:rsid w:val="12046B3C"/>
    <w:rsid w:val="12211262"/>
    <w:rsid w:val="122E55DD"/>
    <w:rsid w:val="12334A21"/>
    <w:rsid w:val="123D3805"/>
    <w:rsid w:val="12412EA7"/>
    <w:rsid w:val="126D039E"/>
    <w:rsid w:val="1285444F"/>
    <w:rsid w:val="12AF2AF5"/>
    <w:rsid w:val="12C32643"/>
    <w:rsid w:val="12C752F2"/>
    <w:rsid w:val="12DA0E63"/>
    <w:rsid w:val="12DD4D68"/>
    <w:rsid w:val="12DE4FDF"/>
    <w:rsid w:val="12F04D11"/>
    <w:rsid w:val="12F176F2"/>
    <w:rsid w:val="12F56A98"/>
    <w:rsid w:val="12F862BA"/>
    <w:rsid w:val="130200A8"/>
    <w:rsid w:val="133875FC"/>
    <w:rsid w:val="133935F6"/>
    <w:rsid w:val="13394607"/>
    <w:rsid w:val="134A6FA1"/>
    <w:rsid w:val="13636863"/>
    <w:rsid w:val="137148E6"/>
    <w:rsid w:val="13926C8F"/>
    <w:rsid w:val="139460E2"/>
    <w:rsid w:val="139C0911"/>
    <w:rsid w:val="13A34909"/>
    <w:rsid w:val="13B26B58"/>
    <w:rsid w:val="13BF68B0"/>
    <w:rsid w:val="13C2059E"/>
    <w:rsid w:val="13CB2A15"/>
    <w:rsid w:val="13D34164"/>
    <w:rsid w:val="13E928B9"/>
    <w:rsid w:val="13EA53CB"/>
    <w:rsid w:val="13F8578D"/>
    <w:rsid w:val="14023E93"/>
    <w:rsid w:val="140D4CC3"/>
    <w:rsid w:val="141603FF"/>
    <w:rsid w:val="141A1890"/>
    <w:rsid w:val="142F4A58"/>
    <w:rsid w:val="143343BC"/>
    <w:rsid w:val="143B3F94"/>
    <w:rsid w:val="143E155D"/>
    <w:rsid w:val="14434081"/>
    <w:rsid w:val="14524FEA"/>
    <w:rsid w:val="14537D60"/>
    <w:rsid w:val="145F55A0"/>
    <w:rsid w:val="146A2630"/>
    <w:rsid w:val="147E7D46"/>
    <w:rsid w:val="14874CB2"/>
    <w:rsid w:val="14B27947"/>
    <w:rsid w:val="14BE4E9D"/>
    <w:rsid w:val="14C11702"/>
    <w:rsid w:val="14C967EE"/>
    <w:rsid w:val="14DD0CB2"/>
    <w:rsid w:val="14E32182"/>
    <w:rsid w:val="14FC6299"/>
    <w:rsid w:val="15092CE2"/>
    <w:rsid w:val="15146B8D"/>
    <w:rsid w:val="151E3928"/>
    <w:rsid w:val="15270A82"/>
    <w:rsid w:val="153348AC"/>
    <w:rsid w:val="154926B6"/>
    <w:rsid w:val="15602622"/>
    <w:rsid w:val="15882251"/>
    <w:rsid w:val="158C79C7"/>
    <w:rsid w:val="15A27F8D"/>
    <w:rsid w:val="15B02087"/>
    <w:rsid w:val="15BC1A66"/>
    <w:rsid w:val="15C20B7F"/>
    <w:rsid w:val="15C7162A"/>
    <w:rsid w:val="15C71BAE"/>
    <w:rsid w:val="15D62F35"/>
    <w:rsid w:val="15E31513"/>
    <w:rsid w:val="15E33711"/>
    <w:rsid w:val="15E74810"/>
    <w:rsid w:val="16094054"/>
    <w:rsid w:val="160B72AB"/>
    <w:rsid w:val="160F4D63"/>
    <w:rsid w:val="16214B8C"/>
    <w:rsid w:val="162504D3"/>
    <w:rsid w:val="163A210E"/>
    <w:rsid w:val="163A71FB"/>
    <w:rsid w:val="164C3FF0"/>
    <w:rsid w:val="165E551D"/>
    <w:rsid w:val="16757DC4"/>
    <w:rsid w:val="167B13A6"/>
    <w:rsid w:val="16A77DCA"/>
    <w:rsid w:val="16AF43BD"/>
    <w:rsid w:val="16B34234"/>
    <w:rsid w:val="16D34240"/>
    <w:rsid w:val="16F76675"/>
    <w:rsid w:val="170764AD"/>
    <w:rsid w:val="1712743B"/>
    <w:rsid w:val="17146B43"/>
    <w:rsid w:val="17334AF3"/>
    <w:rsid w:val="1734260A"/>
    <w:rsid w:val="17373E74"/>
    <w:rsid w:val="17407BE4"/>
    <w:rsid w:val="1749489B"/>
    <w:rsid w:val="17566A11"/>
    <w:rsid w:val="17671511"/>
    <w:rsid w:val="176A1936"/>
    <w:rsid w:val="176D1612"/>
    <w:rsid w:val="176E29FA"/>
    <w:rsid w:val="177D7B9E"/>
    <w:rsid w:val="178A3401"/>
    <w:rsid w:val="17914411"/>
    <w:rsid w:val="17A35554"/>
    <w:rsid w:val="17A804B8"/>
    <w:rsid w:val="17C95459"/>
    <w:rsid w:val="17F21008"/>
    <w:rsid w:val="17F75769"/>
    <w:rsid w:val="17F91DD3"/>
    <w:rsid w:val="17FE294B"/>
    <w:rsid w:val="17FF78E9"/>
    <w:rsid w:val="18082A99"/>
    <w:rsid w:val="18115A0E"/>
    <w:rsid w:val="182A6AA0"/>
    <w:rsid w:val="182C22CC"/>
    <w:rsid w:val="182E1F2D"/>
    <w:rsid w:val="182F2F78"/>
    <w:rsid w:val="183C3E93"/>
    <w:rsid w:val="18413D8A"/>
    <w:rsid w:val="186E6F89"/>
    <w:rsid w:val="187A0FAC"/>
    <w:rsid w:val="189268DB"/>
    <w:rsid w:val="189370B5"/>
    <w:rsid w:val="18965EA0"/>
    <w:rsid w:val="18A36151"/>
    <w:rsid w:val="18C21A9E"/>
    <w:rsid w:val="18CC3E05"/>
    <w:rsid w:val="18CE0FAF"/>
    <w:rsid w:val="18ED2160"/>
    <w:rsid w:val="18EE3749"/>
    <w:rsid w:val="18F676BF"/>
    <w:rsid w:val="19150E17"/>
    <w:rsid w:val="19241126"/>
    <w:rsid w:val="19444F26"/>
    <w:rsid w:val="19584FD4"/>
    <w:rsid w:val="195B1ABE"/>
    <w:rsid w:val="195D28C8"/>
    <w:rsid w:val="19664670"/>
    <w:rsid w:val="19716B5F"/>
    <w:rsid w:val="19747000"/>
    <w:rsid w:val="19761130"/>
    <w:rsid w:val="198C6BA3"/>
    <w:rsid w:val="19944212"/>
    <w:rsid w:val="19A848CE"/>
    <w:rsid w:val="19AA00F1"/>
    <w:rsid w:val="19C84559"/>
    <w:rsid w:val="19DA3D6E"/>
    <w:rsid w:val="19E26A19"/>
    <w:rsid w:val="19ED508F"/>
    <w:rsid w:val="19F51DAE"/>
    <w:rsid w:val="19F809AC"/>
    <w:rsid w:val="1A05381A"/>
    <w:rsid w:val="1A061BAE"/>
    <w:rsid w:val="1A1A1755"/>
    <w:rsid w:val="1A3B7251"/>
    <w:rsid w:val="1A3D459F"/>
    <w:rsid w:val="1A481648"/>
    <w:rsid w:val="1A493DA2"/>
    <w:rsid w:val="1A566B3C"/>
    <w:rsid w:val="1A691311"/>
    <w:rsid w:val="1A7515F6"/>
    <w:rsid w:val="1A934F6D"/>
    <w:rsid w:val="1A9A2DD4"/>
    <w:rsid w:val="1AA5105E"/>
    <w:rsid w:val="1ABC52F8"/>
    <w:rsid w:val="1AD67472"/>
    <w:rsid w:val="1AF77E4C"/>
    <w:rsid w:val="1AFA5DD3"/>
    <w:rsid w:val="1B31066B"/>
    <w:rsid w:val="1B35192F"/>
    <w:rsid w:val="1B425636"/>
    <w:rsid w:val="1B516820"/>
    <w:rsid w:val="1B5C685A"/>
    <w:rsid w:val="1B5F55F8"/>
    <w:rsid w:val="1B6400DD"/>
    <w:rsid w:val="1B6C3AA8"/>
    <w:rsid w:val="1B6C451D"/>
    <w:rsid w:val="1B6C67DE"/>
    <w:rsid w:val="1B8026BE"/>
    <w:rsid w:val="1B812BD5"/>
    <w:rsid w:val="1BA416A0"/>
    <w:rsid w:val="1BAA7B74"/>
    <w:rsid w:val="1BB22F8B"/>
    <w:rsid w:val="1BB40836"/>
    <w:rsid w:val="1BCB7A49"/>
    <w:rsid w:val="1BD86F30"/>
    <w:rsid w:val="1BE524A7"/>
    <w:rsid w:val="1BEF5590"/>
    <w:rsid w:val="1BF91DDE"/>
    <w:rsid w:val="1C0C4E7B"/>
    <w:rsid w:val="1C0E6A48"/>
    <w:rsid w:val="1C131BC5"/>
    <w:rsid w:val="1C170433"/>
    <w:rsid w:val="1C2B6512"/>
    <w:rsid w:val="1C35225B"/>
    <w:rsid w:val="1C3A55A5"/>
    <w:rsid w:val="1C4A573D"/>
    <w:rsid w:val="1C5B5AF6"/>
    <w:rsid w:val="1C672E0C"/>
    <w:rsid w:val="1C6F7FE7"/>
    <w:rsid w:val="1CA01843"/>
    <w:rsid w:val="1CA6649C"/>
    <w:rsid w:val="1CBA5C7F"/>
    <w:rsid w:val="1CC51C68"/>
    <w:rsid w:val="1CCF0419"/>
    <w:rsid w:val="1CD470CA"/>
    <w:rsid w:val="1CE03283"/>
    <w:rsid w:val="1CE62EE1"/>
    <w:rsid w:val="1CF85411"/>
    <w:rsid w:val="1D28123C"/>
    <w:rsid w:val="1D286A1B"/>
    <w:rsid w:val="1D3421D3"/>
    <w:rsid w:val="1D37040F"/>
    <w:rsid w:val="1D484C1A"/>
    <w:rsid w:val="1D575B87"/>
    <w:rsid w:val="1D6C7639"/>
    <w:rsid w:val="1D6D45BF"/>
    <w:rsid w:val="1D7A122C"/>
    <w:rsid w:val="1D855AF8"/>
    <w:rsid w:val="1D890A47"/>
    <w:rsid w:val="1D8E61A0"/>
    <w:rsid w:val="1D964B50"/>
    <w:rsid w:val="1D992B27"/>
    <w:rsid w:val="1DA85724"/>
    <w:rsid w:val="1DAF6062"/>
    <w:rsid w:val="1DBF590D"/>
    <w:rsid w:val="1DC5555E"/>
    <w:rsid w:val="1DEE2BE4"/>
    <w:rsid w:val="1DF233E7"/>
    <w:rsid w:val="1E0844BA"/>
    <w:rsid w:val="1E0A2CBC"/>
    <w:rsid w:val="1E243669"/>
    <w:rsid w:val="1E2B5F08"/>
    <w:rsid w:val="1E392AA0"/>
    <w:rsid w:val="1E41460A"/>
    <w:rsid w:val="1E455165"/>
    <w:rsid w:val="1E664AE8"/>
    <w:rsid w:val="1E66787F"/>
    <w:rsid w:val="1E7C434A"/>
    <w:rsid w:val="1E933284"/>
    <w:rsid w:val="1E992AE1"/>
    <w:rsid w:val="1EAB5F88"/>
    <w:rsid w:val="1EBD70F2"/>
    <w:rsid w:val="1EBF527E"/>
    <w:rsid w:val="1ED30E1E"/>
    <w:rsid w:val="1EE0406D"/>
    <w:rsid w:val="1F087131"/>
    <w:rsid w:val="1F0F65FB"/>
    <w:rsid w:val="1F114A63"/>
    <w:rsid w:val="1F2F5F8E"/>
    <w:rsid w:val="1F42409C"/>
    <w:rsid w:val="1F4D177B"/>
    <w:rsid w:val="1F4F0F9A"/>
    <w:rsid w:val="1F6B2BC8"/>
    <w:rsid w:val="1F7F2C8C"/>
    <w:rsid w:val="1F8A7DE4"/>
    <w:rsid w:val="1F924453"/>
    <w:rsid w:val="1FAF1436"/>
    <w:rsid w:val="1FD7167B"/>
    <w:rsid w:val="1FDA610A"/>
    <w:rsid w:val="1FE168A9"/>
    <w:rsid w:val="200978D3"/>
    <w:rsid w:val="201A0721"/>
    <w:rsid w:val="201A75A0"/>
    <w:rsid w:val="202277DA"/>
    <w:rsid w:val="203150CB"/>
    <w:rsid w:val="20454846"/>
    <w:rsid w:val="20455F75"/>
    <w:rsid w:val="20546F73"/>
    <w:rsid w:val="205B6B40"/>
    <w:rsid w:val="20601C02"/>
    <w:rsid w:val="2064698A"/>
    <w:rsid w:val="20695EC3"/>
    <w:rsid w:val="206E1F4D"/>
    <w:rsid w:val="20862C79"/>
    <w:rsid w:val="208716B2"/>
    <w:rsid w:val="20B32243"/>
    <w:rsid w:val="20B74057"/>
    <w:rsid w:val="20CE1C4D"/>
    <w:rsid w:val="20D24E25"/>
    <w:rsid w:val="20DD3DB8"/>
    <w:rsid w:val="20E36E34"/>
    <w:rsid w:val="20F0628E"/>
    <w:rsid w:val="21053910"/>
    <w:rsid w:val="21150C66"/>
    <w:rsid w:val="211E31CB"/>
    <w:rsid w:val="21247C7E"/>
    <w:rsid w:val="212A20DE"/>
    <w:rsid w:val="21342040"/>
    <w:rsid w:val="213C54CA"/>
    <w:rsid w:val="214D5B7C"/>
    <w:rsid w:val="215D336C"/>
    <w:rsid w:val="21641421"/>
    <w:rsid w:val="218C54DC"/>
    <w:rsid w:val="218D3B2C"/>
    <w:rsid w:val="2190457D"/>
    <w:rsid w:val="2194300F"/>
    <w:rsid w:val="21A40A5F"/>
    <w:rsid w:val="21A870E7"/>
    <w:rsid w:val="21C11051"/>
    <w:rsid w:val="21C9474B"/>
    <w:rsid w:val="21CA181C"/>
    <w:rsid w:val="21D01696"/>
    <w:rsid w:val="21E20C1C"/>
    <w:rsid w:val="21EB600E"/>
    <w:rsid w:val="220C246C"/>
    <w:rsid w:val="22242822"/>
    <w:rsid w:val="222F24C6"/>
    <w:rsid w:val="22311A43"/>
    <w:rsid w:val="22334AF4"/>
    <w:rsid w:val="223F0988"/>
    <w:rsid w:val="22431EAF"/>
    <w:rsid w:val="224B6A17"/>
    <w:rsid w:val="2257273D"/>
    <w:rsid w:val="225D3D01"/>
    <w:rsid w:val="2272644B"/>
    <w:rsid w:val="22730643"/>
    <w:rsid w:val="2276739F"/>
    <w:rsid w:val="228D1798"/>
    <w:rsid w:val="22945884"/>
    <w:rsid w:val="22B5350F"/>
    <w:rsid w:val="22BB322B"/>
    <w:rsid w:val="22BD7151"/>
    <w:rsid w:val="22C604E0"/>
    <w:rsid w:val="22EE1F90"/>
    <w:rsid w:val="22F2208A"/>
    <w:rsid w:val="22FE2784"/>
    <w:rsid w:val="23002037"/>
    <w:rsid w:val="230E24AC"/>
    <w:rsid w:val="23322038"/>
    <w:rsid w:val="233F5379"/>
    <w:rsid w:val="2347109D"/>
    <w:rsid w:val="23512E0C"/>
    <w:rsid w:val="235204E6"/>
    <w:rsid w:val="23542ADE"/>
    <w:rsid w:val="2368536F"/>
    <w:rsid w:val="2373040B"/>
    <w:rsid w:val="2381456E"/>
    <w:rsid w:val="23886124"/>
    <w:rsid w:val="239F3402"/>
    <w:rsid w:val="23AA0394"/>
    <w:rsid w:val="23BC64A6"/>
    <w:rsid w:val="23C50F1D"/>
    <w:rsid w:val="23F35F5F"/>
    <w:rsid w:val="23FA4566"/>
    <w:rsid w:val="241909B7"/>
    <w:rsid w:val="24267C58"/>
    <w:rsid w:val="242F09CF"/>
    <w:rsid w:val="24413E93"/>
    <w:rsid w:val="24424A6E"/>
    <w:rsid w:val="244E03E6"/>
    <w:rsid w:val="24535587"/>
    <w:rsid w:val="24565B3A"/>
    <w:rsid w:val="24754533"/>
    <w:rsid w:val="24A90873"/>
    <w:rsid w:val="24B81B41"/>
    <w:rsid w:val="24C45A46"/>
    <w:rsid w:val="24CA28B6"/>
    <w:rsid w:val="24D45A2D"/>
    <w:rsid w:val="24DC3896"/>
    <w:rsid w:val="24E444CC"/>
    <w:rsid w:val="24EA054D"/>
    <w:rsid w:val="24EE4DE2"/>
    <w:rsid w:val="24F072DB"/>
    <w:rsid w:val="251076B1"/>
    <w:rsid w:val="25213874"/>
    <w:rsid w:val="2527244E"/>
    <w:rsid w:val="25383D75"/>
    <w:rsid w:val="25396E06"/>
    <w:rsid w:val="25433F14"/>
    <w:rsid w:val="254F3C66"/>
    <w:rsid w:val="25633F3D"/>
    <w:rsid w:val="256C056F"/>
    <w:rsid w:val="257324A8"/>
    <w:rsid w:val="258624C1"/>
    <w:rsid w:val="25923550"/>
    <w:rsid w:val="25956E98"/>
    <w:rsid w:val="259D3FBA"/>
    <w:rsid w:val="25A96929"/>
    <w:rsid w:val="25AB1F27"/>
    <w:rsid w:val="25B90704"/>
    <w:rsid w:val="25DC4D1F"/>
    <w:rsid w:val="25E312AC"/>
    <w:rsid w:val="25EB65E2"/>
    <w:rsid w:val="25ED33D2"/>
    <w:rsid w:val="25F862B3"/>
    <w:rsid w:val="262D5689"/>
    <w:rsid w:val="266346E2"/>
    <w:rsid w:val="266F5831"/>
    <w:rsid w:val="267758CC"/>
    <w:rsid w:val="268A2E91"/>
    <w:rsid w:val="268C7C25"/>
    <w:rsid w:val="268E6E1C"/>
    <w:rsid w:val="269173C1"/>
    <w:rsid w:val="26967D4F"/>
    <w:rsid w:val="269A7114"/>
    <w:rsid w:val="26B3580F"/>
    <w:rsid w:val="26B4679E"/>
    <w:rsid w:val="26BC3415"/>
    <w:rsid w:val="26C95489"/>
    <w:rsid w:val="26E00AF2"/>
    <w:rsid w:val="26E312AF"/>
    <w:rsid w:val="26E35247"/>
    <w:rsid w:val="2713062B"/>
    <w:rsid w:val="27256622"/>
    <w:rsid w:val="272B516E"/>
    <w:rsid w:val="27410EC2"/>
    <w:rsid w:val="274A69E0"/>
    <w:rsid w:val="276175F4"/>
    <w:rsid w:val="276D0529"/>
    <w:rsid w:val="2779749B"/>
    <w:rsid w:val="277F08A2"/>
    <w:rsid w:val="27933927"/>
    <w:rsid w:val="27992A4C"/>
    <w:rsid w:val="27A33E35"/>
    <w:rsid w:val="27A94296"/>
    <w:rsid w:val="27B60BEB"/>
    <w:rsid w:val="27BD0064"/>
    <w:rsid w:val="27C34DE1"/>
    <w:rsid w:val="27D8374E"/>
    <w:rsid w:val="27DA0F13"/>
    <w:rsid w:val="27EB437A"/>
    <w:rsid w:val="27F56315"/>
    <w:rsid w:val="28110A08"/>
    <w:rsid w:val="2828350A"/>
    <w:rsid w:val="282F72FA"/>
    <w:rsid w:val="28571957"/>
    <w:rsid w:val="28623C15"/>
    <w:rsid w:val="286E334A"/>
    <w:rsid w:val="287050B3"/>
    <w:rsid w:val="2889440F"/>
    <w:rsid w:val="288F5571"/>
    <w:rsid w:val="28A052D3"/>
    <w:rsid w:val="28A06F4C"/>
    <w:rsid w:val="28D67316"/>
    <w:rsid w:val="290254C7"/>
    <w:rsid w:val="29087A30"/>
    <w:rsid w:val="291B5205"/>
    <w:rsid w:val="29236F16"/>
    <w:rsid w:val="292F6200"/>
    <w:rsid w:val="29331E5F"/>
    <w:rsid w:val="29334BDF"/>
    <w:rsid w:val="294C6C0B"/>
    <w:rsid w:val="29515B93"/>
    <w:rsid w:val="295676E3"/>
    <w:rsid w:val="295F57D7"/>
    <w:rsid w:val="29733705"/>
    <w:rsid w:val="297A56E5"/>
    <w:rsid w:val="29814635"/>
    <w:rsid w:val="29A36393"/>
    <w:rsid w:val="29A76063"/>
    <w:rsid w:val="29AB72C4"/>
    <w:rsid w:val="29B85251"/>
    <w:rsid w:val="29BA74BA"/>
    <w:rsid w:val="29CF5EA1"/>
    <w:rsid w:val="29F1767A"/>
    <w:rsid w:val="2A0019E0"/>
    <w:rsid w:val="2A045FE7"/>
    <w:rsid w:val="2A072146"/>
    <w:rsid w:val="2A0F729D"/>
    <w:rsid w:val="2A1D74F2"/>
    <w:rsid w:val="2A2D7895"/>
    <w:rsid w:val="2A3F0385"/>
    <w:rsid w:val="2A430216"/>
    <w:rsid w:val="2A444CBB"/>
    <w:rsid w:val="2A5670C9"/>
    <w:rsid w:val="2A5E0C02"/>
    <w:rsid w:val="2A685432"/>
    <w:rsid w:val="2A7351C7"/>
    <w:rsid w:val="2A822840"/>
    <w:rsid w:val="2A9602BA"/>
    <w:rsid w:val="2A985E6C"/>
    <w:rsid w:val="2AB56028"/>
    <w:rsid w:val="2ACE37B6"/>
    <w:rsid w:val="2AEA2A93"/>
    <w:rsid w:val="2AEF5470"/>
    <w:rsid w:val="2AF509B4"/>
    <w:rsid w:val="2AF86D11"/>
    <w:rsid w:val="2AFC44BE"/>
    <w:rsid w:val="2B293D78"/>
    <w:rsid w:val="2B394314"/>
    <w:rsid w:val="2B3B1E2D"/>
    <w:rsid w:val="2B3E5205"/>
    <w:rsid w:val="2B6C40D4"/>
    <w:rsid w:val="2B6E0D08"/>
    <w:rsid w:val="2B7447F6"/>
    <w:rsid w:val="2B8F3B05"/>
    <w:rsid w:val="2B997A76"/>
    <w:rsid w:val="2B9E755E"/>
    <w:rsid w:val="2BB16E20"/>
    <w:rsid w:val="2BD31423"/>
    <w:rsid w:val="2BD862CC"/>
    <w:rsid w:val="2BE06716"/>
    <w:rsid w:val="2BE96133"/>
    <w:rsid w:val="2BFB567E"/>
    <w:rsid w:val="2C085772"/>
    <w:rsid w:val="2C0B3A0F"/>
    <w:rsid w:val="2C233268"/>
    <w:rsid w:val="2C34202D"/>
    <w:rsid w:val="2C3D4A6C"/>
    <w:rsid w:val="2C474C25"/>
    <w:rsid w:val="2C703BB0"/>
    <w:rsid w:val="2C7F2782"/>
    <w:rsid w:val="2C827724"/>
    <w:rsid w:val="2C935F3D"/>
    <w:rsid w:val="2CA32DB0"/>
    <w:rsid w:val="2CA43C41"/>
    <w:rsid w:val="2CAF7EB1"/>
    <w:rsid w:val="2CB8065D"/>
    <w:rsid w:val="2CBC5486"/>
    <w:rsid w:val="2CBE1783"/>
    <w:rsid w:val="2CC124B9"/>
    <w:rsid w:val="2CC97325"/>
    <w:rsid w:val="2CCE168E"/>
    <w:rsid w:val="2CE3074D"/>
    <w:rsid w:val="2CE73DBF"/>
    <w:rsid w:val="2CEA56B6"/>
    <w:rsid w:val="2CF5740A"/>
    <w:rsid w:val="2CFE0737"/>
    <w:rsid w:val="2CFE4B72"/>
    <w:rsid w:val="2D023C70"/>
    <w:rsid w:val="2D0B00FE"/>
    <w:rsid w:val="2D0F4A83"/>
    <w:rsid w:val="2D1D6D45"/>
    <w:rsid w:val="2D31698D"/>
    <w:rsid w:val="2D3367EB"/>
    <w:rsid w:val="2D4E072A"/>
    <w:rsid w:val="2D5E5EA2"/>
    <w:rsid w:val="2D730FC1"/>
    <w:rsid w:val="2D8674BF"/>
    <w:rsid w:val="2D8874B6"/>
    <w:rsid w:val="2D8C76AE"/>
    <w:rsid w:val="2D956579"/>
    <w:rsid w:val="2D983348"/>
    <w:rsid w:val="2DA34493"/>
    <w:rsid w:val="2DAC2659"/>
    <w:rsid w:val="2DC168A1"/>
    <w:rsid w:val="2DC81E94"/>
    <w:rsid w:val="2DD37126"/>
    <w:rsid w:val="2DE32195"/>
    <w:rsid w:val="2DE96A14"/>
    <w:rsid w:val="2DF27D78"/>
    <w:rsid w:val="2DFF60D5"/>
    <w:rsid w:val="2E241E0A"/>
    <w:rsid w:val="2E283FBB"/>
    <w:rsid w:val="2E347B0A"/>
    <w:rsid w:val="2E3C2E20"/>
    <w:rsid w:val="2E3D0A0C"/>
    <w:rsid w:val="2E3F3833"/>
    <w:rsid w:val="2E4162D4"/>
    <w:rsid w:val="2E633B8A"/>
    <w:rsid w:val="2E794AF3"/>
    <w:rsid w:val="2E8A51A3"/>
    <w:rsid w:val="2E9457B5"/>
    <w:rsid w:val="2E9A4F05"/>
    <w:rsid w:val="2E9B28AA"/>
    <w:rsid w:val="2ECA0EEF"/>
    <w:rsid w:val="2ED02202"/>
    <w:rsid w:val="2EEC5878"/>
    <w:rsid w:val="2EF83766"/>
    <w:rsid w:val="2F131BDA"/>
    <w:rsid w:val="2F2626A7"/>
    <w:rsid w:val="2F277782"/>
    <w:rsid w:val="2F33425A"/>
    <w:rsid w:val="2F40795E"/>
    <w:rsid w:val="2F436A32"/>
    <w:rsid w:val="2F600A4D"/>
    <w:rsid w:val="2F7B24D1"/>
    <w:rsid w:val="2F83447A"/>
    <w:rsid w:val="2F8B0E09"/>
    <w:rsid w:val="2F9711E1"/>
    <w:rsid w:val="2FBB48F5"/>
    <w:rsid w:val="2FC82F9D"/>
    <w:rsid w:val="2FD32DD7"/>
    <w:rsid w:val="2FD57D60"/>
    <w:rsid w:val="2FEF045A"/>
    <w:rsid w:val="2FFA067A"/>
    <w:rsid w:val="2FFF4CDE"/>
    <w:rsid w:val="302A358E"/>
    <w:rsid w:val="30341738"/>
    <w:rsid w:val="30403AEC"/>
    <w:rsid w:val="306A75D7"/>
    <w:rsid w:val="307B141B"/>
    <w:rsid w:val="3082744B"/>
    <w:rsid w:val="308D6AFB"/>
    <w:rsid w:val="30944600"/>
    <w:rsid w:val="30B9486B"/>
    <w:rsid w:val="30D66A99"/>
    <w:rsid w:val="30DF79C5"/>
    <w:rsid w:val="30E74543"/>
    <w:rsid w:val="30F2736A"/>
    <w:rsid w:val="30F40C14"/>
    <w:rsid w:val="30F42C52"/>
    <w:rsid w:val="30F620F0"/>
    <w:rsid w:val="31360F60"/>
    <w:rsid w:val="31485711"/>
    <w:rsid w:val="315B7E50"/>
    <w:rsid w:val="316C0946"/>
    <w:rsid w:val="318077DA"/>
    <w:rsid w:val="31952860"/>
    <w:rsid w:val="31B91BCA"/>
    <w:rsid w:val="31BD7603"/>
    <w:rsid w:val="31C765B0"/>
    <w:rsid w:val="31D04EA3"/>
    <w:rsid w:val="31D856DB"/>
    <w:rsid w:val="31E248BF"/>
    <w:rsid w:val="32147265"/>
    <w:rsid w:val="3230537A"/>
    <w:rsid w:val="32474245"/>
    <w:rsid w:val="32552601"/>
    <w:rsid w:val="32575271"/>
    <w:rsid w:val="3272345D"/>
    <w:rsid w:val="32765E32"/>
    <w:rsid w:val="32914DC9"/>
    <w:rsid w:val="329E7F73"/>
    <w:rsid w:val="32B02EB7"/>
    <w:rsid w:val="32B86B24"/>
    <w:rsid w:val="32CB6F7E"/>
    <w:rsid w:val="32D97036"/>
    <w:rsid w:val="32DF21C2"/>
    <w:rsid w:val="32E11FA2"/>
    <w:rsid w:val="32ED2891"/>
    <w:rsid w:val="32EE25C6"/>
    <w:rsid w:val="330208DF"/>
    <w:rsid w:val="33032076"/>
    <w:rsid w:val="330E0160"/>
    <w:rsid w:val="3312251F"/>
    <w:rsid w:val="33237F61"/>
    <w:rsid w:val="332467E5"/>
    <w:rsid w:val="33262E95"/>
    <w:rsid w:val="33337F0A"/>
    <w:rsid w:val="333E2CA0"/>
    <w:rsid w:val="335759EC"/>
    <w:rsid w:val="335C0183"/>
    <w:rsid w:val="335E3242"/>
    <w:rsid w:val="338E40D2"/>
    <w:rsid w:val="33A540C1"/>
    <w:rsid w:val="33B43691"/>
    <w:rsid w:val="33BA2267"/>
    <w:rsid w:val="33BD0809"/>
    <w:rsid w:val="33D47EAB"/>
    <w:rsid w:val="33DE7074"/>
    <w:rsid w:val="34082A81"/>
    <w:rsid w:val="34093853"/>
    <w:rsid w:val="341A1C5C"/>
    <w:rsid w:val="342147A0"/>
    <w:rsid w:val="34236EE7"/>
    <w:rsid w:val="34290276"/>
    <w:rsid w:val="343612DE"/>
    <w:rsid w:val="344B1B35"/>
    <w:rsid w:val="344D4F8E"/>
    <w:rsid w:val="34557EB5"/>
    <w:rsid w:val="345C0111"/>
    <w:rsid w:val="3494067B"/>
    <w:rsid w:val="34A81304"/>
    <w:rsid w:val="34AF26D6"/>
    <w:rsid w:val="34B50F41"/>
    <w:rsid w:val="34BC2A3C"/>
    <w:rsid w:val="34BC7739"/>
    <w:rsid w:val="34DD0BBB"/>
    <w:rsid w:val="34DE3166"/>
    <w:rsid w:val="34DE523E"/>
    <w:rsid w:val="34E061B4"/>
    <w:rsid w:val="34EA1DE0"/>
    <w:rsid w:val="352263E4"/>
    <w:rsid w:val="352B7666"/>
    <w:rsid w:val="353F0589"/>
    <w:rsid w:val="355475E3"/>
    <w:rsid w:val="355A4DC7"/>
    <w:rsid w:val="35757D45"/>
    <w:rsid w:val="357D54E6"/>
    <w:rsid w:val="35A67C6D"/>
    <w:rsid w:val="35A97360"/>
    <w:rsid w:val="35AE6707"/>
    <w:rsid w:val="35B1695D"/>
    <w:rsid w:val="35C027FD"/>
    <w:rsid w:val="35C15C9F"/>
    <w:rsid w:val="35CB5AA1"/>
    <w:rsid w:val="35F82C92"/>
    <w:rsid w:val="360F1C77"/>
    <w:rsid w:val="36375033"/>
    <w:rsid w:val="364A2085"/>
    <w:rsid w:val="365432CA"/>
    <w:rsid w:val="365956B3"/>
    <w:rsid w:val="365A06D0"/>
    <w:rsid w:val="36627FCC"/>
    <w:rsid w:val="36636EEA"/>
    <w:rsid w:val="366D4287"/>
    <w:rsid w:val="366F7E88"/>
    <w:rsid w:val="36707B69"/>
    <w:rsid w:val="36733E42"/>
    <w:rsid w:val="36884F23"/>
    <w:rsid w:val="36B074E7"/>
    <w:rsid w:val="36CB22A7"/>
    <w:rsid w:val="36DE1E96"/>
    <w:rsid w:val="36F375F8"/>
    <w:rsid w:val="3713351B"/>
    <w:rsid w:val="37177C76"/>
    <w:rsid w:val="371F6BEB"/>
    <w:rsid w:val="37346A5E"/>
    <w:rsid w:val="37482AF0"/>
    <w:rsid w:val="374C5898"/>
    <w:rsid w:val="375A7D15"/>
    <w:rsid w:val="37712B91"/>
    <w:rsid w:val="37743765"/>
    <w:rsid w:val="37793122"/>
    <w:rsid w:val="377F3E72"/>
    <w:rsid w:val="378055B2"/>
    <w:rsid w:val="378528A8"/>
    <w:rsid w:val="37B37D61"/>
    <w:rsid w:val="37C23051"/>
    <w:rsid w:val="37E118EB"/>
    <w:rsid w:val="380611BF"/>
    <w:rsid w:val="382429AE"/>
    <w:rsid w:val="382F4C63"/>
    <w:rsid w:val="3838196A"/>
    <w:rsid w:val="383C2B89"/>
    <w:rsid w:val="383F60A4"/>
    <w:rsid w:val="38601FC4"/>
    <w:rsid w:val="386661FF"/>
    <w:rsid w:val="386E6695"/>
    <w:rsid w:val="387E162E"/>
    <w:rsid w:val="388C6CF2"/>
    <w:rsid w:val="388D35F0"/>
    <w:rsid w:val="38914F5D"/>
    <w:rsid w:val="389A1BDF"/>
    <w:rsid w:val="38A54C47"/>
    <w:rsid w:val="38B13472"/>
    <w:rsid w:val="38B93642"/>
    <w:rsid w:val="38E12884"/>
    <w:rsid w:val="38FD5F09"/>
    <w:rsid w:val="391A645A"/>
    <w:rsid w:val="391B55AF"/>
    <w:rsid w:val="394F6727"/>
    <w:rsid w:val="39521E9F"/>
    <w:rsid w:val="3954537C"/>
    <w:rsid w:val="3980064E"/>
    <w:rsid w:val="399601BD"/>
    <w:rsid w:val="399A58EA"/>
    <w:rsid w:val="399B2127"/>
    <w:rsid w:val="399F08F3"/>
    <w:rsid w:val="399F1332"/>
    <w:rsid w:val="39C73DB3"/>
    <w:rsid w:val="39E46FAD"/>
    <w:rsid w:val="39E91662"/>
    <w:rsid w:val="39F5297E"/>
    <w:rsid w:val="3A0258FE"/>
    <w:rsid w:val="3A3C78D6"/>
    <w:rsid w:val="3A3E3E9F"/>
    <w:rsid w:val="3A6B176D"/>
    <w:rsid w:val="3A6B710D"/>
    <w:rsid w:val="3A700D10"/>
    <w:rsid w:val="3A714443"/>
    <w:rsid w:val="3A84298B"/>
    <w:rsid w:val="3A997D1F"/>
    <w:rsid w:val="3AA26A5D"/>
    <w:rsid w:val="3AA844FF"/>
    <w:rsid w:val="3AAA4B7B"/>
    <w:rsid w:val="3AB1112B"/>
    <w:rsid w:val="3AC7743B"/>
    <w:rsid w:val="3ACE70B0"/>
    <w:rsid w:val="3AD7738D"/>
    <w:rsid w:val="3ADC39B3"/>
    <w:rsid w:val="3AFC0789"/>
    <w:rsid w:val="3B0475E9"/>
    <w:rsid w:val="3B0A6176"/>
    <w:rsid w:val="3B10004F"/>
    <w:rsid w:val="3B1F0A32"/>
    <w:rsid w:val="3B21328C"/>
    <w:rsid w:val="3B235BCB"/>
    <w:rsid w:val="3B3F3F46"/>
    <w:rsid w:val="3B4874EB"/>
    <w:rsid w:val="3B5211E7"/>
    <w:rsid w:val="3B6B6801"/>
    <w:rsid w:val="3B84771D"/>
    <w:rsid w:val="3BB513C6"/>
    <w:rsid w:val="3BE10919"/>
    <w:rsid w:val="3C0274FD"/>
    <w:rsid w:val="3C0F4376"/>
    <w:rsid w:val="3C14548B"/>
    <w:rsid w:val="3C2F70BE"/>
    <w:rsid w:val="3C3073EF"/>
    <w:rsid w:val="3C320FE1"/>
    <w:rsid w:val="3C325493"/>
    <w:rsid w:val="3C3616AF"/>
    <w:rsid w:val="3C3B6C18"/>
    <w:rsid w:val="3C4E0450"/>
    <w:rsid w:val="3C545870"/>
    <w:rsid w:val="3C7B3B44"/>
    <w:rsid w:val="3CA45331"/>
    <w:rsid w:val="3CA57CFE"/>
    <w:rsid w:val="3CAE4CF8"/>
    <w:rsid w:val="3CAE7AEC"/>
    <w:rsid w:val="3CCC781D"/>
    <w:rsid w:val="3CCE7C2A"/>
    <w:rsid w:val="3CE77340"/>
    <w:rsid w:val="3CE90379"/>
    <w:rsid w:val="3CFF37D8"/>
    <w:rsid w:val="3D195B95"/>
    <w:rsid w:val="3D2329FD"/>
    <w:rsid w:val="3D29684E"/>
    <w:rsid w:val="3D39578E"/>
    <w:rsid w:val="3D52619D"/>
    <w:rsid w:val="3D5D4D44"/>
    <w:rsid w:val="3D614D99"/>
    <w:rsid w:val="3D76742B"/>
    <w:rsid w:val="3D9C4C5C"/>
    <w:rsid w:val="3DA701B4"/>
    <w:rsid w:val="3DA83998"/>
    <w:rsid w:val="3DB16D2A"/>
    <w:rsid w:val="3DB80722"/>
    <w:rsid w:val="3DBD65F0"/>
    <w:rsid w:val="3DC7203E"/>
    <w:rsid w:val="3DD43D14"/>
    <w:rsid w:val="3DDA4533"/>
    <w:rsid w:val="3DE1146E"/>
    <w:rsid w:val="3DE12F32"/>
    <w:rsid w:val="3DEA3F0C"/>
    <w:rsid w:val="3DFF226A"/>
    <w:rsid w:val="3E025CF4"/>
    <w:rsid w:val="3E144F0D"/>
    <w:rsid w:val="3E1A2100"/>
    <w:rsid w:val="3E1B7092"/>
    <w:rsid w:val="3E1F40C4"/>
    <w:rsid w:val="3E217503"/>
    <w:rsid w:val="3E3D5661"/>
    <w:rsid w:val="3E5A71D5"/>
    <w:rsid w:val="3E73624E"/>
    <w:rsid w:val="3E960E27"/>
    <w:rsid w:val="3E985F61"/>
    <w:rsid w:val="3EAD3EF7"/>
    <w:rsid w:val="3F002AB5"/>
    <w:rsid w:val="3F007F87"/>
    <w:rsid w:val="3F1339B8"/>
    <w:rsid w:val="3F196A9F"/>
    <w:rsid w:val="3F1C125E"/>
    <w:rsid w:val="3F1C1904"/>
    <w:rsid w:val="3F224B09"/>
    <w:rsid w:val="3F240B0A"/>
    <w:rsid w:val="3F24608D"/>
    <w:rsid w:val="3F2653A3"/>
    <w:rsid w:val="3F284847"/>
    <w:rsid w:val="3F2E191C"/>
    <w:rsid w:val="3F3E4D72"/>
    <w:rsid w:val="3F487A21"/>
    <w:rsid w:val="3F4D2FAB"/>
    <w:rsid w:val="3F625DFB"/>
    <w:rsid w:val="3F6741A7"/>
    <w:rsid w:val="3F9A38BF"/>
    <w:rsid w:val="3F9C5D3D"/>
    <w:rsid w:val="3FA615BB"/>
    <w:rsid w:val="3FAE6978"/>
    <w:rsid w:val="3FB65F72"/>
    <w:rsid w:val="3FC921C5"/>
    <w:rsid w:val="3FCF0135"/>
    <w:rsid w:val="3FE56688"/>
    <w:rsid w:val="3FEF543D"/>
    <w:rsid w:val="402F643A"/>
    <w:rsid w:val="40323DF2"/>
    <w:rsid w:val="4043244B"/>
    <w:rsid w:val="404B0AFD"/>
    <w:rsid w:val="405A761E"/>
    <w:rsid w:val="407511A9"/>
    <w:rsid w:val="408B409E"/>
    <w:rsid w:val="40B77ACC"/>
    <w:rsid w:val="40CE01B2"/>
    <w:rsid w:val="40D44447"/>
    <w:rsid w:val="40E3448C"/>
    <w:rsid w:val="40EE4695"/>
    <w:rsid w:val="40EF2E8F"/>
    <w:rsid w:val="40F42748"/>
    <w:rsid w:val="40FD344B"/>
    <w:rsid w:val="410B01A8"/>
    <w:rsid w:val="41252762"/>
    <w:rsid w:val="412E0DDF"/>
    <w:rsid w:val="41503639"/>
    <w:rsid w:val="415D50BB"/>
    <w:rsid w:val="41670752"/>
    <w:rsid w:val="416A0599"/>
    <w:rsid w:val="418C16CB"/>
    <w:rsid w:val="41A5473E"/>
    <w:rsid w:val="41A6399F"/>
    <w:rsid w:val="41B938EB"/>
    <w:rsid w:val="41BD4A1A"/>
    <w:rsid w:val="41C76C5D"/>
    <w:rsid w:val="41CD41ED"/>
    <w:rsid w:val="41DB6B04"/>
    <w:rsid w:val="41E63E46"/>
    <w:rsid w:val="41E64231"/>
    <w:rsid w:val="41ED4A55"/>
    <w:rsid w:val="42027EA1"/>
    <w:rsid w:val="420B1F27"/>
    <w:rsid w:val="42182D34"/>
    <w:rsid w:val="424259D6"/>
    <w:rsid w:val="424802AA"/>
    <w:rsid w:val="428A4FE0"/>
    <w:rsid w:val="428E2E24"/>
    <w:rsid w:val="429017FC"/>
    <w:rsid w:val="4297701F"/>
    <w:rsid w:val="429C554F"/>
    <w:rsid w:val="42A26D50"/>
    <w:rsid w:val="42A73EBF"/>
    <w:rsid w:val="42B00F6D"/>
    <w:rsid w:val="42B10DBC"/>
    <w:rsid w:val="42BA1E7D"/>
    <w:rsid w:val="42BC6219"/>
    <w:rsid w:val="42C512CA"/>
    <w:rsid w:val="42C7289D"/>
    <w:rsid w:val="42C85A7F"/>
    <w:rsid w:val="42D54D2A"/>
    <w:rsid w:val="42D86242"/>
    <w:rsid w:val="42F851DA"/>
    <w:rsid w:val="42FE4918"/>
    <w:rsid w:val="430355D1"/>
    <w:rsid w:val="430931EF"/>
    <w:rsid w:val="432927A6"/>
    <w:rsid w:val="432A5BD6"/>
    <w:rsid w:val="43342642"/>
    <w:rsid w:val="433821C6"/>
    <w:rsid w:val="433B122E"/>
    <w:rsid w:val="435E5073"/>
    <w:rsid w:val="43771E90"/>
    <w:rsid w:val="43821D42"/>
    <w:rsid w:val="43987604"/>
    <w:rsid w:val="43B7549F"/>
    <w:rsid w:val="43B9286F"/>
    <w:rsid w:val="43BB4049"/>
    <w:rsid w:val="43BB4C9D"/>
    <w:rsid w:val="43C93EA9"/>
    <w:rsid w:val="43DD2294"/>
    <w:rsid w:val="43E92280"/>
    <w:rsid w:val="43F421E8"/>
    <w:rsid w:val="43F707D8"/>
    <w:rsid w:val="4402298A"/>
    <w:rsid w:val="440A7998"/>
    <w:rsid w:val="440C2EEA"/>
    <w:rsid w:val="441D2BDD"/>
    <w:rsid w:val="441D3234"/>
    <w:rsid w:val="441F6C55"/>
    <w:rsid w:val="4420224D"/>
    <w:rsid w:val="442074C6"/>
    <w:rsid w:val="44243A14"/>
    <w:rsid w:val="44244565"/>
    <w:rsid w:val="44311C57"/>
    <w:rsid w:val="44370325"/>
    <w:rsid w:val="44514687"/>
    <w:rsid w:val="445459C2"/>
    <w:rsid w:val="44617D0A"/>
    <w:rsid w:val="44682D18"/>
    <w:rsid w:val="446944E9"/>
    <w:rsid w:val="446F13F6"/>
    <w:rsid w:val="44723BA6"/>
    <w:rsid w:val="4473705C"/>
    <w:rsid w:val="447C5BAA"/>
    <w:rsid w:val="4480015B"/>
    <w:rsid w:val="448174D9"/>
    <w:rsid w:val="4490304D"/>
    <w:rsid w:val="44A9401A"/>
    <w:rsid w:val="44AC3086"/>
    <w:rsid w:val="44BD076D"/>
    <w:rsid w:val="44C30184"/>
    <w:rsid w:val="44C93ABA"/>
    <w:rsid w:val="44CC451B"/>
    <w:rsid w:val="44DB36D1"/>
    <w:rsid w:val="44EB3F4C"/>
    <w:rsid w:val="44F75C85"/>
    <w:rsid w:val="44FB6168"/>
    <w:rsid w:val="44FD00BD"/>
    <w:rsid w:val="4504637B"/>
    <w:rsid w:val="453C4611"/>
    <w:rsid w:val="4542601F"/>
    <w:rsid w:val="45471252"/>
    <w:rsid w:val="455B0F07"/>
    <w:rsid w:val="455B70CF"/>
    <w:rsid w:val="456125FB"/>
    <w:rsid w:val="45646D5D"/>
    <w:rsid w:val="456B16C4"/>
    <w:rsid w:val="459E70EB"/>
    <w:rsid w:val="45B304D2"/>
    <w:rsid w:val="45C972E7"/>
    <w:rsid w:val="45F146F2"/>
    <w:rsid w:val="45FB5F89"/>
    <w:rsid w:val="45FF1EFE"/>
    <w:rsid w:val="461058D9"/>
    <w:rsid w:val="46165015"/>
    <w:rsid w:val="46280A29"/>
    <w:rsid w:val="463B4251"/>
    <w:rsid w:val="465027ED"/>
    <w:rsid w:val="465F4343"/>
    <w:rsid w:val="468539A4"/>
    <w:rsid w:val="46C66179"/>
    <w:rsid w:val="46CB17EB"/>
    <w:rsid w:val="46DE668F"/>
    <w:rsid w:val="46E551CD"/>
    <w:rsid w:val="47014483"/>
    <w:rsid w:val="4703333D"/>
    <w:rsid w:val="472F4367"/>
    <w:rsid w:val="473F3688"/>
    <w:rsid w:val="47522D9A"/>
    <w:rsid w:val="47763C9E"/>
    <w:rsid w:val="4778738B"/>
    <w:rsid w:val="477A3E46"/>
    <w:rsid w:val="47865720"/>
    <w:rsid w:val="478A29F0"/>
    <w:rsid w:val="478A3249"/>
    <w:rsid w:val="478C0ADF"/>
    <w:rsid w:val="4790736A"/>
    <w:rsid w:val="479A12BB"/>
    <w:rsid w:val="479E7121"/>
    <w:rsid w:val="47A80B00"/>
    <w:rsid w:val="47AD45F5"/>
    <w:rsid w:val="47BA4FF1"/>
    <w:rsid w:val="47E77EB6"/>
    <w:rsid w:val="47F20C0E"/>
    <w:rsid w:val="480515E9"/>
    <w:rsid w:val="48065890"/>
    <w:rsid w:val="48127D91"/>
    <w:rsid w:val="481E0218"/>
    <w:rsid w:val="48273063"/>
    <w:rsid w:val="482A5811"/>
    <w:rsid w:val="484031A0"/>
    <w:rsid w:val="48460E01"/>
    <w:rsid w:val="48474441"/>
    <w:rsid w:val="485A4946"/>
    <w:rsid w:val="487F196B"/>
    <w:rsid w:val="48843707"/>
    <w:rsid w:val="48921589"/>
    <w:rsid w:val="48B1483E"/>
    <w:rsid w:val="48F0103C"/>
    <w:rsid w:val="48F3402C"/>
    <w:rsid w:val="48F62D03"/>
    <w:rsid w:val="48F77F22"/>
    <w:rsid w:val="49006A4D"/>
    <w:rsid w:val="492A6E95"/>
    <w:rsid w:val="493A24D0"/>
    <w:rsid w:val="493C6687"/>
    <w:rsid w:val="493D20BB"/>
    <w:rsid w:val="4959124E"/>
    <w:rsid w:val="495D071E"/>
    <w:rsid w:val="49664EA6"/>
    <w:rsid w:val="496B669D"/>
    <w:rsid w:val="496E712A"/>
    <w:rsid w:val="49722A47"/>
    <w:rsid w:val="4973140F"/>
    <w:rsid w:val="49B35477"/>
    <w:rsid w:val="49B66EC5"/>
    <w:rsid w:val="49B7682F"/>
    <w:rsid w:val="49BE306A"/>
    <w:rsid w:val="49C071A1"/>
    <w:rsid w:val="49C161D8"/>
    <w:rsid w:val="49CC3F16"/>
    <w:rsid w:val="49D81F13"/>
    <w:rsid w:val="49E31136"/>
    <w:rsid w:val="49ED057A"/>
    <w:rsid w:val="4A057339"/>
    <w:rsid w:val="4A335BDC"/>
    <w:rsid w:val="4A360F96"/>
    <w:rsid w:val="4A3A2422"/>
    <w:rsid w:val="4A3B40B2"/>
    <w:rsid w:val="4A573C9B"/>
    <w:rsid w:val="4A5B1925"/>
    <w:rsid w:val="4A9B73F3"/>
    <w:rsid w:val="4AAC1814"/>
    <w:rsid w:val="4AB50E42"/>
    <w:rsid w:val="4ABB4926"/>
    <w:rsid w:val="4ABE1639"/>
    <w:rsid w:val="4ADC4024"/>
    <w:rsid w:val="4AE17C2C"/>
    <w:rsid w:val="4AEA24F0"/>
    <w:rsid w:val="4AF5404E"/>
    <w:rsid w:val="4AF55886"/>
    <w:rsid w:val="4AF83131"/>
    <w:rsid w:val="4B063561"/>
    <w:rsid w:val="4B150032"/>
    <w:rsid w:val="4B6937DD"/>
    <w:rsid w:val="4B870600"/>
    <w:rsid w:val="4B8E0170"/>
    <w:rsid w:val="4B8E63E6"/>
    <w:rsid w:val="4B964E4F"/>
    <w:rsid w:val="4BC22732"/>
    <w:rsid w:val="4BCC6CA8"/>
    <w:rsid w:val="4BCD53D9"/>
    <w:rsid w:val="4BCF38CB"/>
    <w:rsid w:val="4BEF4C5D"/>
    <w:rsid w:val="4BF0140A"/>
    <w:rsid w:val="4BFB520C"/>
    <w:rsid w:val="4BFC046E"/>
    <w:rsid w:val="4BFC6236"/>
    <w:rsid w:val="4C073CF8"/>
    <w:rsid w:val="4C102782"/>
    <w:rsid w:val="4C24124B"/>
    <w:rsid w:val="4C4541E5"/>
    <w:rsid w:val="4C511CEE"/>
    <w:rsid w:val="4C5316E4"/>
    <w:rsid w:val="4C554428"/>
    <w:rsid w:val="4C5C3EA5"/>
    <w:rsid w:val="4C631272"/>
    <w:rsid w:val="4C8556B7"/>
    <w:rsid w:val="4C8A5A53"/>
    <w:rsid w:val="4C9F6D0C"/>
    <w:rsid w:val="4CA1222F"/>
    <w:rsid w:val="4CB76367"/>
    <w:rsid w:val="4CBF3179"/>
    <w:rsid w:val="4CCC16DA"/>
    <w:rsid w:val="4CDD168C"/>
    <w:rsid w:val="4CDE1580"/>
    <w:rsid w:val="4D05310C"/>
    <w:rsid w:val="4D0F7EAD"/>
    <w:rsid w:val="4D15514C"/>
    <w:rsid w:val="4D166BD9"/>
    <w:rsid w:val="4D1C782A"/>
    <w:rsid w:val="4D2237E5"/>
    <w:rsid w:val="4D2A6914"/>
    <w:rsid w:val="4D341316"/>
    <w:rsid w:val="4D4F3E2D"/>
    <w:rsid w:val="4D5077DD"/>
    <w:rsid w:val="4D706C30"/>
    <w:rsid w:val="4DA15110"/>
    <w:rsid w:val="4DB56ED5"/>
    <w:rsid w:val="4DB73A62"/>
    <w:rsid w:val="4DB97D79"/>
    <w:rsid w:val="4DD30E27"/>
    <w:rsid w:val="4E0C0C92"/>
    <w:rsid w:val="4E1D44D2"/>
    <w:rsid w:val="4E1E3793"/>
    <w:rsid w:val="4E2241CB"/>
    <w:rsid w:val="4E251856"/>
    <w:rsid w:val="4E282639"/>
    <w:rsid w:val="4E317E06"/>
    <w:rsid w:val="4E416B1D"/>
    <w:rsid w:val="4E4B212D"/>
    <w:rsid w:val="4E5C563B"/>
    <w:rsid w:val="4E7E3962"/>
    <w:rsid w:val="4E9B7400"/>
    <w:rsid w:val="4EA548AD"/>
    <w:rsid w:val="4EC30B2B"/>
    <w:rsid w:val="4EC30BAA"/>
    <w:rsid w:val="4EDB7799"/>
    <w:rsid w:val="4EE80F4D"/>
    <w:rsid w:val="4EF11B96"/>
    <w:rsid w:val="4EF5428A"/>
    <w:rsid w:val="4EF75441"/>
    <w:rsid w:val="4F067E7F"/>
    <w:rsid w:val="4F0F0E50"/>
    <w:rsid w:val="4F18079A"/>
    <w:rsid w:val="4F1B620F"/>
    <w:rsid w:val="4F2717D1"/>
    <w:rsid w:val="4F5C12A0"/>
    <w:rsid w:val="4F616F31"/>
    <w:rsid w:val="4F7760C5"/>
    <w:rsid w:val="4F857B40"/>
    <w:rsid w:val="4F8D7933"/>
    <w:rsid w:val="4F923128"/>
    <w:rsid w:val="4F9D7F82"/>
    <w:rsid w:val="4F9E10B3"/>
    <w:rsid w:val="4FB72501"/>
    <w:rsid w:val="4FDB2A14"/>
    <w:rsid w:val="4FE5216E"/>
    <w:rsid w:val="4FEE43C5"/>
    <w:rsid w:val="4FF50AA2"/>
    <w:rsid w:val="4FF55E04"/>
    <w:rsid w:val="4FFA1F79"/>
    <w:rsid w:val="4FFE6D44"/>
    <w:rsid w:val="501C3419"/>
    <w:rsid w:val="501D4063"/>
    <w:rsid w:val="502A5FF4"/>
    <w:rsid w:val="50334961"/>
    <w:rsid w:val="504A2ECF"/>
    <w:rsid w:val="50611C44"/>
    <w:rsid w:val="50641F16"/>
    <w:rsid w:val="506D39BB"/>
    <w:rsid w:val="506F3338"/>
    <w:rsid w:val="509C1B97"/>
    <w:rsid w:val="50A40B8B"/>
    <w:rsid w:val="50AB2E49"/>
    <w:rsid w:val="50AC26DF"/>
    <w:rsid w:val="50AE19B8"/>
    <w:rsid w:val="50B00860"/>
    <w:rsid w:val="50C02457"/>
    <w:rsid w:val="50C22147"/>
    <w:rsid w:val="50DA5D1D"/>
    <w:rsid w:val="50DF3746"/>
    <w:rsid w:val="51065AE3"/>
    <w:rsid w:val="5130697A"/>
    <w:rsid w:val="51606D80"/>
    <w:rsid w:val="518D502C"/>
    <w:rsid w:val="51984E54"/>
    <w:rsid w:val="51A146B6"/>
    <w:rsid w:val="51AE3CED"/>
    <w:rsid w:val="51B97C10"/>
    <w:rsid w:val="51BB5FF1"/>
    <w:rsid w:val="51C606FB"/>
    <w:rsid w:val="51D854A9"/>
    <w:rsid w:val="51E30B6A"/>
    <w:rsid w:val="51EF1984"/>
    <w:rsid w:val="51F747E0"/>
    <w:rsid w:val="52103C34"/>
    <w:rsid w:val="52114A1C"/>
    <w:rsid w:val="52151D21"/>
    <w:rsid w:val="52252690"/>
    <w:rsid w:val="52252BF9"/>
    <w:rsid w:val="52337F1C"/>
    <w:rsid w:val="5236531B"/>
    <w:rsid w:val="5249689C"/>
    <w:rsid w:val="52525E85"/>
    <w:rsid w:val="52567E52"/>
    <w:rsid w:val="52802154"/>
    <w:rsid w:val="528B4CAA"/>
    <w:rsid w:val="528C13A2"/>
    <w:rsid w:val="52BF6099"/>
    <w:rsid w:val="52D935FA"/>
    <w:rsid w:val="52E84EAB"/>
    <w:rsid w:val="52FA4A88"/>
    <w:rsid w:val="530326EF"/>
    <w:rsid w:val="531955E1"/>
    <w:rsid w:val="532173A6"/>
    <w:rsid w:val="53311999"/>
    <w:rsid w:val="533C45DC"/>
    <w:rsid w:val="534534A3"/>
    <w:rsid w:val="534C36C4"/>
    <w:rsid w:val="535B5FF9"/>
    <w:rsid w:val="536D21D8"/>
    <w:rsid w:val="53796342"/>
    <w:rsid w:val="53820BB2"/>
    <w:rsid w:val="538D79B9"/>
    <w:rsid w:val="539911C5"/>
    <w:rsid w:val="53AA73C8"/>
    <w:rsid w:val="53C241C4"/>
    <w:rsid w:val="53C429B7"/>
    <w:rsid w:val="53E81D64"/>
    <w:rsid w:val="53EB712E"/>
    <w:rsid w:val="53F5628E"/>
    <w:rsid w:val="540A4448"/>
    <w:rsid w:val="54183F4F"/>
    <w:rsid w:val="541C53CD"/>
    <w:rsid w:val="54241077"/>
    <w:rsid w:val="54251052"/>
    <w:rsid w:val="542E1E30"/>
    <w:rsid w:val="54391E2A"/>
    <w:rsid w:val="543F370E"/>
    <w:rsid w:val="54505D70"/>
    <w:rsid w:val="54631A1F"/>
    <w:rsid w:val="54787ECC"/>
    <w:rsid w:val="54812C87"/>
    <w:rsid w:val="548361DF"/>
    <w:rsid w:val="54957EB4"/>
    <w:rsid w:val="54AA7585"/>
    <w:rsid w:val="54BB6BD3"/>
    <w:rsid w:val="54C63A10"/>
    <w:rsid w:val="54F70681"/>
    <w:rsid w:val="55006CF5"/>
    <w:rsid w:val="55132040"/>
    <w:rsid w:val="551A6E9C"/>
    <w:rsid w:val="553E6CB0"/>
    <w:rsid w:val="55437516"/>
    <w:rsid w:val="554A1CE4"/>
    <w:rsid w:val="554B0A2E"/>
    <w:rsid w:val="555A19E2"/>
    <w:rsid w:val="55755D7B"/>
    <w:rsid w:val="55757CBD"/>
    <w:rsid w:val="55957379"/>
    <w:rsid w:val="55966F76"/>
    <w:rsid w:val="55AC349A"/>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3450DB"/>
    <w:rsid w:val="563E0D12"/>
    <w:rsid w:val="56444033"/>
    <w:rsid w:val="56582EC5"/>
    <w:rsid w:val="565A1147"/>
    <w:rsid w:val="56635A76"/>
    <w:rsid w:val="567808EC"/>
    <w:rsid w:val="56864983"/>
    <w:rsid w:val="568E7350"/>
    <w:rsid w:val="56984E38"/>
    <w:rsid w:val="56A47248"/>
    <w:rsid w:val="56B96F71"/>
    <w:rsid w:val="56C44362"/>
    <w:rsid w:val="56CA4BBB"/>
    <w:rsid w:val="56DD6AC9"/>
    <w:rsid w:val="56E03E16"/>
    <w:rsid w:val="56ED3EE4"/>
    <w:rsid w:val="56F00B76"/>
    <w:rsid w:val="56F55395"/>
    <w:rsid w:val="56F745A8"/>
    <w:rsid w:val="56FF6F78"/>
    <w:rsid w:val="571635A1"/>
    <w:rsid w:val="57352F0E"/>
    <w:rsid w:val="57354B82"/>
    <w:rsid w:val="573B48F4"/>
    <w:rsid w:val="57415D44"/>
    <w:rsid w:val="57492FF5"/>
    <w:rsid w:val="574A5AA3"/>
    <w:rsid w:val="575C1A86"/>
    <w:rsid w:val="57767700"/>
    <w:rsid w:val="579A6EF3"/>
    <w:rsid w:val="579B330C"/>
    <w:rsid w:val="57A37560"/>
    <w:rsid w:val="57A83858"/>
    <w:rsid w:val="57AF5C54"/>
    <w:rsid w:val="57B42188"/>
    <w:rsid w:val="57B4655E"/>
    <w:rsid w:val="57D903E2"/>
    <w:rsid w:val="57FB0019"/>
    <w:rsid w:val="581A5F5A"/>
    <w:rsid w:val="58215951"/>
    <w:rsid w:val="5822625D"/>
    <w:rsid w:val="58264612"/>
    <w:rsid w:val="58306021"/>
    <w:rsid w:val="583D2C7F"/>
    <w:rsid w:val="5843317B"/>
    <w:rsid w:val="58507329"/>
    <w:rsid w:val="587D5FE6"/>
    <w:rsid w:val="58821087"/>
    <w:rsid w:val="588F1C60"/>
    <w:rsid w:val="58953FF1"/>
    <w:rsid w:val="589849BB"/>
    <w:rsid w:val="58B41748"/>
    <w:rsid w:val="58C33DB9"/>
    <w:rsid w:val="58C425E3"/>
    <w:rsid w:val="58CF4446"/>
    <w:rsid w:val="58EE76E8"/>
    <w:rsid w:val="58FD2B7C"/>
    <w:rsid w:val="58FF0E69"/>
    <w:rsid w:val="59174271"/>
    <w:rsid w:val="59206ABC"/>
    <w:rsid w:val="59256ED3"/>
    <w:rsid w:val="59271FEC"/>
    <w:rsid w:val="59393975"/>
    <w:rsid w:val="59417210"/>
    <w:rsid w:val="5946051F"/>
    <w:rsid w:val="59692FF0"/>
    <w:rsid w:val="597645D2"/>
    <w:rsid w:val="597E453F"/>
    <w:rsid w:val="59932EFC"/>
    <w:rsid w:val="59967306"/>
    <w:rsid w:val="599D37A3"/>
    <w:rsid w:val="59B76C32"/>
    <w:rsid w:val="59C67DEE"/>
    <w:rsid w:val="59C9568A"/>
    <w:rsid w:val="5A002FA3"/>
    <w:rsid w:val="5A007E30"/>
    <w:rsid w:val="5A0343C9"/>
    <w:rsid w:val="5A08125A"/>
    <w:rsid w:val="5A160D56"/>
    <w:rsid w:val="5A2179FB"/>
    <w:rsid w:val="5A243921"/>
    <w:rsid w:val="5A2776EF"/>
    <w:rsid w:val="5A45521F"/>
    <w:rsid w:val="5A4752B6"/>
    <w:rsid w:val="5A5051A4"/>
    <w:rsid w:val="5A6A69B7"/>
    <w:rsid w:val="5A6B504C"/>
    <w:rsid w:val="5A885001"/>
    <w:rsid w:val="5A8960C5"/>
    <w:rsid w:val="5A99743F"/>
    <w:rsid w:val="5A9E1877"/>
    <w:rsid w:val="5AA87A7C"/>
    <w:rsid w:val="5AB216C4"/>
    <w:rsid w:val="5ADD4D11"/>
    <w:rsid w:val="5AE26CDD"/>
    <w:rsid w:val="5AEA0953"/>
    <w:rsid w:val="5AEC23B4"/>
    <w:rsid w:val="5B052047"/>
    <w:rsid w:val="5B0F7EB6"/>
    <w:rsid w:val="5B32108D"/>
    <w:rsid w:val="5B3625B8"/>
    <w:rsid w:val="5B3F47FC"/>
    <w:rsid w:val="5B41351D"/>
    <w:rsid w:val="5B7339AD"/>
    <w:rsid w:val="5B813703"/>
    <w:rsid w:val="5B842A8E"/>
    <w:rsid w:val="5B9F61D8"/>
    <w:rsid w:val="5BA86394"/>
    <w:rsid w:val="5BB82B14"/>
    <w:rsid w:val="5BB95B06"/>
    <w:rsid w:val="5BFA335F"/>
    <w:rsid w:val="5C322A65"/>
    <w:rsid w:val="5C526F7B"/>
    <w:rsid w:val="5C595364"/>
    <w:rsid w:val="5C6C51C1"/>
    <w:rsid w:val="5C7B6810"/>
    <w:rsid w:val="5C7E1616"/>
    <w:rsid w:val="5C805B19"/>
    <w:rsid w:val="5C84485C"/>
    <w:rsid w:val="5C861F85"/>
    <w:rsid w:val="5C917CB2"/>
    <w:rsid w:val="5C92145C"/>
    <w:rsid w:val="5C99030E"/>
    <w:rsid w:val="5C9A4295"/>
    <w:rsid w:val="5C9E3C9E"/>
    <w:rsid w:val="5CAD01E8"/>
    <w:rsid w:val="5CB149DB"/>
    <w:rsid w:val="5CD40035"/>
    <w:rsid w:val="5CDF2B73"/>
    <w:rsid w:val="5CE9458D"/>
    <w:rsid w:val="5D0449CF"/>
    <w:rsid w:val="5D0E21AC"/>
    <w:rsid w:val="5D3468C4"/>
    <w:rsid w:val="5D3B635D"/>
    <w:rsid w:val="5D434714"/>
    <w:rsid w:val="5D457A5D"/>
    <w:rsid w:val="5D4E3012"/>
    <w:rsid w:val="5D4E3C68"/>
    <w:rsid w:val="5D5F23EC"/>
    <w:rsid w:val="5D797731"/>
    <w:rsid w:val="5DA70253"/>
    <w:rsid w:val="5DCB09A1"/>
    <w:rsid w:val="5E0E1390"/>
    <w:rsid w:val="5E213EF8"/>
    <w:rsid w:val="5E2C29D6"/>
    <w:rsid w:val="5E2F5CFC"/>
    <w:rsid w:val="5E3036B9"/>
    <w:rsid w:val="5E464496"/>
    <w:rsid w:val="5E61698D"/>
    <w:rsid w:val="5E7E60A9"/>
    <w:rsid w:val="5EBC2E54"/>
    <w:rsid w:val="5EDA2CAC"/>
    <w:rsid w:val="5EDB00E0"/>
    <w:rsid w:val="5EDE5287"/>
    <w:rsid w:val="5EE61F49"/>
    <w:rsid w:val="5F1950E1"/>
    <w:rsid w:val="5F1E54FC"/>
    <w:rsid w:val="5F1E7070"/>
    <w:rsid w:val="5F315AA9"/>
    <w:rsid w:val="5F3F74F9"/>
    <w:rsid w:val="5F445B2E"/>
    <w:rsid w:val="5F5F359D"/>
    <w:rsid w:val="5F6E41B1"/>
    <w:rsid w:val="5F714A57"/>
    <w:rsid w:val="5F715D02"/>
    <w:rsid w:val="5F785CFF"/>
    <w:rsid w:val="5F7B5532"/>
    <w:rsid w:val="5F8C05DD"/>
    <w:rsid w:val="5F9136E2"/>
    <w:rsid w:val="5F9609A6"/>
    <w:rsid w:val="5F976056"/>
    <w:rsid w:val="5F9A541A"/>
    <w:rsid w:val="5FA03C55"/>
    <w:rsid w:val="5FA96BB5"/>
    <w:rsid w:val="5FC26490"/>
    <w:rsid w:val="5FCC0F20"/>
    <w:rsid w:val="5FE3287C"/>
    <w:rsid w:val="5FE502FA"/>
    <w:rsid w:val="5FEF66DA"/>
    <w:rsid w:val="5FF727EF"/>
    <w:rsid w:val="600A2620"/>
    <w:rsid w:val="600D7226"/>
    <w:rsid w:val="60177C95"/>
    <w:rsid w:val="601C03AD"/>
    <w:rsid w:val="60226395"/>
    <w:rsid w:val="602B20E7"/>
    <w:rsid w:val="602F7A19"/>
    <w:rsid w:val="603C224B"/>
    <w:rsid w:val="60612816"/>
    <w:rsid w:val="60615277"/>
    <w:rsid w:val="60695999"/>
    <w:rsid w:val="60A023E2"/>
    <w:rsid w:val="60C86DFB"/>
    <w:rsid w:val="60F87B91"/>
    <w:rsid w:val="6100676D"/>
    <w:rsid w:val="610757A6"/>
    <w:rsid w:val="610A1465"/>
    <w:rsid w:val="61224AC8"/>
    <w:rsid w:val="612416C4"/>
    <w:rsid w:val="612F062B"/>
    <w:rsid w:val="61355264"/>
    <w:rsid w:val="613D1908"/>
    <w:rsid w:val="616B34F1"/>
    <w:rsid w:val="61B34920"/>
    <w:rsid w:val="61B8363E"/>
    <w:rsid w:val="61D35210"/>
    <w:rsid w:val="61E26A39"/>
    <w:rsid w:val="61EE361C"/>
    <w:rsid w:val="61F2346C"/>
    <w:rsid w:val="61F3564A"/>
    <w:rsid w:val="620455FF"/>
    <w:rsid w:val="62051E5E"/>
    <w:rsid w:val="62096860"/>
    <w:rsid w:val="620D5CAE"/>
    <w:rsid w:val="620F5FBB"/>
    <w:rsid w:val="621B439A"/>
    <w:rsid w:val="622542A4"/>
    <w:rsid w:val="62357B4C"/>
    <w:rsid w:val="623C3E79"/>
    <w:rsid w:val="624B1DCB"/>
    <w:rsid w:val="624D3860"/>
    <w:rsid w:val="627E4AA6"/>
    <w:rsid w:val="62B775E1"/>
    <w:rsid w:val="62B8695E"/>
    <w:rsid w:val="62C054DC"/>
    <w:rsid w:val="62C20E6C"/>
    <w:rsid w:val="62D50569"/>
    <w:rsid w:val="62D877BF"/>
    <w:rsid w:val="62DD303E"/>
    <w:rsid w:val="62E03F56"/>
    <w:rsid w:val="62EB1915"/>
    <w:rsid w:val="62F05B79"/>
    <w:rsid w:val="62F54D21"/>
    <w:rsid w:val="63145F63"/>
    <w:rsid w:val="63153B67"/>
    <w:rsid w:val="63191F45"/>
    <w:rsid w:val="631A114F"/>
    <w:rsid w:val="631F4897"/>
    <w:rsid w:val="6327117C"/>
    <w:rsid w:val="633270F6"/>
    <w:rsid w:val="63340F00"/>
    <w:rsid w:val="633849E8"/>
    <w:rsid w:val="633F742D"/>
    <w:rsid w:val="63446387"/>
    <w:rsid w:val="6359534E"/>
    <w:rsid w:val="63945C4D"/>
    <w:rsid w:val="63AA53D6"/>
    <w:rsid w:val="63AF6032"/>
    <w:rsid w:val="63BA23B1"/>
    <w:rsid w:val="63BE0768"/>
    <w:rsid w:val="63BE1EAF"/>
    <w:rsid w:val="63BE38DD"/>
    <w:rsid w:val="63BE4877"/>
    <w:rsid w:val="63CC1E6C"/>
    <w:rsid w:val="63D42E6F"/>
    <w:rsid w:val="63DF01FA"/>
    <w:rsid w:val="63ED7418"/>
    <w:rsid w:val="63F55F2B"/>
    <w:rsid w:val="640E09AC"/>
    <w:rsid w:val="641423F7"/>
    <w:rsid w:val="6414705B"/>
    <w:rsid w:val="6418742C"/>
    <w:rsid w:val="642E0DC1"/>
    <w:rsid w:val="64383811"/>
    <w:rsid w:val="643B1DDB"/>
    <w:rsid w:val="64527EE2"/>
    <w:rsid w:val="6463704A"/>
    <w:rsid w:val="64746411"/>
    <w:rsid w:val="64773568"/>
    <w:rsid w:val="64784319"/>
    <w:rsid w:val="648A53C3"/>
    <w:rsid w:val="64B1582E"/>
    <w:rsid w:val="64C007C5"/>
    <w:rsid w:val="64C25AE1"/>
    <w:rsid w:val="64D8522D"/>
    <w:rsid w:val="64F459EF"/>
    <w:rsid w:val="64FC6A39"/>
    <w:rsid w:val="64FF5554"/>
    <w:rsid w:val="64FF5B33"/>
    <w:rsid w:val="650C735C"/>
    <w:rsid w:val="651A528F"/>
    <w:rsid w:val="652210F7"/>
    <w:rsid w:val="65252373"/>
    <w:rsid w:val="65310787"/>
    <w:rsid w:val="654A0485"/>
    <w:rsid w:val="655679F7"/>
    <w:rsid w:val="655C0221"/>
    <w:rsid w:val="656B28FD"/>
    <w:rsid w:val="657958FF"/>
    <w:rsid w:val="6584001B"/>
    <w:rsid w:val="658558D2"/>
    <w:rsid w:val="658B2995"/>
    <w:rsid w:val="65981B19"/>
    <w:rsid w:val="65A264C4"/>
    <w:rsid w:val="65D63A96"/>
    <w:rsid w:val="65F46A63"/>
    <w:rsid w:val="65FF233E"/>
    <w:rsid w:val="660367A1"/>
    <w:rsid w:val="6607745E"/>
    <w:rsid w:val="66093FCB"/>
    <w:rsid w:val="660C1008"/>
    <w:rsid w:val="66130AAB"/>
    <w:rsid w:val="66247877"/>
    <w:rsid w:val="66442B47"/>
    <w:rsid w:val="6645606B"/>
    <w:rsid w:val="664A5DB0"/>
    <w:rsid w:val="664F5592"/>
    <w:rsid w:val="666138BE"/>
    <w:rsid w:val="666B61C1"/>
    <w:rsid w:val="66704DB8"/>
    <w:rsid w:val="667430BA"/>
    <w:rsid w:val="6687181F"/>
    <w:rsid w:val="66A04B27"/>
    <w:rsid w:val="66AB0232"/>
    <w:rsid w:val="66AC42E9"/>
    <w:rsid w:val="66B20A89"/>
    <w:rsid w:val="66B327B0"/>
    <w:rsid w:val="66B57968"/>
    <w:rsid w:val="66B92610"/>
    <w:rsid w:val="66C65DA4"/>
    <w:rsid w:val="66CB27C0"/>
    <w:rsid w:val="66CD7497"/>
    <w:rsid w:val="66E67C21"/>
    <w:rsid w:val="66F939B6"/>
    <w:rsid w:val="67027284"/>
    <w:rsid w:val="67475E38"/>
    <w:rsid w:val="67537032"/>
    <w:rsid w:val="67656864"/>
    <w:rsid w:val="6766467F"/>
    <w:rsid w:val="676B362B"/>
    <w:rsid w:val="676D60D7"/>
    <w:rsid w:val="67775F53"/>
    <w:rsid w:val="67873F03"/>
    <w:rsid w:val="67A2624C"/>
    <w:rsid w:val="67AE39D7"/>
    <w:rsid w:val="67B42723"/>
    <w:rsid w:val="67C26BE9"/>
    <w:rsid w:val="67CD5390"/>
    <w:rsid w:val="67CF66A0"/>
    <w:rsid w:val="67F41BB8"/>
    <w:rsid w:val="67F60BB7"/>
    <w:rsid w:val="67FC1404"/>
    <w:rsid w:val="68022384"/>
    <w:rsid w:val="6806232A"/>
    <w:rsid w:val="680B049B"/>
    <w:rsid w:val="681329CD"/>
    <w:rsid w:val="682870E2"/>
    <w:rsid w:val="68514045"/>
    <w:rsid w:val="68541A0A"/>
    <w:rsid w:val="686E2CBE"/>
    <w:rsid w:val="68995A67"/>
    <w:rsid w:val="689E408E"/>
    <w:rsid w:val="68B77FEA"/>
    <w:rsid w:val="68CC65D0"/>
    <w:rsid w:val="68D8103F"/>
    <w:rsid w:val="68EE6D9D"/>
    <w:rsid w:val="68FB681C"/>
    <w:rsid w:val="69010FD4"/>
    <w:rsid w:val="6934460D"/>
    <w:rsid w:val="694E280C"/>
    <w:rsid w:val="69607A6C"/>
    <w:rsid w:val="696B7A43"/>
    <w:rsid w:val="696D0FD1"/>
    <w:rsid w:val="697C6401"/>
    <w:rsid w:val="697D34E1"/>
    <w:rsid w:val="69865073"/>
    <w:rsid w:val="698C58DA"/>
    <w:rsid w:val="69A7696E"/>
    <w:rsid w:val="69AB6664"/>
    <w:rsid w:val="69C37CDD"/>
    <w:rsid w:val="69CD70A4"/>
    <w:rsid w:val="69F27551"/>
    <w:rsid w:val="6A017D99"/>
    <w:rsid w:val="6A114CCF"/>
    <w:rsid w:val="6A195EB9"/>
    <w:rsid w:val="6A322912"/>
    <w:rsid w:val="6A483D54"/>
    <w:rsid w:val="6A4E7F60"/>
    <w:rsid w:val="6A4F0FE3"/>
    <w:rsid w:val="6A6E3D8A"/>
    <w:rsid w:val="6A907C90"/>
    <w:rsid w:val="6ABD2B8A"/>
    <w:rsid w:val="6AC122A3"/>
    <w:rsid w:val="6ACA5FB0"/>
    <w:rsid w:val="6ADE18EE"/>
    <w:rsid w:val="6ADF3594"/>
    <w:rsid w:val="6AE73F4D"/>
    <w:rsid w:val="6B0B1D32"/>
    <w:rsid w:val="6B0F0139"/>
    <w:rsid w:val="6B2142CE"/>
    <w:rsid w:val="6B2315D2"/>
    <w:rsid w:val="6B25182E"/>
    <w:rsid w:val="6B30021B"/>
    <w:rsid w:val="6B3B0707"/>
    <w:rsid w:val="6B471513"/>
    <w:rsid w:val="6B56083E"/>
    <w:rsid w:val="6B6B376C"/>
    <w:rsid w:val="6B7C613A"/>
    <w:rsid w:val="6B850C29"/>
    <w:rsid w:val="6B954CEF"/>
    <w:rsid w:val="6BA840D6"/>
    <w:rsid w:val="6BBE61C0"/>
    <w:rsid w:val="6BD46B4D"/>
    <w:rsid w:val="6BE73798"/>
    <w:rsid w:val="6C1A082E"/>
    <w:rsid w:val="6C3707E3"/>
    <w:rsid w:val="6C693AEA"/>
    <w:rsid w:val="6C6958BA"/>
    <w:rsid w:val="6C6E6BE1"/>
    <w:rsid w:val="6C860712"/>
    <w:rsid w:val="6C860B71"/>
    <w:rsid w:val="6C863AD3"/>
    <w:rsid w:val="6C8F0FB6"/>
    <w:rsid w:val="6C995B9F"/>
    <w:rsid w:val="6CB03800"/>
    <w:rsid w:val="6CB543F8"/>
    <w:rsid w:val="6CD3191A"/>
    <w:rsid w:val="6CE83B52"/>
    <w:rsid w:val="6CFD7470"/>
    <w:rsid w:val="6D193B0B"/>
    <w:rsid w:val="6D2162B4"/>
    <w:rsid w:val="6D222178"/>
    <w:rsid w:val="6D2C13DF"/>
    <w:rsid w:val="6D351109"/>
    <w:rsid w:val="6D535020"/>
    <w:rsid w:val="6D6A5CC8"/>
    <w:rsid w:val="6D6B3F91"/>
    <w:rsid w:val="6D7707C3"/>
    <w:rsid w:val="6D8901BC"/>
    <w:rsid w:val="6D9346AE"/>
    <w:rsid w:val="6DB22D18"/>
    <w:rsid w:val="6DB96B12"/>
    <w:rsid w:val="6DC918BA"/>
    <w:rsid w:val="6DD16FED"/>
    <w:rsid w:val="6DE04488"/>
    <w:rsid w:val="6DEE7E36"/>
    <w:rsid w:val="6E132BBF"/>
    <w:rsid w:val="6E156AB9"/>
    <w:rsid w:val="6E2A1D7A"/>
    <w:rsid w:val="6E347D9E"/>
    <w:rsid w:val="6E39640B"/>
    <w:rsid w:val="6E457FD7"/>
    <w:rsid w:val="6E5140E8"/>
    <w:rsid w:val="6E523ECC"/>
    <w:rsid w:val="6E777980"/>
    <w:rsid w:val="6E8C433E"/>
    <w:rsid w:val="6E9C45CA"/>
    <w:rsid w:val="6EBF54EA"/>
    <w:rsid w:val="6ECB09B7"/>
    <w:rsid w:val="6ECC5B21"/>
    <w:rsid w:val="6ED0560A"/>
    <w:rsid w:val="6EE62D04"/>
    <w:rsid w:val="6F2C025F"/>
    <w:rsid w:val="6F2C25D4"/>
    <w:rsid w:val="6F4308A1"/>
    <w:rsid w:val="6F46405D"/>
    <w:rsid w:val="6F5603AA"/>
    <w:rsid w:val="6F582142"/>
    <w:rsid w:val="6F6311C3"/>
    <w:rsid w:val="6F7B4F57"/>
    <w:rsid w:val="6F8173A5"/>
    <w:rsid w:val="6F8731F0"/>
    <w:rsid w:val="6F98023F"/>
    <w:rsid w:val="6FBC0E57"/>
    <w:rsid w:val="6FC57B35"/>
    <w:rsid w:val="6FCB5618"/>
    <w:rsid w:val="6FF551F5"/>
    <w:rsid w:val="6FF901E4"/>
    <w:rsid w:val="703503A4"/>
    <w:rsid w:val="7036351C"/>
    <w:rsid w:val="703D6CEF"/>
    <w:rsid w:val="70412B93"/>
    <w:rsid w:val="70553D44"/>
    <w:rsid w:val="705D42D1"/>
    <w:rsid w:val="7062375F"/>
    <w:rsid w:val="70706378"/>
    <w:rsid w:val="708B2925"/>
    <w:rsid w:val="70B16ED7"/>
    <w:rsid w:val="70C06B12"/>
    <w:rsid w:val="70C55B89"/>
    <w:rsid w:val="70CE5088"/>
    <w:rsid w:val="70D900D5"/>
    <w:rsid w:val="70EC759C"/>
    <w:rsid w:val="710A05D6"/>
    <w:rsid w:val="71164870"/>
    <w:rsid w:val="71215B48"/>
    <w:rsid w:val="712357B2"/>
    <w:rsid w:val="713425DE"/>
    <w:rsid w:val="71362F91"/>
    <w:rsid w:val="71395FAD"/>
    <w:rsid w:val="713C7860"/>
    <w:rsid w:val="7158707F"/>
    <w:rsid w:val="715F7096"/>
    <w:rsid w:val="71634934"/>
    <w:rsid w:val="71684551"/>
    <w:rsid w:val="716C7616"/>
    <w:rsid w:val="71723E36"/>
    <w:rsid w:val="71895007"/>
    <w:rsid w:val="718C2955"/>
    <w:rsid w:val="718C3250"/>
    <w:rsid w:val="719C38AD"/>
    <w:rsid w:val="71BA2D03"/>
    <w:rsid w:val="71DD2475"/>
    <w:rsid w:val="71DD54E0"/>
    <w:rsid w:val="71E25D9B"/>
    <w:rsid w:val="71EA1849"/>
    <w:rsid w:val="71FC4024"/>
    <w:rsid w:val="72097561"/>
    <w:rsid w:val="724033F7"/>
    <w:rsid w:val="72433065"/>
    <w:rsid w:val="728175C3"/>
    <w:rsid w:val="728E5109"/>
    <w:rsid w:val="72A2415E"/>
    <w:rsid w:val="72AC288B"/>
    <w:rsid w:val="72B266AC"/>
    <w:rsid w:val="72C03295"/>
    <w:rsid w:val="72C346BD"/>
    <w:rsid w:val="72CE404E"/>
    <w:rsid w:val="72E47A77"/>
    <w:rsid w:val="72ED4786"/>
    <w:rsid w:val="72F5500F"/>
    <w:rsid w:val="72FD4B94"/>
    <w:rsid w:val="73035024"/>
    <w:rsid w:val="731822C5"/>
    <w:rsid w:val="73261C73"/>
    <w:rsid w:val="73274383"/>
    <w:rsid w:val="73296A24"/>
    <w:rsid w:val="733B25A8"/>
    <w:rsid w:val="733E766B"/>
    <w:rsid w:val="734A04E5"/>
    <w:rsid w:val="736F044F"/>
    <w:rsid w:val="737410AC"/>
    <w:rsid w:val="73785F09"/>
    <w:rsid w:val="7391679E"/>
    <w:rsid w:val="73A53482"/>
    <w:rsid w:val="73AA5EEC"/>
    <w:rsid w:val="73B04236"/>
    <w:rsid w:val="73BB09D2"/>
    <w:rsid w:val="73BF77D7"/>
    <w:rsid w:val="73CB6CEC"/>
    <w:rsid w:val="73E27B00"/>
    <w:rsid w:val="73E65029"/>
    <w:rsid w:val="73EF42A9"/>
    <w:rsid w:val="73F017DA"/>
    <w:rsid w:val="73F07D9A"/>
    <w:rsid w:val="73F41526"/>
    <w:rsid w:val="74180BBF"/>
    <w:rsid w:val="74266B95"/>
    <w:rsid w:val="742E73BF"/>
    <w:rsid w:val="743D2A5D"/>
    <w:rsid w:val="74451C3B"/>
    <w:rsid w:val="74566DBA"/>
    <w:rsid w:val="745A0BA9"/>
    <w:rsid w:val="745D2796"/>
    <w:rsid w:val="7460605D"/>
    <w:rsid w:val="74645E2C"/>
    <w:rsid w:val="747A5C59"/>
    <w:rsid w:val="748D4D0B"/>
    <w:rsid w:val="748F2873"/>
    <w:rsid w:val="74C07362"/>
    <w:rsid w:val="74E0416E"/>
    <w:rsid w:val="74EE09B3"/>
    <w:rsid w:val="74F16FF8"/>
    <w:rsid w:val="75032417"/>
    <w:rsid w:val="751630F3"/>
    <w:rsid w:val="751B0EF7"/>
    <w:rsid w:val="751D677C"/>
    <w:rsid w:val="75231E7F"/>
    <w:rsid w:val="7544346D"/>
    <w:rsid w:val="75494DE0"/>
    <w:rsid w:val="754A58F7"/>
    <w:rsid w:val="75684184"/>
    <w:rsid w:val="759146BB"/>
    <w:rsid w:val="75B30DD6"/>
    <w:rsid w:val="75C25231"/>
    <w:rsid w:val="75C876B4"/>
    <w:rsid w:val="75DF4381"/>
    <w:rsid w:val="75E142B9"/>
    <w:rsid w:val="75E5151B"/>
    <w:rsid w:val="75EC37AE"/>
    <w:rsid w:val="75F16CCA"/>
    <w:rsid w:val="76054A17"/>
    <w:rsid w:val="76211AF6"/>
    <w:rsid w:val="76275FAE"/>
    <w:rsid w:val="762E39BD"/>
    <w:rsid w:val="763537F6"/>
    <w:rsid w:val="763B3B81"/>
    <w:rsid w:val="76417696"/>
    <w:rsid w:val="76686B17"/>
    <w:rsid w:val="767F314F"/>
    <w:rsid w:val="76940D5A"/>
    <w:rsid w:val="769F638C"/>
    <w:rsid w:val="771E342D"/>
    <w:rsid w:val="77241334"/>
    <w:rsid w:val="772E3EC9"/>
    <w:rsid w:val="778B74B3"/>
    <w:rsid w:val="779C66D3"/>
    <w:rsid w:val="77A52D33"/>
    <w:rsid w:val="77B86D8D"/>
    <w:rsid w:val="77B95085"/>
    <w:rsid w:val="77C82507"/>
    <w:rsid w:val="77C94A5C"/>
    <w:rsid w:val="77D51602"/>
    <w:rsid w:val="77F359E9"/>
    <w:rsid w:val="780E6346"/>
    <w:rsid w:val="7810476F"/>
    <w:rsid w:val="781B6277"/>
    <w:rsid w:val="782402F6"/>
    <w:rsid w:val="7826124C"/>
    <w:rsid w:val="782D5E70"/>
    <w:rsid w:val="782E0211"/>
    <w:rsid w:val="783E6B68"/>
    <w:rsid w:val="786660BB"/>
    <w:rsid w:val="787967A0"/>
    <w:rsid w:val="787E5DA4"/>
    <w:rsid w:val="7886011F"/>
    <w:rsid w:val="788E4C33"/>
    <w:rsid w:val="78A23C35"/>
    <w:rsid w:val="78AE55B9"/>
    <w:rsid w:val="78B1241F"/>
    <w:rsid w:val="78B5402C"/>
    <w:rsid w:val="78C33580"/>
    <w:rsid w:val="78CA3104"/>
    <w:rsid w:val="78DD724E"/>
    <w:rsid w:val="78E144CE"/>
    <w:rsid w:val="78E46F81"/>
    <w:rsid w:val="78E97DB2"/>
    <w:rsid w:val="78FB0EF8"/>
    <w:rsid w:val="78FE7A25"/>
    <w:rsid w:val="790300B9"/>
    <w:rsid w:val="792C6D0B"/>
    <w:rsid w:val="793731E3"/>
    <w:rsid w:val="79392389"/>
    <w:rsid w:val="793F4619"/>
    <w:rsid w:val="79476D94"/>
    <w:rsid w:val="795200ED"/>
    <w:rsid w:val="79533E74"/>
    <w:rsid w:val="79537BB7"/>
    <w:rsid w:val="79651C45"/>
    <w:rsid w:val="796C1BE9"/>
    <w:rsid w:val="7972462B"/>
    <w:rsid w:val="797C1FFB"/>
    <w:rsid w:val="798F727F"/>
    <w:rsid w:val="7998292C"/>
    <w:rsid w:val="79BC5130"/>
    <w:rsid w:val="79F075B1"/>
    <w:rsid w:val="79FB0C04"/>
    <w:rsid w:val="79FD459D"/>
    <w:rsid w:val="79FE5779"/>
    <w:rsid w:val="7A0144E6"/>
    <w:rsid w:val="7A082841"/>
    <w:rsid w:val="7A0C5205"/>
    <w:rsid w:val="7A314E83"/>
    <w:rsid w:val="7A444B44"/>
    <w:rsid w:val="7A4568FC"/>
    <w:rsid w:val="7A6639DD"/>
    <w:rsid w:val="7A697475"/>
    <w:rsid w:val="7A6D79AA"/>
    <w:rsid w:val="7A7A62B5"/>
    <w:rsid w:val="7A8157F4"/>
    <w:rsid w:val="7A8210D7"/>
    <w:rsid w:val="7A8E0619"/>
    <w:rsid w:val="7AD53C91"/>
    <w:rsid w:val="7AD91D8E"/>
    <w:rsid w:val="7ADB5C40"/>
    <w:rsid w:val="7ADD7099"/>
    <w:rsid w:val="7AE53FA2"/>
    <w:rsid w:val="7AE91E92"/>
    <w:rsid w:val="7AF37660"/>
    <w:rsid w:val="7B126289"/>
    <w:rsid w:val="7B30530E"/>
    <w:rsid w:val="7B3846C8"/>
    <w:rsid w:val="7B390DDA"/>
    <w:rsid w:val="7B693808"/>
    <w:rsid w:val="7B6D58DE"/>
    <w:rsid w:val="7B8F488C"/>
    <w:rsid w:val="7B993DA4"/>
    <w:rsid w:val="7B9E0E8A"/>
    <w:rsid w:val="7BAA71B9"/>
    <w:rsid w:val="7BAF7D8E"/>
    <w:rsid w:val="7BB10B07"/>
    <w:rsid w:val="7BBF1BA5"/>
    <w:rsid w:val="7BDC2D7A"/>
    <w:rsid w:val="7BF71F56"/>
    <w:rsid w:val="7BFB33F0"/>
    <w:rsid w:val="7C0433BA"/>
    <w:rsid w:val="7C0467F7"/>
    <w:rsid w:val="7C052A99"/>
    <w:rsid w:val="7C1C2365"/>
    <w:rsid w:val="7C440D38"/>
    <w:rsid w:val="7C4A0704"/>
    <w:rsid w:val="7C4A26E6"/>
    <w:rsid w:val="7C59098D"/>
    <w:rsid w:val="7C816640"/>
    <w:rsid w:val="7C907C58"/>
    <w:rsid w:val="7C973CE5"/>
    <w:rsid w:val="7C9C5AAF"/>
    <w:rsid w:val="7CA26400"/>
    <w:rsid w:val="7CA504FC"/>
    <w:rsid w:val="7CA92D22"/>
    <w:rsid w:val="7CAB1228"/>
    <w:rsid w:val="7CB53CE5"/>
    <w:rsid w:val="7CB8747E"/>
    <w:rsid w:val="7CC66EA5"/>
    <w:rsid w:val="7CD91ED4"/>
    <w:rsid w:val="7CDA4FD7"/>
    <w:rsid w:val="7CDE6632"/>
    <w:rsid w:val="7CE31486"/>
    <w:rsid w:val="7CE355AB"/>
    <w:rsid w:val="7CED4739"/>
    <w:rsid w:val="7CF81AC1"/>
    <w:rsid w:val="7D051E6D"/>
    <w:rsid w:val="7D130BAA"/>
    <w:rsid w:val="7D293E37"/>
    <w:rsid w:val="7D2C2A2C"/>
    <w:rsid w:val="7D3C3A40"/>
    <w:rsid w:val="7D3D1E08"/>
    <w:rsid w:val="7D3F49EB"/>
    <w:rsid w:val="7D42460F"/>
    <w:rsid w:val="7D491923"/>
    <w:rsid w:val="7D4B0579"/>
    <w:rsid w:val="7D555FAC"/>
    <w:rsid w:val="7D625500"/>
    <w:rsid w:val="7D6B63FA"/>
    <w:rsid w:val="7D6C6BA9"/>
    <w:rsid w:val="7D7F0A40"/>
    <w:rsid w:val="7D8E409D"/>
    <w:rsid w:val="7DDA0FC1"/>
    <w:rsid w:val="7DDC6964"/>
    <w:rsid w:val="7DE065A7"/>
    <w:rsid w:val="7DEB5334"/>
    <w:rsid w:val="7DF52D47"/>
    <w:rsid w:val="7DFA7B58"/>
    <w:rsid w:val="7E054DC3"/>
    <w:rsid w:val="7E0E2884"/>
    <w:rsid w:val="7E1813FE"/>
    <w:rsid w:val="7E250A47"/>
    <w:rsid w:val="7E2E5534"/>
    <w:rsid w:val="7E2E67D3"/>
    <w:rsid w:val="7E3139AB"/>
    <w:rsid w:val="7E631219"/>
    <w:rsid w:val="7E7517E8"/>
    <w:rsid w:val="7E8E203F"/>
    <w:rsid w:val="7E8F25D0"/>
    <w:rsid w:val="7EAC6DCF"/>
    <w:rsid w:val="7EBC1F58"/>
    <w:rsid w:val="7EC9106A"/>
    <w:rsid w:val="7EC957DD"/>
    <w:rsid w:val="7ED14DB6"/>
    <w:rsid w:val="7EDC3B37"/>
    <w:rsid w:val="7EE76915"/>
    <w:rsid w:val="7EEC6E13"/>
    <w:rsid w:val="7EF118F1"/>
    <w:rsid w:val="7EF47DC2"/>
    <w:rsid w:val="7F0B68A2"/>
    <w:rsid w:val="7F115E56"/>
    <w:rsid w:val="7F2039B5"/>
    <w:rsid w:val="7F24500C"/>
    <w:rsid w:val="7F2A6727"/>
    <w:rsid w:val="7F4419AA"/>
    <w:rsid w:val="7F45214C"/>
    <w:rsid w:val="7F4E793F"/>
    <w:rsid w:val="7F5579B0"/>
    <w:rsid w:val="7F617E8B"/>
    <w:rsid w:val="7F837A9D"/>
    <w:rsid w:val="7F947FF8"/>
    <w:rsid w:val="7F977394"/>
    <w:rsid w:val="7FA450A9"/>
    <w:rsid w:val="7FA87001"/>
    <w:rsid w:val="7FB3330A"/>
    <w:rsid w:val="7FCC0E95"/>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outlineLvl w:val="0"/>
    </w:pPr>
    <w:rPr>
      <w:b/>
      <w:bCs/>
      <w:kern w:val="44"/>
      <w:szCs w:val="44"/>
    </w:rPr>
  </w:style>
  <w:style w:type="paragraph" w:styleId="5">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6">
    <w:name w:val="heading 3"/>
    <w:basedOn w:val="1"/>
    <w:next w:val="1"/>
    <w:qFormat/>
    <w:uiPriority w:val="0"/>
    <w:pPr>
      <w:keepNext/>
      <w:outlineLvl w:val="2"/>
    </w:pPr>
    <w:rPr>
      <w:sz w:val="44"/>
      <w:shd w:val="pct10" w:color="auto" w:fill="FFFFFF"/>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 w:val="18"/>
    </w:rPr>
  </w:style>
  <w:style w:type="paragraph" w:styleId="3">
    <w:name w:val="Body Text"/>
    <w:basedOn w:val="1"/>
    <w:qFormat/>
    <w:uiPriority w:val="0"/>
    <w:rPr>
      <w:rFonts w:eastAsia="楷体_GB2312"/>
      <w:spacing w:val="-8"/>
      <w:sz w:val="24"/>
    </w:rPr>
  </w:style>
  <w:style w:type="paragraph" w:styleId="7">
    <w:name w:val="table of authorities"/>
    <w:basedOn w:val="1"/>
    <w:next w:val="1"/>
    <w:semiHidden/>
    <w:qFormat/>
    <w:uiPriority w:val="0"/>
    <w:pPr>
      <w:ind w:left="420" w:leftChars="200"/>
    </w:pPr>
  </w:style>
  <w:style w:type="paragraph" w:styleId="8">
    <w:name w:val="Normal Indent"/>
    <w:basedOn w:val="1"/>
    <w:qFormat/>
    <w:uiPriority w:val="0"/>
    <w:pPr>
      <w:widowControl w:val="0"/>
      <w:spacing w:beforeLines="50" w:line="360" w:lineRule="auto"/>
      <w:ind w:firstLine="560" w:firstLineChars="200"/>
      <w:jc w:val="both"/>
    </w:pPr>
    <w:rPr>
      <w:kern w:val="2"/>
      <w:sz w:val="28"/>
    </w:rPr>
  </w:style>
  <w:style w:type="paragraph" w:styleId="9">
    <w:name w:val="Document Map"/>
    <w:basedOn w:val="1"/>
    <w:link w:val="60"/>
    <w:qFormat/>
    <w:uiPriority w:val="0"/>
    <w:rPr>
      <w:rFonts w:ascii="宋体" w:eastAsia="宋体"/>
      <w:sz w:val="18"/>
      <w:szCs w:val="18"/>
    </w:rPr>
  </w:style>
  <w:style w:type="paragraph" w:styleId="10">
    <w:name w:val="annotation text"/>
    <w:basedOn w:val="1"/>
    <w:qFormat/>
    <w:uiPriority w:val="0"/>
  </w:style>
  <w:style w:type="paragraph" w:styleId="11">
    <w:name w:val="Body Text Indent"/>
    <w:basedOn w:val="1"/>
    <w:qFormat/>
    <w:uiPriority w:val="0"/>
    <w:pPr>
      <w:jc w:val="center"/>
    </w:pPr>
    <w:rPr>
      <w:rFonts w:eastAsia="楷体_GB2312"/>
      <w:sz w:val="24"/>
    </w:rPr>
  </w:style>
  <w:style w:type="paragraph" w:styleId="12">
    <w:name w:val="Block Text"/>
    <w:basedOn w:val="1"/>
    <w:qFormat/>
    <w:uiPriority w:val="0"/>
    <w:pPr>
      <w:spacing w:line="440" w:lineRule="exact"/>
      <w:ind w:left="113" w:right="113" w:firstLine="567"/>
    </w:pPr>
    <w:rPr>
      <w:rFonts w:ascii="仿宋_GB2312" w:eastAsia="仿宋_GB2312"/>
      <w:sz w:val="28"/>
      <w:szCs w:val="20"/>
    </w:rPr>
  </w:style>
  <w:style w:type="paragraph" w:styleId="13">
    <w:name w:val="Plain Text"/>
    <w:basedOn w:val="1"/>
    <w:unhideWhenUsed/>
    <w:qFormat/>
    <w:uiPriority w:val="99"/>
    <w:rPr>
      <w:rFonts w:ascii="宋体" w:hAnsi="Courier New"/>
      <w:sz w:val="20"/>
      <w:szCs w:val="21"/>
    </w:rPr>
  </w:style>
  <w:style w:type="paragraph" w:styleId="14">
    <w:name w:val="Balloon Text"/>
    <w:basedOn w:val="1"/>
    <w:link w:val="58"/>
    <w:qFormat/>
    <w:uiPriority w:val="0"/>
    <w:rPr>
      <w:sz w:val="18"/>
      <w:szCs w:val="18"/>
    </w:rPr>
  </w:style>
  <w:style w:type="paragraph" w:styleId="15">
    <w:name w:val="footer"/>
    <w:basedOn w:val="1"/>
    <w:link w:val="59"/>
    <w:qFormat/>
    <w:uiPriority w:val="99"/>
    <w:pPr>
      <w:tabs>
        <w:tab w:val="center" w:pos="4153"/>
        <w:tab w:val="right" w:pos="8306"/>
      </w:tabs>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7">
    <w:name w:val="toc 1"/>
    <w:basedOn w:val="1"/>
    <w:next w:val="1"/>
    <w:qFormat/>
    <w:uiPriority w:val="0"/>
  </w:style>
  <w:style w:type="paragraph" w:styleId="18">
    <w:name w:val="List"/>
    <w:basedOn w:val="1"/>
    <w:qFormat/>
    <w:uiPriority w:val="0"/>
    <w:pPr>
      <w:ind w:left="200" w:hanging="200" w:hangingChars="200"/>
    </w:pPr>
  </w:style>
  <w:style w:type="paragraph" w:styleId="19">
    <w:name w:val="Normal (Web)"/>
    <w:basedOn w:val="1"/>
    <w:qFormat/>
    <w:uiPriority w:val="0"/>
    <w:pPr>
      <w:spacing w:before="100" w:beforeAutospacing="1" w:after="100" w:afterAutospacing="1"/>
    </w:pPr>
    <w:rPr>
      <w:rFonts w:ascii="宋体" w:hAnsi="宋体" w:cs="宋体"/>
      <w:sz w:val="24"/>
    </w:rPr>
  </w:style>
  <w:style w:type="paragraph" w:styleId="20">
    <w:name w:val="Body Text First Indent 2"/>
    <w:basedOn w:val="11"/>
    <w:qFormat/>
    <w:uiPriority w:val="0"/>
    <w:pPr>
      <w:ind w:firstLine="4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uiPriority w:val="0"/>
  </w:style>
  <w:style w:type="character" w:styleId="25">
    <w:name w:val="Emphasis"/>
    <w:basedOn w:val="23"/>
    <w:qFormat/>
    <w:uiPriority w:val="0"/>
    <w:rPr>
      <w:i/>
    </w:rPr>
  </w:style>
  <w:style w:type="character" w:styleId="26">
    <w:name w:val="annotation reference"/>
    <w:semiHidden/>
    <w:qFormat/>
    <w:uiPriority w:val="0"/>
    <w:rPr>
      <w:sz w:val="21"/>
      <w:szCs w:val="21"/>
    </w:rPr>
  </w:style>
  <w:style w:type="paragraph" w:customStyle="1" w:styleId="27">
    <w:name w:val="Char Char Char Char Char2 Char Char Char Char"/>
    <w:basedOn w:val="1"/>
    <w:qFormat/>
    <w:uiPriority w:val="0"/>
    <w:pPr>
      <w:spacing w:line="360" w:lineRule="auto"/>
      <w:ind w:firstLine="200" w:firstLineChars="200"/>
    </w:pPr>
  </w:style>
  <w:style w:type="paragraph" w:customStyle="1" w:styleId="2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9">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0">
    <w:name w:val="谢—正文"/>
    <w:basedOn w:val="1"/>
    <w:qFormat/>
    <w:uiPriority w:val="0"/>
    <w:pPr>
      <w:spacing w:line="500" w:lineRule="exact"/>
      <w:ind w:firstLine="200" w:firstLineChars="200"/>
    </w:pPr>
    <w:rPr>
      <w:rFonts w:eastAsia="楷体_GB2312"/>
      <w:sz w:val="28"/>
    </w:rPr>
  </w:style>
  <w:style w:type="paragraph" w:customStyle="1" w:styleId="31">
    <w:name w:val="p0"/>
    <w:basedOn w:val="1"/>
    <w:qFormat/>
    <w:uiPriority w:val="0"/>
    <w:pPr>
      <w:spacing w:line="365" w:lineRule="atLeast"/>
      <w:ind w:left="1"/>
      <w:textAlignment w:val="bottom"/>
    </w:pPr>
    <w:rPr>
      <w:sz w:val="20"/>
      <w:szCs w:val="20"/>
    </w:rPr>
  </w:style>
  <w:style w:type="paragraph" w:customStyle="1" w:styleId="32">
    <w:name w:val="表格1"/>
    <w:basedOn w:val="13"/>
    <w:next w:val="1"/>
    <w:qFormat/>
    <w:uiPriority w:val="0"/>
  </w:style>
  <w:style w:type="paragraph" w:customStyle="1" w:styleId="33">
    <w:name w:val="0正文"/>
    <w:basedOn w:val="1"/>
    <w:semiHidden/>
    <w:qFormat/>
    <w:uiPriority w:val="99"/>
    <w:pPr>
      <w:spacing w:line="360" w:lineRule="auto"/>
      <w:ind w:firstLine="720" w:firstLineChars="200"/>
    </w:pPr>
    <w:rPr>
      <w:sz w:val="24"/>
      <w:szCs w:val="24"/>
    </w:rPr>
  </w:style>
  <w:style w:type="paragraph" w:customStyle="1" w:styleId="34">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35">
    <w:name w:val="样式4"/>
    <w:basedOn w:val="3"/>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36">
    <w:name w:val="样式1"/>
    <w:basedOn w:val="1"/>
    <w:qFormat/>
    <w:uiPriority w:val="0"/>
    <w:pPr>
      <w:jc w:val="center"/>
    </w:pPr>
    <w:rPr>
      <w:sz w:val="21"/>
      <w:szCs w:val="21"/>
    </w:rPr>
  </w:style>
  <w:style w:type="paragraph" w:customStyle="1" w:styleId="37">
    <w:name w:val="图图正文"/>
    <w:basedOn w:val="1"/>
    <w:qFormat/>
    <w:uiPriority w:val="0"/>
    <w:pPr>
      <w:widowControl w:val="0"/>
      <w:spacing w:line="360" w:lineRule="auto"/>
      <w:ind w:firstLine="200" w:firstLineChars="200"/>
      <w:jc w:val="both"/>
    </w:pPr>
    <w:rPr>
      <w:kern w:val="2"/>
      <w:sz w:val="24"/>
      <w:szCs w:val="24"/>
    </w:rPr>
  </w:style>
  <w:style w:type="paragraph" w:customStyle="1" w:styleId="38">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39">
    <w:name w:val="样式 首行缩进:  2 字符1"/>
    <w:basedOn w:val="1"/>
    <w:qFormat/>
    <w:uiPriority w:val="0"/>
    <w:pPr>
      <w:spacing w:line="360" w:lineRule="auto"/>
      <w:ind w:firstLine="480" w:firstLineChars="200"/>
    </w:pPr>
    <w:rPr>
      <w:rFonts w:cs="宋体"/>
      <w:szCs w:val="20"/>
    </w:rPr>
  </w:style>
  <w:style w:type="paragraph" w:customStyle="1" w:styleId="40">
    <w:name w:val="宗兴正文"/>
    <w:basedOn w:val="1"/>
    <w:qFormat/>
    <w:uiPriority w:val="0"/>
    <w:pPr>
      <w:ind w:firstLine="200"/>
      <w:jc w:val="both"/>
    </w:pPr>
    <w:rPr>
      <w:rFonts w:ascii="宋体" w:hAnsi="宋体"/>
      <w:spacing w:val="2"/>
      <w:sz w:val="21"/>
    </w:rPr>
  </w:style>
  <w:style w:type="paragraph" w:customStyle="1" w:styleId="41">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标题3"/>
    <w:basedOn w:val="7"/>
    <w:next w:val="6"/>
    <w:qFormat/>
    <w:uiPriority w:val="0"/>
    <w:pPr>
      <w:ind w:left="0" w:leftChars="0"/>
      <w:jc w:val="both"/>
    </w:pPr>
    <w:rPr>
      <w:rFonts w:ascii="宋体" w:hAnsi="宋体"/>
      <w:b/>
      <w:bCs/>
      <w:szCs w:val="24"/>
    </w:rPr>
  </w:style>
  <w:style w:type="paragraph" w:customStyle="1" w:styleId="44">
    <w:name w:val="标题2"/>
    <w:basedOn w:val="7"/>
    <w:qFormat/>
    <w:uiPriority w:val="0"/>
    <w:pPr>
      <w:spacing w:beforeLines="50" w:afterLines="50"/>
      <w:ind w:left="0" w:leftChars="0"/>
      <w:jc w:val="both"/>
    </w:pPr>
    <w:rPr>
      <w:rFonts w:ascii="宋体" w:hAnsi="宋体"/>
      <w:b/>
      <w:sz w:val="28"/>
      <w:szCs w:val="28"/>
    </w:rPr>
  </w:style>
  <w:style w:type="paragraph" w:customStyle="1" w:styleId="45">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46">
    <w:name w:val="正文表格"/>
    <w:basedOn w:val="1"/>
    <w:qFormat/>
    <w:uiPriority w:val="0"/>
    <w:pPr>
      <w:jc w:val="center"/>
    </w:pPr>
    <w:rPr>
      <w:rFonts w:eastAsia="楷体_GB2312"/>
      <w:bCs/>
      <w:sz w:val="24"/>
      <w:szCs w:val="20"/>
    </w:rPr>
  </w:style>
  <w:style w:type="paragraph" w:customStyle="1" w:styleId="47">
    <w:name w:val="Table Paragraph"/>
    <w:basedOn w:val="1"/>
    <w:qFormat/>
    <w:uiPriority w:val="0"/>
    <w:rPr>
      <w:rFonts w:ascii="Calibri" w:hAnsi="Calibri"/>
      <w:lang w:eastAsia="en-US"/>
    </w:rPr>
  </w:style>
  <w:style w:type="paragraph" w:customStyle="1" w:styleId="48">
    <w:name w:val="样式2"/>
    <w:basedOn w:val="1"/>
    <w:qFormat/>
    <w:uiPriority w:val="0"/>
    <w:pPr>
      <w:ind w:firstLine="964" w:firstLineChars="400"/>
    </w:pPr>
    <w:rPr>
      <w:rFonts w:ascii="黑体" w:eastAsia="黑体"/>
      <w:b/>
      <w:bCs/>
      <w:sz w:val="24"/>
    </w:rPr>
  </w:style>
  <w:style w:type="paragraph" w:customStyle="1" w:styleId="49">
    <w:name w:val="表"/>
    <w:basedOn w:val="18"/>
    <w:qFormat/>
    <w:uiPriority w:val="0"/>
    <w:pPr>
      <w:keepNext/>
      <w:keepLines/>
      <w:spacing w:line="240" w:lineRule="exact"/>
      <w:ind w:left="0" w:firstLine="0" w:firstLineChars="0"/>
      <w:jc w:val="center"/>
    </w:pPr>
  </w:style>
  <w:style w:type="character" w:customStyle="1" w:styleId="50">
    <w:name w:val="font31"/>
    <w:qFormat/>
    <w:uiPriority w:val="0"/>
    <w:rPr>
      <w:rFonts w:hint="eastAsia" w:ascii="宋体" w:hAnsi="宋体" w:eastAsia="宋体" w:cs="宋体"/>
      <w:color w:val="000000"/>
      <w:sz w:val="22"/>
      <w:szCs w:val="22"/>
      <w:u w:val="none"/>
    </w:rPr>
  </w:style>
  <w:style w:type="paragraph" w:customStyle="1" w:styleId="51">
    <w:name w:val="123正文"/>
    <w:basedOn w:val="1"/>
    <w:link w:val="52"/>
    <w:qFormat/>
    <w:uiPriority w:val="0"/>
    <w:pPr>
      <w:spacing w:line="360" w:lineRule="auto"/>
      <w:ind w:firstLine="480" w:firstLineChars="200"/>
    </w:pPr>
    <w:rPr>
      <w:color w:val="0000FF"/>
      <w:sz w:val="24"/>
      <w:lang w:val="zh-CN"/>
    </w:rPr>
  </w:style>
  <w:style w:type="character" w:customStyle="1" w:styleId="52">
    <w:name w:val="123正文 Char"/>
    <w:link w:val="51"/>
    <w:qFormat/>
    <w:uiPriority w:val="0"/>
    <w:rPr>
      <w:color w:val="0000FF"/>
      <w:sz w:val="24"/>
      <w:lang w:val="zh-CN"/>
    </w:rPr>
  </w:style>
  <w:style w:type="paragraph" w:customStyle="1" w:styleId="53">
    <w:name w:val="1.1."/>
    <w:basedOn w:val="5"/>
    <w:qFormat/>
    <w:uiPriority w:val="0"/>
    <w:pPr>
      <w:spacing w:beforeLines="50" w:afterLines="50" w:line="360" w:lineRule="auto"/>
    </w:pPr>
    <w:rPr>
      <w:color w:val="0000FF"/>
      <w:sz w:val="28"/>
      <w:szCs w:val="28"/>
    </w:rPr>
  </w:style>
  <w:style w:type="paragraph" w:customStyle="1" w:styleId="54">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56">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一级aaa"/>
    <w:basedOn w:val="4"/>
    <w:qFormat/>
    <w:uiPriority w:val="0"/>
    <w:pPr>
      <w:keepNext w:val="0"/>
      <w:keepLines w:val="0"/>
      <w:widowControl w:val="0"/>
      <w:spacing w:beforeLines="100" w:afterLines="100" w:line="360" w:lineRule="auto"/>
    </w:pPr>
    <w:rPr>
      <w:kern w:val="0"/>
      <w:sz w:val="32"/>
      <w:szCs w:val="20"/>
    </w:rPr>
  </w:style>
  <w:style w:type="character" w:customStyle="1" w:styleId="58">
    <w:name w:val="批注框文本 Char"/>
    <w:basedOn w:val="23"/>
    <w:link w:val="14"/>
    <w:qFormat/>
    <w:uiPriority w:val="0"/>
    <w:rPr>
      <w:rFonts w:ascii="Tahoma" w:hAnsi="Tahoma" w:eastAsia="微软雅黑" w:cstheme="minorBidi"/>
      <w:sz w:val="18"/>
      <w:szCs w:val="18"/>
    </w:rPr>
  </w:style>
  <w:style w:type="character" w:customStyle="1" w:styleId="59">
    <w:name w:val="页脚 Char"/>
    <w:basedOn w:val="23"/>
    <w:link w:val="15"/>
    <w:qFormat/>
    <w:uiPriority w:val="99"/>
    <w:rPr>
      <w:rFonts w:ascii="Tahoma" w:hAnsi="Tahoma" w:eastAsia="微软雅黑" w:cstheme="minorBidi"/>
      <w:sz w:val="18"/>
      <w:szCs w:val="18"/>
    </w:rPr>
  </w:style>
  <w:style w:type="character" w:customStyle="1" w:styleId="60">
    <w:name w:val="文档结构图 Char"/>
    <w:basedOn w:val="23"/>
    <w:link w:val="9"/>
    <w:qFormat/>
    <w:uiPriority w:val="0"/>
    <w:rPr>
      <w:rFonts w:ascii="宋体" w:hAnsi="Tahoma"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2808</Words>
  <Characters>16012</Characters>
  <Lines>133</Lines>
  <Paragraphs>37</Paragraphs>
  <TotalTime>1</TotalTime>
  <ScaleCrop>false</ScaleCrop>
  <LinksUpToDate>false</LinksUpToDate>
  <CharactersWithSpaces>18783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阿三</cp:lastModifiedBy>
  <cp:lastPrinted>2020-03-20T01:19:00Z</cp:lastPrinted>
  <dcterms:modified xsi:type="dcterms:W3CDTF">2020-08-17T01:15:30Z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