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宋体" w:cs="Times New Roman"/>
          <w:b/>
          <w:color w:val="auto"/>
          <w:sz w:val="48"/>
          <w:szCs w:val="48"/>
          <w:lang w:val="en-US" w:eastAsia="zh-CN"/>
        </w:rPr>
      </w:pPr>
    </w:p>
    <w:p>
      <w:pPr>
        <w:spacing w:line="360" w:lineRule="auto"/>
        <w:jc w:val="center"/>
        <w:rPr>
          <w:rFonts w:hint="default" w:ascii="Times New Roman" w:hAnsi="Times New Roman" w:eastAsia="宋体" w:cs="Times New Roman"/>
          <w:b/>
          <w:color w:val="auto"/>
          <w:sz w:val="48"/>
          <w:szCs w:val="48"/>
        </w:rPr>
      </w:pPr>
      <w:r>
        <w:rPr>
          <w:rFonts w:hint="default" w:ascii="Times New Roman" w:hAnsi="Times New Roman" w:eastAsia="宋体" w:cs="Times New Roman"/>
          <w:b/>
          <w:color w:val="auto"/>
          <w:sz w:val="48"/>
          <w:szCs w:val="48"/>
          <w:lang w:val="en-US" w:eastAsia="zh-CN"/>
        </w:rPr>
        <w:t>“万宏国际”建设</w:t>
      </w:r>
      <w:r>
        <w:rPr>
          <w:rFonts w:hint="default" w:ascii="Times New Roman" w:hAnsi="Times New Roman" w:eastAsia="宋体" w:cs="Times New Roman"/>
          <w:b/>
          <w:color w:val="auto"/>
          <w:sz w:val="48"/>
          <w:szCs w:val="48"/>
          <w:lang w:val="zh-CN" w:eastAsia="zh-CN"/>
        </w:rPr>
        <w:t>项</w:t>
      </w:r>
      <w:r>
        <w:rPr>
          <w:rFonts w:hint="default" w:ascii="Times New Roman" w:hAnsi="Times New Roman" w:eastAsia="宋体" w:cs="Times New Roman"/>
          <w:b/>
          <w:color w:val="auto"/>
          <w:sz w:val="48"/>
          <w:szCs w:val="48"/>
        </w:rPr>
        <w:t>目</w:t>
      </w:r>
    </w:p>
    <w:p>
      <w:pPr>
        <w:spacing w:line="360" w:lineRule="auto"/>
        <w:jc w:val="center"/>
        <w:rPr>
          <w:rFonts w:hint="default" w:ascii="Times New Roman" w:hAnsi="Times New Roman" w:eastAsia="宋体" w:cs="Times New Roman"/>
          <w:color w:val="auto"/>
          <w:sz w:val="48"/>
          <w:szCs w:val="48"/>
        </w:rPr>
      </w:pPr>
      <w:r>
        <w:rPr>
          <w:rFonts w:hint="default" w:ascii="Times New Roman" w:hAnsi="Times New Roman" w:eastAsia="宋体" w:cs="Times New Roman"/>
          <w:b/>
          <w:color w:val="auto"/>
          <w:sz w:val="48"/>
          <w:szCs w:val="48"/>
        </w:rPr>
        <w:t>竣工环境保护验收监测报告表</w:t>
      </w:r>
    </w:p>
    <w:p>
      <w:pPr>
        <w:spacing w:line="360" w:lineRule="auto"/>
        <w:jc w:val="center"/>
        <w:rPr>
          <w:rFonts w:hint="default" w:ascii="Times New Roman" w:hAnsi="Times New Roman" w:eastAsia="宋体" w:cs="Times New Roman"/>
          <w:color w:val="auto"/>
          <w:sz w:val="28"/>
        </w:rPr>
      </w:pPr>
    </w:p>
    <w:p>
      <w:pPr>
        <w:jc w:val="center"/>
        <w:rPr>
          <w:rFonts w:hint="default" w:ascii="Times New Roman" w:hAnsi="Times New Roman" w:eastAsia="宋体" w:cs="Times New Roman"/>
          <w:color w:val="auto"/>
          <w:sz w:val="28"/>
        </w:rPr>
      </w:pPr>
    </w:p>
    <w:p>
      <w:pPr>
        <w:jc w:val="center"/>
        <w:rPr>
          <w:rFonts w:hint="default" w:ascii="Times New Roman" w:hAnsi="Times New Roman" w:eastAsia="宋体" w:cs="Times New Roman"/>
          <w:color w:val="auto"/>
          <w:sz w:val="28"/>
        </w:rPr>
      </w:pPr>
    </w:p>
    <w:p>
      <w:pPr>
        <w:jc w:val="center"/>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rPr>
      </w:pPr>
    </w:p>
    <w:p>
      <w:pPr>
        <w:pStyle w:val="18"/>
        <w:rPr>
          <w:rFonts w:hint="default" w:ascii="Times New Roman" w:hAnsi="Times New Roman" w:eastAsia="宋体" w:cs="Times New Roman"/>
          <w:color w:val="auto"/>
        </w:rPr>
      </w:pPr>
    </w:p>
    <w:p>
      <w:pPr>
        <w:pStyle w:val="26"/>
        <w:rPr>
          <w:rFonts w:hint="default" w:ascii="Times New Roman" w:hAnsi="Times New Roman" w:eastAsia="宋体" w:cs="Times New Roman"/>
          <w:color w:val="auto"/>
          <w:sz w:val="28"/>
        </w:rPr>
      </w:pPr>
    </w:p>
    <w:p>
      <w:pPr>
        <w:pStyle w:val="26"/>
        <w:rPr>
          <w:rFonts w:hint="default" w:ascii="Times New Roman" w:hAnsi="Times New Roman" w:eastAsia="宋体" w:cs="Times New Roman"/>
          <w:color w:val="auto"/>
          <w:sz w:val="28"/>
        </w:rPr>
      </w:pPr>
    </w:p>
    <w:p>
      <w:pPr>
        <w:rPr>
          <w:rFonts w:hint="default" w:ascii="Times New Roman" w:hAnsi="Times New Roman" w:eastAsia="宋体" w:cs="Times New Roman"/>
          <w:color w:val="auto"/>
          <w:sz w:val="28"/>
        </w:rPr>
      </w:pPr>
    </w:p>
    <w:p>
      <w:pPr>
        <w:pStyle w:val="26"/>
        <w:rPr>
          <w:rFonts w:hint="default" w:ascii="Times New Roman" w:hAnsi="Times New Roman" w:eastAsia="宋体" w:cs="Times New Roman"/>
          <w:color w:val="auto"/>
        </w:rPr>
      </w:pPr>
    </w:p>
    <w:p>
      <w:pPr>
        <w:ind w:firstLine="720" w:firstLineChars="200"/>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rPr>
        <w:t>建设单</w:t>
      </w:r>
      <w:r>
        <w:rPr>
          <w:rFonts w:hint="default" w:ascii="Times New Roman" w:hAnsi="Times New Roman" w:eastAsia="宋体" w:cs="Times New Roman"/>
          <w:color w:val="auto"/>
          <w:sz w:val="36"/>
          <w:szCs w:val="36"/>
          <w:lang w:val="en-US" w:eastAsia="zh-CN"/>
        </w:rPr>
        <w:t>位</w:t>
      </w:r>
      <w:r>
        <w:rPr>
          <w:rFonts w:hint="default" w:ascii="Times New Roman" w:hAnsi="Times New Roman" w:eastAsia="宋体" w:cs="Times New Roman"/>
          <w:color w:val="auto"/>
          <w:sz w:val="36"/>
          <w:szCs w:val="36"/>
          <w:u w:val="single"/>
          <w:lang w:val="en-US" w:eastAsia="zh-CN"/>
        </w:rPr>
        <w:t>：  福建万宏置业</w:t>
      </w:r>
      <w:r>
        <w:rPr>
          <w:rFonts w:hint="default" w:ascii="Times New Roman" w:hAnsi="Times New Roman" w:eastAsia="宋体" w:cs="Times New Roman"/>
          <w:color w:val="auto"/>
          <w:sz w:val="36"/>
          <w:szCs w:val="36"/>
          <w:u w:val="single"/>
          <w:lang w:val="zh-CN" w:eastAsia="zh-CN"/>
        </w:rPr>
        <w:t>有限公</w:t>
      </w:r>
      <w:r>
        <w:rPr>
          <w:rFonts w:hint="default" w:ascii="Times New Roman" w:hAnsi="Times New Roman" w:eastAsia="宋体" w:cs="Times New Roman"/>
          <w:color w:val="auto"/>
          <w:sz w:val="36"/>
          <w:szCs w:val="36"/>
          <w:u w:val="single"/>
          <w:lang w:val="en-US" w:eastAsia="zh-CN"/>
        </w:rPr>
        <w:t xml:space="preserve">司      </w:t>
      </w:r>
      <w:bookmarkStart w:id="7" w:name="_GoBack"/>
      <w:bookmarkEnd w:id="7"/>
    </w:p>
    <w:p>
      <w:pPr>
        <w:ind w:firstLine="720" w:firstLineChars="200"/>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lang w:val="en-US" w:eastAsia="zh-CN"/>
        </w:rPr>
        <w:t>编制单位</w:t>
      </w:r>
      <w:r>
        <w:rPr>
          <w:rFonts w:hint="default" w:ascii="Times New Roman" w:hAnsi="Times New Roman" w:eastAsia="宋体" w:cs="Times New Roman"/>
          <w:color w:val="auto"/>
          <w:sz w:val="36"/>
          <w:szCs w:val="36"/>
          <w:u w:val="single"/>
          <w:lang w:val="en-US" w:eastAsia="zh-CN"/>
        </w:rPr>
        <w:t>：  福建万宏置业</w:t>
      </w:r>
      <w:r>
        <w:rPr>
          <w:rFonts w:hint="default" w:ascii="Times New Roman" w:hAnsi="Times New Roman" w:eastAsia="宋体" w:cs="Times New Roman"/>
          <w:color w:val="auto"/>
          <w:sz w:val="36"/>
          <w:szCs w:val="36"/>
          <w:u w:val="single"/>
          <w:lang w:val="zh-CN" w:eastAsia="zh-CN"/>
        </w:rPr>
        <w:t>有限公</w:t>
      </w:r>
      <w:r>
        <w:rPr>
          <w:rFonts w:hint="default" w:ascii="Times New Roman" w:hAnsi="Times New Roman" w:eastAsia="宋体" w:cs="Times New Roman"/>
          <w:color w:val="auto"/>
          <w:sz w:val="36"/>
          <w:szCs w:val="36"/>
          <w:u w:val="single"/>
          <w:lang w:val="en-US" w:eastAsia="zh-CN"/>
        </w:rPr>
        <w:t xml:space="preserve">司      </w:t>
      </w:r>
    </w:p>
    <w:p>
      <w:pPr>
        <w:rPr>
          <w:rFonts w:hint="default" w:ascii="Times New Roman" w:hAnsi="Times New Roman" w:eastAsia="宋体" w:cs="Times New Roman"/>
          <w:color w:val="auto"/>
          <w:sz w:val="28"/>
        </w:rPr>
      </w:pPr>
    </w:p>
    <w:p>
      <w:pPr>
        <w:rPr>
          <w:rFonts w:hint="default" w:ascii="Times New Roman" w:hAnsi="Times New Roman" w:eastAsia="宋体" w:cs="Times New Roman"/>
          <w:color w:val="auto"/>
          <w:sz w:val="28"/>
        </w:rPr>
      </w:pPr>
    </w:p>
    <w:p>
      <w:pPr>
        <w:pStyle w:val="26"/>
        <w:rPr>
          <w:rFonts w:hint="default" w:ascii="Times New Roman" w:hAnsi="Times New Roman" w:eastAsia="宋体" w:cs="Times New Roman"/>
          <w:color w:val="auto"/>
          <w:sz w:val="28"/>
        </w:rPr>
      </w:pPr>
    </w:p>
    <w:p>
      <w:pPr>
        <w:pStyle w:val="26"/>
        <w:rPr>
          <w:rFonts w:hint="default" w:ascii="Times New Roman" w:hAnsi="Times New Roman" w:eastAsia="宋体" w:cs="Times New Roman"/>
          <w:color w:val="auto"/>
          <w:sz w:val="28"/>
        </w:rPr>
      </w:pPr>
    </w:p>
    <w:p>
      <w:pPr>
        <w:pStyle w:val="26"/>
        <w:rPr>
          <w:rFonts w:hint="default" w:ascii="Times New Roman" w:hAnsi="Times New Roman" w:eastAsia="宋体" w:cs="Times New Roman"/>
          <w:color w:val="auto"/>
          <w:sz w:val="28"/>
        </w:rPr>
      </w:pPr>
    </w:p>
    <w:p>
      <w:pPr>
        <w:pStyle w:val="26"/>
        <w:rPr>
          <w:rFonts w:hint="default" w:ascii="Times New Roman" w:hAnsi="Times New Roman" w:eastAsia="宋体" w:cs="Times New Roman"/>
          <w:color w:val="auto"/>
          <w:sz w:val="28"/>
        </w:rPr>
      </w:pPr>
    </w:p>
    <w:p>
      <w:pPr>
        <w:pStyle w:val="26"/>
        <w:rPr>
          <w:rFonts w:hint="default" w:ascii="Times New Roman" w:hAnsi="Times New Roman" w:eastAsia="宋体" w:cs="Times New Roman"/>
          <w:color w:val="auto"/>
          <w:sz w:val="28"/>
        </w:rPr>
      </w:pPr>
    </w:p>
    <w:p>
      <w:pPr>
        <w:pStyle w:val="26"/>
        <w:rPr>
          <w:rFonts w:hint="default" w:ascii="Times New Roman" w:hAnsi="Times New Roman" w:eastAsia="宋体" w:cs="Times New Roman"/>
          <w:color w:val="auto"/>
          <w:sz w:val="28"/>
        </w:rPr>
      </w:pPr>
    </w:p>
    <w:p>
      <w:pPr>
        <w:rPr>
          <w:rFonts w:hint="default" w:ascii="Times New Roman" w:hAnsi="Times New Roman" w:eastAsia="宋体" w:cs="Times New Roman"/>
          <w:color w:val="auto"/>
          <w:sz w:val="28"/>
          <w:szCs w:val="28"/>
        </w:rPr>
      </w:pPr>
    </w:p>
    <w:p>
      <w:pPr>
        <w:jc w:val="center"/>
        <w:rPr>
          <w:rFonts w:hint="default" w:ascii="Times New Roman" w:hAnsi="Times New Roman" w:eastAsia="宋体" w:cs="Times New Roman"/>
          <w:color w:val="auto"/>
          <w:sz w:val="32"/>
          <w:szCs w:val="32"/>
        </w:rPr>
      </w:pPr>
      <w:r>
        <w:rPr>
          <w:rFonts w:hint="default" w:ascii="Times New Roman" w:hAnsi="Times New Roman" w:eastAsia="宋体" w:cs="Times New Roman"/>
          <w:b/>
          <w:color w:val="auto"/>
          <w:sz w:val="32"/>
          <w:szCs w:val="32"/>
          <w:lang w:val="en-US" w:eastAsia="zh-CN"/>
        </w:rPr>
        <w:t>2020</w:t>
      </w:r>
      <w:r>
        <w:rPr>
          <w:rFonts w:hint="default" w:ascii="Times New Roman" w:hAnsi="Times New Roman" w:eastAsia="宋体" w:cs="Times New Roman"/>
          <w:color w:val="auto"/>
          <w:sz w:val="32"/>
          <w:szCs w:val="32"/>
        </w:rPr>
        <w:t>年</w:t>
      </w:r>
      <w:r>
        <w:rPr>
          <w:rFonts w:hint="default" w:ascii="Times New Roman" w:hAnsi="Times New Roman" w:eastAsia="宋体" w:cs="Times New Roman"/>
          <w:color w:val="auto"/>
          <w:sz w:val="32"/>
          <w:szCs w:val="32"/>
          <w:lang w:val="en-US" w:eastAsia="zh-CN"/>
        </w:rPr>
        <w:t>0</w:t>
      </w:r>
      <w:r>
        <w:rPr>
          <w:rFonts w:hint="default" w:ascii="Times New Roman" w:hAnsi="Times New Roman" w:eastAsia="宋体" w:cs="Times New Roman"/>
          <w:b/>
          <w:color w:val="auto"/>
          <w:sz w:val="32"/>
          <w:szCs w:val="32"/>
          <w:lang w:val="en-US" w:eastAsia="zh-CN"/>
        </w:rPr>
        <w:t>1</w:t>
      </w:r>
      <w:r>
        <w:rPr>
          <w:rFonts w:hint="default" w:ascii="Times New Roman" w:hAnsi="Times New Roman" w:eastAsia="宋体" w:cs="Times New Roman"/>
          <w:color w:val="auto"/>
          <w:sz w:val="32"/>
          <w:szCs w:val="32"/>
        </w:rPr>
        <w:t>月</w:t>
      </w:r>
    </w:p>
    <w:p>
      <w:pPr>
        <w:spacing w:line="360" w:lineRule="auto"/>
        <w:rPr>
          <w:rFonts w:hint="default" w:ascii="Times New Roman" w:hAnsi="Times New Roman" w:eastAsia="宋体" w:cs="Times New Roman"/>
          <w:b w:val="0"/>
          <w:bCs/>
          <w:color w:val="auto"/>
          <w:sz w:val="28"/>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p>
    <w:p>
      <w:pPr>
        <w:spacing w:line="360" w:lineRule="auto"/>
        <w:rPr>
          <w:rFonts w:hint="default" w:ascii="Times New Roman" w:hAnsi="Times New Roman" w:eastAsia="宋体" w:cs="Times New Roman"/>
          <w:b w:val="0"/>
          <w:bCs/>
          <w:color w:val="auto"/>
          <w:sz w:val="28"/>
        </w:rPr>
      </w:pPr>
      <w:r>
        <w:rPr>
          <w:rFonts w:hint="default" w:ascii="Times New Roman" w:hAnsi="Times New Roman" w:eastAsia="宋体" w:cs="Times New Roman"/>
          <w:b w:val="0"/>
          <w:bCs/>
          <w:color w:val="auto"/>
          <w:sz w:val="28"/>
        </w:rPr>
        <w:t>建设单位法人代表:</w:t>
      </w:r>
      <w:r>
        <w:rPr>
          <w:rFonts w:hint="default" w:ascii="Times New Roman" w:hAnsi="Times New Roman" w:eastAsia="宋体" w:cs="Times New Roman"/>
          <w:b w:val="0"/>
          <w:bCs/>
          <w:color w:val="auto"/>
          <w:sz w:val="28"/>
          <w:lang w:val="en-US" w:eastAsia="zh-CN"/>
        </w:rPr>
        <w:t xml:space="preserve">  王富强</w:t>
      </w:r>
      <w:r>
        <w:rPr>
          <w:rFonts w:hint="default" w:ascii="Times New Roman" w:hAnsi="Times New Roman" w:eastAsia="宋体" w:cs="Times New Roman"/>
          <w:b w:val="0"/>
          <w:bCs/>
          <w:color w:val="auto"/>
          <w:sz w:val="28"/>
        </w:rPr>
        <w:t xml:space="preserve">       </w:t>
      </w:r>
    </w:p>
    <w:p>
      <w:pPr>
        <w:spacing w:line="360" w:lineRule="auto"/>
        <w:rPr>
          <w:rFonts w:hint="default" w:ascii="Times New Roman" w:hAnsi="Times New Roman" w:eastAsia="宋体" w:cs="Times New Roman"/>
          <w:b w:val="0"/>
          <w:bCs/>
          <w:color w:val="auto"/>
          <w:sz w:val="28"/>
        </w:rPr>
      </w:pPr>
      <w:r>
        <w:rPr>
          <w:rFonts w:hint="default" w:ascii="Times New Roman" w:hAnsi="Times New Roman" w:eastAsia="宋体" w:cs="Times New Roman"/>
          <w:b w:val="0"/>
          <w:bCs/>
          <w:color w:val="auto"/>
          <w:sz w:val="28"/>
        </w:rPr>
        <w:t>编制单位法人代表:</w:t>
      </w:r>
      <w:r>
        <w:rPr>
          <w:rFonts w:hint="default" w:ascii="Times New Roman" w:hAnsi="Times New Roman" w:eastAsia="宋体" w:cs="Times New Roman"/>
          <w:b w:val="0"/>
          <w:bCs/>
          <w:color w:val="auto"/>
          <w:sz w:val="28"/>
          <w:lang w:val="en-US" w:eastAsia="zh-CN"/>
        </w:rPr>
        <w:t xml:space="preserve">  王富强</w:t>
      </w:r>
      <w:r>
        <w:rPr>
          <w:rFonts w:hint="default" w:ascii="Times New Roman" w:hAnsi="Times New Roman" w:eastAsia="宋体" w:cs="Times New Roman"/>
          <w:b w:val="0"/>
          <w:bCs/>
          <w:color w:val="auto"/>
          <w:sz w:val="28"/>
        </w:rPr>
        <w:t xml:space="preserve">         </w:t>
      </w:r>
    </w:p>
    <w:p>
      <w:pPr>
        <w:spacing w:line="360" w:lineRule="auto"/>
        <w:rPr>
          <w:rFonts w:hint="default" w:ascii="Times New Roman" w:hAnsi="Times New Roman" w:eastAsia="宋体" w:cs="Times New Roman"/>
          <w:b w:val="0"/>
          <w:bCs/>
          <w:color w:val="auto"/>
          <w:sz w:val="28"/>
          <w:lang w:val="en-US" w:eastAsia="zh-CN"/>
        </w:rPr>
      </w:pPr>
      <w:r>
        <w:rPr>
          <w:rFonts w:hint="default" w:ascii="Times New Roman" w:hAnsi="Times New Roman" w:eastAsia="宋体" w:cs="Times New Roman"/>
          <w:b w:val="0"/>
          <w:bCs/>
          <w:color w:val="auto"/>
          <w:sz w:val="28"/>
        </w:rPr>
        <w:t>项目负责人:</w:t>
      </w:r>
      <w:r>
        <w:rPr>
          <w:rFonts w:hint="default" w:ascii="Times New Roman" w:hAnsi="Times New Roman" w:eastAsia="宋体" w:cs="Times New Roman"/>
          <w:b w:val="0"/>
          <w:bCs/>
          <w:color w:val="auto"/>
          <w:sz w:val="28"/>
          <w:lang w:val="en-US" w:eastAsia="zh-CN"/>
        </w:rPr>
        <w:t xml:space="preserve"> 丁新东</w:t>
      </w:r>
    </w:p>
    <w:p>
      <w:pPr>
        <w:spacing w:line="360" w:lineRule="auto"/>
        <w:rPr>
          <w:rFonts w:hint="default" w:ascii="Times New Roman" w:hAnsi="Times New Roman" w:eastAsia="宋体" w:cs="Times New Roman"/>
          <w:b w:val="0"/>
          <w:bCs/>
          <w:color w:val="auto"/>
          <w:sz w:val="28"/>
          <w:lang w:val="en-US" w:eastAsia="zh-CN"/>
        </w:rPr>
      </w:pPr>
      <w:r>
        <w:rPr>
          <w:rFonts w:hint="default" w:ascii="Times New Roman" w:hAnsi="Times New Roman" w:eastAsia="宋体" w:cs="Times New Roman"/>
          <w:b w:val="0"/>
          <w:bCs/>
          <w:color w:val="auto"/>
          <w:sz w:val="28"/>
        </w:rPr>
        <w:t>填表人：</w:t>
      </w:r>
      <w:r>
        <w:rPr>
          <w:rFonts w:hint="default" w:ascii="Times New Roman" w:hAnsi="Times New Roman" w:eastAsia="宋体" w:cs="Times New Roman"/>
          <w:b w:val="0"/>
          <w:bCs/>
          <w:color w:val="auto"/>
          <w:sz w:val="28"/>
          <w:lang w:val="en-US" w:eastAsia="zh-CN"/>
        </w:rPr>
        <w:t>丁新东</w:t>
      </w:r>
    </w:p>
    <w:p>
      <w:pPr>
        <w:spacing w:line="360" w:lineRule="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ab/>
      </w:r>
    </w:p>
    <w:p>
      <w:pPr>
        <w:pStyle w:val="2"/>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sz w:val="28"/>
        </w:rPr>
      </w:pPr>
    </w:p>
    <w:p>
      <w:pPr>
        <w:spacing w:line="360" w:lineRule="auto"/>
        <w:rPr>
          <w:rFonts w:hint="default" w:ascii="Times New Roman" w:hAnsi="Times New Roman" w:eastAsia="宋体" w:cs="Times New Roman"/>
          <w:color w:val="auto"/>
          <w:sz w:val="28"/>
        </w:rPr>
      </w:pPr>
    </w:p>
    <w:tbl>
      <w:tblPr>
        <w:tblStyle w:val="20"/>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8"/>
              </w:rPr>
              <w:t>建设单位</w:t>
            </w:r>
          </w:p>
        </w:tc>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8"/>
              </w:rPr>
              <w:t>编制单位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4"/>
                <w:szCs w:val="24"/>
                <w:vertAlign w:val="baseline"/>
                <w:lang w:val="en-US"/>
              </w:rPr>
            </w:pPr>
            <w:r>
              <w:rPr>
                <w:rFonts w:hint="default" w:ascii="Times New Roman" w:hAnsi="Times New Roman" w:eastAsia="宋体" w:cs="Times New Roman"/>
                <w:color w:val="auto"/>
                <w:sz w:val="28"/>
              </w:rPr>
              <w:t>电话:</w:t>
            </w:r>
            <w:r>
              <w:rPr>
                <w:rFonts w:hint="default" w:ascii="Times New Roman" w:hAnsi="Times New Roman" w:eastAsia="宋体" w:cs="Times New Roman"/>
                <w:color w:val="auto"/>
                <w:sz w:val="28"/>
                <w:lang w:val="en-US" w:eastAsia="zh-CN"/>
              </w:rPr>
              <w:t>18659630800</w:t>
            </w:r>
          </w:p>
        </w:tc>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8"/>
              </w:rPr>
              <w:t>电话:</w:t>
            </w:r>
            <w:r>
              <w:rPr>
                <w:rFonts w:hint="default" w:ascii="Times New Roman" w:hAnsi="Times New Roman" w:eastAsia="宋体" w:cs="Times New Roman"/>
                <w:color w:val="auto"/>
                <w:sz w:val="28"/>
                <w:lang w:val="en-US" w:eastAsia="zh-CN"/>
              </w:rPr>
              <w:t>18659630800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8"/>
              </w:rPr>
              <w:t xml:space="preserve">传真:  </w:t>
            </w:r>
            <w:r>
              <w:rPr>
                <w:rFonts w:hint="default" w:ascii="Times New Roman" w:hAnsi="Times New Roman" w:eastAsia="宋体" w:cs="Times New Roman"/>
                <w:color w:val="auto"/>
                <w:sz w:val="28"/>
                <w:lang w:val="en-US" w:eastAsia="zh-CN"/>
              </w:rPr>
              <w:t xml:space="preserve">  </w:t>
            </w:r>
            <w:r>
              <w:rPr>
                <w:rFonts w:hint="default" w:ascii="Times New Roman" w:hAnsi="Times New Roman" w:eastAsia="宋体" w:cs="Times New Roman"/>
                <w:color w:val="auto"/>
                <w:sz w:val="28"/>
              </w:rPr>
              <w:t xml:space="preserve"> </w:t>
            </w:r>
            <w:r>
              <w:rPr>
                <w:rFonts w:hint="default" w:ascii="Times New Roman" w:hAnsi="Times New Roman" w:eastAsia="宋体" w:cs="Times New Roman"/>
                <w:color w:val="auto"/>
                <w:sz w:val="28"/>
                <w:lang w:val="en-US" w:eastAsia="zh-CN"/>
              </w:rPr>
              <w:t>/</w:t>
            </w:r>
          </w:p>
        </w:tc>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8"/>
              </w:rPr>
              <w:t xml:space="preserve">传真:  </w:t>
            </w:r>
            <w:r>
              <w:rPr>
                <w:rFonts w:hint="default" w:ascii="Times New Roman" w:hAnsi="Times New Roman" w:eastAsia="宋体" w:cs="Times New Roman"/>
                <w:color w:val="auto"/>
                <w:sz w:val="28"/>
                <w:lang w:val="en-US" w:eastAsia="zh-CN"/>
              </w:rPr>
              <w:t xml:space="preserve">  </w:t>
            </w:r>
            <w:r>
              <w:rPr>
                <w:rFonts w:hint="default" w:ascii="Times New Roman" w:hAnsi="Times New Roman" w:eastAsia="宋体" w:cs="Times New Roman"/>
                <w:color w:val="auto"/>
                <w:sz w:val="28"/>
              </w:rPr>
              <w:t xml:space="preserve"> </w:t>
            </w:r>
            <w:r>
              <w:rPr>
                <w:rFonts w:hint="default" w:ascii="Times New Roman" w:hAnsi="Times New Roman" w:eastAsia="宋体" w:cs="Times New Roman"/>
                <w:color w:val="auto"/>
                <w:sz w:val="28"/>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4"/>
                <w:szCs w:val="24"/>
                <w:vertAlign w:val="baseline"/>
                <w:lang w:val="en-US"/>
              </w:rPr>
            </w:pPr>
            <w:r>
              <w:rPr>
                <w:rFonts w:hint="default" w:ascii="Times New Roman" w:hAnsi="Times New Roman" w:eastAsia="宋体" w:cs="Times New Roman"/>
                <w:color w:val="auto"/>
                <w:sz w:val="28"/>
              </w:rPr>
              <w:t>邮编:</w:t>
            </w:r>
            <w:r>
              <w:rPr>
                <w:rFonts w:hint="default" w:ascii="Times New Roman" w:hAnsi="Times New Roman" w:eastAsia="宋体" w:cs="Times New Roman"/>
                <w:color w:val="auto"/>
                <w:sz w:val="28"/>
                <w:lang w:val="en-US" w:eastAsia="zh-CN"/>
              </w:rPr>
              <w:t>363399</w:t>
            </w:r>
          </w:p>
        </w:tc>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8"/>
              </w:rPr>
              <w:t>邮编:</w:t>
            </w:r>
            <w:r>
              <w:rPr>
                <w:rFonts w:hint="default" w:ascii="Times New Roman" w:hAnsi="Times New Roman" w:eastAsia="宋体" w:cs="Times New Roman"/>
                <w:color w:val="auto"/>
                <w:sz w:val="28"/>
                <w:lang w:val="en-US" w:eastAsia="zh-CN"/>
              </w:rPr>
              <w:t>363399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8"/>
                <w:lang w:eastAsia="zh-CN"/>
              </w:rPr>
            </w:pPr>
            <w:r>
              <w:rPr>
                <w:rFonts w:hint="default" w:ascii="Times New Roman" w:hAnsi="Times New Roman" w:eastAsia="宋体" w:cs="Times New Roman"/>
                <w:color w:val="auto"/>
                <w:sz w:val="28"/>
              </w:rPr>
              <w:t>地址:</w:t>
            </w:r>
            <w:r>
              <w:rPr>
                <w:rFonts w:hint="default" w:ascii="Times New Roman" w:hAnsi="Times New Roman" w:eastAsia="宋体" w:cs="Times New Roman"/>
                <w:color w:val="auto"/>
                <w:sz w:val="28"/>
                <w:lang w:eastAsia="zh-CN"/>
              </w:rPr>
              <w:t xml:space="preserve"> </w:t>
            </w:r>
          </w:p>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4"/>
                <w:szCs w:val="24"/>
                <w:vertAlign w:val="baseline"/>
                <w:lang w:val="en-US"/>
              </w:rPr>
            </w:pPr>
            <w:r>
              <w:rPr>
                <w:rFonts w:hint="default" w:ascii="Times New Roman" w:hAnsi="Times New Roman" w:eastAsia="宋体" w:cs="Times New Roman"/>
                <w:color w:val="auto"/>
                <w:sz w:val="28"/>
                <w:lang w:val="en-US" w:eastAsia="zh-CN"/>
              </w:rPr>
              <w:t>云霄县金霞路东北侧自来水厂南侧</w:t>
            </w:r>
          </w:p>
        </w:tc>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8"/>
                <w:lang w:eastAsia="zh-CN"/>
              </w:rPr>
            </w:pPr>
            <w:r>
              <w:rPr>
                <w:rFonts w:hint="default" w:ascii="Times New Roman" w:hAnsi="Times New Roman" w:eastAsia="宋体" w:cs="Times New Roman"/>
                <w:color w:val="auto"/>
                <w:sz w:val="28"/>
              </w:rPr>
              <w:t>地址:</w:t>
            </w:r>
            <w:r>
              <w:rPr>
                <w:rFonts w:hint="default" w:ascii="Times New Roman" w:hAnsi="Times New Roman" w:eastAsia="宋体" w:cs="Times New Roman"/>
                <w:color w:val="auto"/>
                <w:sz w:val="28"/>
                <w:lang w:eastAsia="zh-CN"/>
              </w:rPr>
              <w:t xml:space="preserve"> </w:t>
            </w:r>
          </w:p>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8"/>
                <w:lang w:val="en-US" w:eastAsia="zh-CN"/>
              </w:rPr>
              <w:t>云霄县金霞路东北侧自来水厂南侧</w:t>
            </w:r>
          </w:p>
        </w:tc>
      </w:tr>
    </w:tbl>
    <w:p>
      <w:pPr>
        <w:spacing w:after="0" w:afterLines="0"/>
        <w:jc w:val="center"/>
        <w:rPr>
          <w:rFonts w:hint="default" w:ascii="Times New Roman" w:hAnsi="Times New Roman" w:eastAsia="宋体" w:cs="Times New Roman"/>
          <w:color w:val="0000FF"/>
          <w:sz w:val="21"/>
          <w:szCs w:val="21"/>
        </w:r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p>
    <w:tbl>
      <w:tblPr>
        <w:tblStyle w:val="19"/>
        <w:tblpPr w:leftFromText="180" w:rightFromText="180" w:vertAnchor="page" w:horzAnchor="page" w:tblpX="1614" w:tblpY="1803"/>
        <w:tblOverlap w:val="never"/>
        <w:tblW w:w="892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2105"/>
        <w:gridCol w:w="1785"/>
        <w:gridCol w:w="984"/>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6674" w:type="dxa"/>
            <w:gridSpan w:val="5"/>
            <w:vAlign w:val="center"/>
          </w:tcPr>
          <w:p>
            <w:pPr>
              <w:spacing w:after="0" w:afterLine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“万宏国际”建设项目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建设单位名称</w:t>
            </w:r>
          </w:p>
        </w:tc>
        <w:tc>
          <w:tcPr>
            <w:tcW w:w="6674" w:type="dxa"/>
            <w:gridSpan w:val="5"/>
            <w:vAlign w:val="center"/>
          </w:tcPr>
          <w:p>
            <w:pPr>
              <w:spacing w:after="0" w:afterLine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福建万宏置业有限公司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建设项目性质</w:t>
            </w:r>
          </w:p>
        </w:tc>
        <w:tc>
          <w:tcPr>
            <w:tcW w:w="6674" w:type="dxa"/>
            <w:gridSpan w:val="5"/>
            <w:vAlign w:val="center"/>
          </w:tcPr>
          <w:p>
            <w:pPr>
              <w:spacing w:after="0" w:afterLine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6674" w:type="dxa"/>
            <w:gridSpan w:val="5"/>
            <w:vAlign w:val="center"/>
          </w:tcPr>
          <w:p>
            <w:pPr>
              <w:spacing w:after="0" w:afterLine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云霄县金霞路东北侧自来水厂南侧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主要产品名称</w:t>
            </w:r>
          </w:p>
        </w:tc>
        <w:tc>
          <w:tcPr>
            <w:tcW w:w="6674" w:type="dxa"/>
            <w:gridSpan w:val="5"/>
            <w:vAlign w:val="center"/>
          </w:tcPr>
          <w:p>
            <w:pPr>
              <w:spacing w:after="0" w:afterLine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房地产开发经营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建设规模</w:t>
            </w:r>
          </w:p>
        </w:tc>
        <w:tc>
          <w:tcPr>
            <w:tcW w:w="6674" w:type="dxa"/>
            <w:gridSpan w:val="5"/>
            <w:vAlign w:val="center"/>
          </w:tcPr>
          <w:p>
            <w:pPr>
              <w:pStyle w:val="4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总占地面积11031.67m</w:t>
            </w:r>
            <w:r>
              <w:rPr>
                <w:rFonts w:hint="default" w:ascii="Times New Roman" w:hAnsi="Times New Roman" w:eastAsia="宋体" w:cs="Times New Roman"/>
                <w:color w:val="auto"/>
                <w:sz w:val="21"/>
                <w:szCs w:val="21"/>
                <w:vertAlign w:val="superscript"/>
                <w:lang w:val="en-US" w:eastAsia="zh-CN" w:bidi="ar-SA"/>
              </w:rPr>
              <w:t>2</w:t>
            </w:r>
            <w:r>
              <w:rPr>
                <w:rFonts w:hint="default" w:ascii="Times New Roman" w:hAnsi="Times New Roman" w:eastAsia="宋体" w:cs="Times New Roman"/>
                <w:color w:val="auto"/>
                <w:sz w:val="21"/>
                <w:szCs w:val="21"/>
                <w:lang w:val="en-US" w:eastAsia="zh-CN" w:bidi="ar-SA"/>
              </w:rPr>
              <w:t>，建筑面积31090.38m</w:t>
            </w:r>
            <w:r>
              <w:rPr>
                <w:rFonts w:hint="default" w:ascii="Times New Roman" w:hAnsi="Times New Roman" w:eastAsia="宋体" w:cs="Times New Roman"/>
                <w:color w:val="auto"/>
                <w:sz w:val="21"/>
                <w:szCs w:val="21"/>
                <w:vertAlign w:val="superscript"/>
                <w:lang w:val="en-US" w:eastAsia="zh-CN" w:bidi="ar-S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总规模</w:t>
            </w:r>
          </w:p>
        </w:tc>
        <w:tc>
          <w:tcPr>
            <w:tcW w:w="6674" w:type="dxa"/>
            <w:gridSpan w:val="5"/>
            <w:vAlign w:val="center"/>
          </w:tcPr>
          <w:p>
            <w:pPr>
              <w:pStyle w:val="4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总占地面积11031.67m</w:t>
            </w:r>
            <w:r>
              <w:rPr>
                <w:rFonts w:hint="default" w:ascii="Times New Roman" w:hAnsi="Times New Roman" w:eastAsia="宋体" w:cs="Times New Roman"/>
                <w:color w:val="auto"/>
                <w:sz w:val="21"/>
                <w:szCs w:val="21"/>
                <w:vertAlign w:val="superscript"/>
                <w:lang w:val="en-US" w:eastAsia="zh-CN" w:bidi="ar-SA"/>
              </w:rPr>
              <w:t>2</w:t>
            </w:r>
            <w:r>
              <w:rPr>
                <w:rFonts w:hint="default" w:ascii="Times New Roman" w:hAnsi="Times New Roman" w:eastAsia="宋体" w:cs="Times New Roman"/>
                <w:color w:val="auto"/>
                <w:sz w:val="21"/>
                <w:szCs w:val="21"/>
                <w:lang w:val="en-US" w:eastAsia="zh-CN" w:bidi="ar-SA"/>
              </w:rPr>
              <w:t>，建筑面积31981.53m</w:t>
            </w:r>
            <w:r>
              <w:rPr>
                <w:rFonts w:hint="default" w:ascii="Times New Roman" w:hAnsi="Times New Roman" w:eastAsia="宋体" w:cs="Times New Roman"/>
                <w:color w:val="auto"/>
                <w:sz w:val="21"/>
                <w:szCs w:val="21"/>
                <w:vertAlign w:val="superscript"/>
                <w:lang w:val="en-US" w:eastAsia="zh-CN" w:bidi="ar-S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建设项目环评时间</w:t>
            </w:r>
          </w:p>
        </w:tc>
        <w:tc>
          <w:tcPr>
            <w:tcW w:w="2105" w:type="dxa"/>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2013年9月</w:t>
            </w:r>
          </w:p>
        </w:tc>
        <w:tc>
          <w:tcPr>
            <w:tcW w:w="1785"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开工建设时间</w:t>
            </w:r>
          </w:p>
        </w:tc>
        <w:tc>
          <w:tcPr>
            <w:tcW w:w="2784" w:type="dxa"/>
            <w:gridSpan w:val="3"/>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2014年3月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竣工</w:t>
            </w:r>
            <w:r>
              <w:rPr>
                <w:rFonts w:hint="default" w:ascii="Times New Roman" w:hAnsi="Times New Roman" w:eastAsia="宋体" w:cs="Times New Roman"/>
                <w:color w:val="auto"/>
                <w:sz w:val="21"/>
                <w:szCs w:val="21"/>
              </w:rPr>
              <w:t>时间</w:t>
            </w:r>
          </w:p>
        </w:tc>
        <w:tc>
          <w:tcPr>
            <w:tcW w:w="2105" w:type="dxa"/>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2017年3月</w:t>
            </w:r>
          </w:p>
        </w:tc>
        <w:tc>
          <w:tcPr>
            <w:tcW w:w="1785"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验收现场监测时间</w:t>
            </w:r>
          </w:p>
        </w:tc>
        <w:tc>
          <w:tcPr>
            <w:tcW w:w="2784" w:type="dxa"/>
            <w:gridSpan w:val="3"/>
            <w:vAlign w:val="center"/>
          </w:tcPr>
          <w:p>
            <w:pPr>
              <w:pStyle w:val="2"/>
              <w:keepNext w:val="0"/>
              <w:keepLines w:val="0"/>
              <w:pageBreakBefore w:val="0"/>
              <w:widowControl/>
              <w:kinsoku/>
              <w:wordWrap/>
              <w:overflowPunct/>
              <w:topLinePunct w:val="0"/>
              <w:autoSpaceDE/>
              <w:autoSpaceDN/>
              <w:bidi w:val="0"/>
              <w:adjustRightInd w:val="0"/>
              <w:snapToGrid w:val="0"/>
              <w:spacing w:after="0"/>
              <w:ind w:firstLine="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bidi="ar-SA"/>
              </w:rPr>
              <w:t>2020.1.8-2020.1.9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2250"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环评报告表</w:t>
            </w:r>
          </w:p>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审批部门</w:t>
            </w:r>
          </w:p>
        </w:tc>
        <w:tc>
          <w:tcPr>
            <w:tcW w:w="2105" w:type="dxa"/>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云霄县环境保护局</w:t>
            </w:r>
          </w:p>
        </w:tc>
        <w:tc>
          <w:tcPr>
            <w:tcW w:w="1785"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环评报告表</w:t>
            </w:r>
          </w:p>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编制单位</w:t>
            </w:r>
          </w:p>
        </w:tc>
        <w:tc>
          <w:tcPr>
            <w:tcW w:w="2784" w:type="dxa"/>
            <w:gridSpan w:val="3"/>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厦门新绿色环境发展有限公司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环保设施设计单位</w:t>
            </w:r>
          </w:p>
        </w:tc>
        <w:tc>
          <w:tcPr>
            <w:tcW w:w="2105" w:type="dxa"/>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自建</w:t>
            </w:r>
          </w:p>
        </w:tc>
        <w:tc>
          <w:tcPr>
            <w:tcW w:w="1785" w:type="dxa"/>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环保设施施工单位</w:t>
            </w:r>
          </w:p>
        </w:tc>
        <w:tc>
          <w:tcPr>
            <w:tcW w:w="2784" w:type="dxa"/>
            <w:gridSpan w:val="3"/>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自建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投资总概算</w:t>
            </w:r>
          </w:p>
        </w:tc>
        <w:tc>
          <w:tcPr>
            <w:tcW w:w="2105" w:type="dxa"/>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10000万元</w:t>
            </w:r>
          </w:p>
        </w:tc>
        <w:tc>
          <w:tcPr>
            <w:tcW w:w="1785"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环保投资总概算</w:t>
            </w:r>
          </w:p>
        </w:tc>
        <w:tc>
          <w:tcPr>
            <w:tcW w:w="984" w:type="dxa"/>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422.58万元</w:t>
            </w:r>
          </w:p>
        </w:tc>
        <w:tc>
          <w:tcPr>
            <w:tcW w:w="765"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比例</w:t>
            </w:r>
          </w:p>
        </w:tc>
        <w:tc>
          <w:tcPr>
            <w:tcW w:w="1035" w:type="dxa"/>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实际总概算</w:t>
            </w:r>
          </w:p>
        </w:tc>
        <w:tc>
          <w:tcPr>
            <w:tcW w:w="2105" w:type="dxa"/>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10000万元</w:t>
            </w:r>
          </w:p>
        </w:tc>
        <w:tc>
          <w:tcPr>
            <w:tcW w:w="1785"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w:t>
            </w:r>
          </w:p>
        </w:tc>
        <w:tc>
          <w:tcPr>
            <w:tcW w:w="984" w:type="dxa"/>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422.58万元</w:t>
            </w:r>
          </w:p>
        </w:tc>
        <w:tc>
          <w:tcPr>
            <w:tcW w:w="765"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比例</w:t>
            </w:r>
          </w:p>
        </w:tc>
        <w:tc>
          <w:tcPr>
            <w:tcW w:w="1035" w:type="dxa"/>
            <w:vAlign w:val="center"/>
          </w:tcPr>
          <w:p>
            <w:pPr>
              <w:spacing w:after="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30" w:hRule="atLeast"/>
        </w:trPr>
        <w:tc>
          <w:tcPr>
            <w:tcW w:w="2250"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验收监测依据</w:t>
            </w:r>
          </w:p>
        </w:tc>
        <w:tc>
          <w:tcPr>
            <w:tcW w:w="6674"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hanging="420" w:hanging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1、《建设项目竣工环境保护验收暂行办法》国环规环评【2017】4号；</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hanging="420" w:hanging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2、《建设项目环境保护管理条例》修订（第682号令）；</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hanging="420" w:hanging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3、《建设项目竣工环境保护验收技术指南污染影响类》；</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hanging="420" w:hanging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4、《中华人民共和国环境保护法》，2014 年4 月24 日修订；</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hanging="420" w:hanging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5、《中华人民共和国环境影响评价法》，2016 年修订；</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hanging="420" w:hanging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6、《中华人民共和国大气污染防治法》，2015 年修订；</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hanging="420" w:hanging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7、《中华人民共和国环境噪声污染防治法》，1996 年；</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hanging="420" w:hanging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8、《中华人民共和国固体废物污染环境防治法》，2004 年修订；</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hanging="420" w:hanging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9、《中华人民共和国清洁生产促进法》，2012 年；</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hanging="420" w:hanging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10、《产业结构调整指导目录（2011 年本）》（2013 年修正）；</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hanging="420" w:hanging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11、《福建省环境保护条例》，2012 年3 月31 日实施。</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hanging="420" w:hanging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bidi="ar-SA"/>
              </w:rPr>
              <w:t>“万宏国际”建设项目</w:t>
            </w:r>
            <w:r>
              <w:rPr>
                <w:rFonts w:hint="default" w:ascii="Times New Roman" w:hAnsi="Times New Roman" w:eastAsia="宋体" w:cs="Times New Roman"/>
                <w:color w:val="auto"/>
                <w:sz w:val="21"/>
                <w:szCs w:val="21"/>
                <w:lang w:val="en-US" w:eastAsia="zh-CN"/>
              </w:rPr>
              <w:t>环境影响报告表》；</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hanging="420" w:hanging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13、云霄县环境保护局《</w:t>
            </w:r>
            <w:r>
              <w:rPr>
                <w:rFonts w:hint="default" w:ascii="Times New Roman" w:hAnsi="Times New Roman" w:eastAsia="宋体" w:cs="Times New Roman"/>
                <w:color w:val="auto"/>
                <w:sz w:val="21"/>
                <w:szCs w:val="21"/>
                <w:lang w:val="en-US" w:eastAsia="zh-CN" w:bidi="ar-SA"/>
              </w:rPr>
              <w:t>“万宏国际”建设项目</w:t>
            </w:r>
            <w:r>
              <w:rPr>
                <w:rFonts w:hint="default" w:ascii="Times New Roman" w:hAnsi="Times New Roman" w:eastAsia="宋体" w:cs="Times New Roman"/>
                <w:color w:val="auto"/>
                <w:sz w:val="21"/>
                <w:szCs w:val="21"/>
                <w:lang w:val="en-US" w:eastAsia="zh-CN"/>
              </w:rPr>
              <w:t>环境影响评价报告表》的批复；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34" w:hRule="atLeast"/>
        </w:trPr>
        <w:tc>
          <w:tcPr>
            <w:tcW w:w="2250"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验收监测评价标准、标号、级别、限值</w:t>
            </w:r>
          </w:p>
        </w:tc>
        <w:tc>
          <w:tcPr>
            <w:tcW w:w="6674" w:type="dxa"/>
            <w:gridSpan w:val="5"/>
            <w:vAlign w:val="center"/>
          </w:tcPr>
          <w:p>
            <w:pPr>
              <w:pStyle w:val="2"/>
              <w:keepNext w:val="0"/>
              <w:keepLines w:val="0"/>
              <w:pageBreakBefore w:val="0"/>
              <w:widowControl/>
              <w:numPr>
                <w:ilvl w:val="0"/>
                <w:numId w:val="1"/>
              </w:numPr>
              <w:kinsoku/>
              <w:wordWrap/>
              <w:overflowPunct/>
              <w:topLinePunct w:val="0"/>
              <w:autoSpaceDE/>
              <w:autoSpaceDN/>
              <w:bidi w:val="0"/>
              <w:adjustRightInd w:val="0"/>
              <w:snapToGrid w:val="0"/>
              <w:spacing w:after="60" w:line="240" w:lineRule="auto"/>
              <w:ind w:left="0" w:leftChars="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GB12348-2008《工业企业厂界环境噪声排放标准》的2、4类标准；</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60" w:line="240" w:lineRule="auto"/>
              <w:ind w:left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即：昼间≤60dB（A），夜间≤50dB（A）；昼间≤70dB（A），夜间≤60dB（A）</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60" w:line="240" w:lineRule="auto"/>
              <w:ind w:left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2、GB8978-1996《污水综合排放标准》表4三级标准；即：pH：6~9；COD≤500mg/m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；BOD5≤400mg/m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；SS≤400mg/m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；氨氮≤/；动植物油≤100mg/m</w:t>
            </w:r>
            <w:r>
              <w:rPr>
                <w:rFonts w:hint="default" w:ascii="Times New Roman" w:hAnsi="Times New Roman" w:eastAsia="宋体" w:cs="Times New Roman"/>
                <w:color w:val="auto"/>
                <w:sz w:val="21"/>
                <w:szCs w:val="21"/>
                <w:vertAlign w:val="superscript"/>
                <w:lang w:val="en-US" w:eastAsia="zh-CN"/>
              </w:rPr>
              <w:t>3</w:t>
            </w:r>
          </w:p>
        </w:tc>
      </w:tr>
    </w:tbl>
    <w:p>
      <w:pPr>
        <w:spacing w:after="0" w:afterLines="0" w:line="240" w:lineRule="auto"/>
        <w:outlineLvl w:val="0"/>
        <w:rPr>
          <w:rFonts w:hint="default" w:ascii="Times New Roman" w:hAnsi="Times New Roman" w:eastAsia="宋体" w:cs="Times New Roman"/>
          <w:color w:val="auto"/>
          <w:sz w:val="21"/>
          <w:szCs w:val="21"/>
        </w:rPr>
        <w:sectPr>
          <w:footerReference r:id="rId5"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r>
        <w:rPr>
          <w:rFonts w:hint="default" w:ascii="Times New Roman" w:hAnsi="Times New Roman" w:eastAsia="宋体" w:cs="Times New Roman"/>
          <w:b/>
          <w:color w:val="auto"/>
          <w:sz w:val="21"/>
          <w:szCs w:val="21"/>
        </w:rPr>
        <w:t>表一</w:t>
      </w:r>
    </w:p>
    <w:p>
      <w:pPr>
        <w:spacing w:after="0" w:afterLines="0" w:line="360" w:lineRule="auto"/>
        <w:outlineLvl w:val="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表二</w:t>
      </w:r>
    </w:p>
    <w:tbl>
      <w:tblPr>
        <w:tblStyle w:val="20"/>
        <w:tblW w:w="84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9" w:hRule="atLeast"/>
        </w:trPr>
        <w:tc>
          <w:tcPr>
            <w:tcW w:w="8424" w:type="dxa"/>
          </w:tcPr>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 xml:space="preserve">工程建设内容： </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360" w:lineRule="auto"/>
              <w:ind w:firstLine="482" w:firstLineChars="200"/>
              <w:jc w:val="both"/>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项目概况</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42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zh-CN" w:eastAsia="zh-CN"/>
              </w:rPr>
              <w:fldChar w:fldCharType="begin"/>
            </w:r>
            <w:r>
              <w:rPr>
                <w:rFonts w:hint="default" w:ascii="Times New Roman" w:hAnsi="Times New Roman" w:eastAsia="宋体" w:cs="Times New Roman"/>
                <w:color w:val="auto"/>
                <w:sz w:val="24"/>
                <w:szCs w:val="24"/>
                <w:vertAlign w:val="baseline"/>
                <w:lang w:val="zh-CN" w:eastAsia="zh-CN"/>
              </w:rPr>
              <w:instrText xml:space="preserve"> REF 建设单位 \h  \* MERGEFORMAT </w:instrText>
            </w:r>
            <w:r>
              <w:rPr>
                <w:rFonts w:hint="default" w:ascii="Times New Roman" w:hAnsi="Times New Roman" w:eastAsia="宋体" w:cs="Times New Roman"/>
                <w:color w:val="auto"/>
                <w:sz w:val="24"/>
                <w:szCs w:val="24"/>
                <w:vertAlign w:val="baseline"/>
                <w:lang w:val="zh-CN" w:eastAsia="zh-CN"/>
              </w:rPr>
              <w:fldChar w:fldCharType="separate"/>
            </w:r>
            <w:r>
              <w:rPr>
                <w:rFonts w:hint="default" w:ascii="Times New Roman" w:hAnsi="Times New Roman" w:eastAsia="宋体" w:cs="Times New Roman"/>
                <w:color w:val="auto"/>
                <w:sz w:val="24"/>
                <w:szCs w:val="24"/>
                <w:vertAlign w:val="baseline"/>
                <w:lang w:val="en-US" w:eastAsia="zh-CN"/>
              </w:rPr>
              <w:t>福建万宏置业有限公司</w:t>
            </w:r>
            <w:r>
              <w:rPr>
                <w:rFonts w:hint="default" w:ascii="Times New Roman" w:hAnsi="Times New Roman" w:eastAsia="宋体" w:cs="Times New Roman"/>
                <w:color w:val="auto"/>
                <w:sz w:val="24"/>
                <w:szCs w:val="24"/>
                <w:vertAlign w:val="baseline"/>
                <w:lang w:val="zh-CN" w:eastAsia="zh-CN"/>
              </w:rPr>
              <w:fldChar w:fldCharType="end"/>
            </w:r>
            <w:r>
              <w:rPr>
                <w:rFonts w:hint="default" w:ascii="Times New Roman" w:hAnsi="Times New Roman" w:eastAsia="宋体" w:cs="Times New Roman"/>
                <w:color w:val="auto"/>
                <w:sz w:val="24"/>
                <w:szCs w:val="24"/>
                <w:vertAlign w:val="baseline"/>
                <w:lang w:val="en-US" w:eastAsia="zh-CN"/>
              </w:rPr>
              <w:t>“万宏国际”建设项目选址于云霄县金霞路东北侧自来水厂南侧，</w:t>
            </w:r>
            <w:r>
              <w:rPr>
                <w:rFonts w:hint="default" w:ascii="Times New Roman" w:hAnsi="Times New Roman" w:eastAsia="宋体" w:cs="Times New Roman"/>
                <w:color w:val="auto"/>
                <w:sz w:val="24"/>
                <w:szCs w:val="24"/>
                <w:lang w:val="en-US" w:eastAsia="zh-CN" w:bidi="ar-SA"/>
              </w:rPr>
              <w:t>总占地面积11031.67m</w:t>
            </w:r>
            <w:r>
              <w:rPr>
                <w:rFonts w:hint="default" w:ascii="Times New Roman" w:hAnsi="Times New Roman" w:eastAsia="宋体" w:cs="Times New Roman"/>
                <w:color w:val="auto"/>
                <w:sz w:val="24"/>
                <w:szCs w:val="24"/>
                <w:vertAlign w:val="superscript"/>
                <w:lang w:val="en-US" w:eastAsia="zh-CN" w:bidi="ar-SA"/>
              </w:rPr>
              <w:t>2</w:t>
            </w:r>
            <w:r>
              <w:rPr>
                <w:rFonts w:hint="default" w:ascii="Times New Roman" w:hAnsi="Times New Roman" w:eastAsia="宋体" w:cs="Times New Roman"/>
                <w:color w:val="auto"/>
                <w:sz w:val="24"/>
                <w:szCs w:val="24"/>
                <w:lang w:val="en-US" w:eastAsia="zh-CN" w:bidi="ar-SA"/>
              </w:rPr>
              <w:t>，建筑面积31090.38m</w:t>
            </w:r>
            <w:r>
              <w:rPr>
                <w:rFonts w:hint="default" w:ascii="Times New Roman" w:hAnsi="Times New Roman" w:eastAsia="宋体" w:cs="Times New Roman"/>
                <w:color w:val="auto"/>
                <w:sz w:val="24"/>
                <w:szCs w:val="24"/>
                <w:vertAlign w:val="superscript"/>
                <w:lang w:val="en-US" w:eastAsia="zh-CN" w:bidi="ar-SA"/>
              </w:rPr>
              <w:t>2</w:t>
            </w:r>
            <w:r>
              <w:rPr>
                <w:rFonts w:hint="default" w:ascii="Times New Roman" w:hAnsi="Times New Roman" w:eastAsia="宋体" w:cs="Times New Roman"/>
                <w:color w:val="auto"/>
                <w:sz w:val="24"/>
                <w:szCs w:val="24"/>
                <w:vertAlign w:val="baseline"/>
                <w:lang w:val="en-US" w:eastAsia="zh-CN"/>
              </w:rPr>
              <w:t>。本项目环评设计总投资为10000</w:t>
            </w:r>
            <w:r>
              <w:rPr>
                <w:rFonts w:hint="default" w:ascii="Times New Roman" w:hAnsi="Times New Roman" w:eastAsia="宋体" w:cs="Times New Roman"/>
                <w:color w:val="auto"/>
                <w:sz w:val="24"/>
                <w:szCs w:val="24"/>
                <w:vertAlign w:val="baseline"/>
                <w:lang w:val="zh-CN" w:eastAsia="zh-CN"/>
              </w:rPr>
              <w:t>万元</w:t>
            </w:r>
            <w:r>
              <w:rPr>
                <w:rFonts w:hint="default" w:ascii="Times New Roman" w:hAnsi="Times New Roman" w:eastAsia="宋体" w:cs="Times New Roman"/>
                <w:color w:val="auto"/>
                <w:sz w:val="24"/>
                <w:szCs w:val="24"/>
                <w:vertAlign w:val="baseline"/>
                <w:lang w:val="en-US" w:eastAsia="zh-CN"/>
              </w:rPr>
              <w:t>，环保投资422.58万元。根据《中华人民共和国环境保护法》、《中华人民共和国环境影响评价法》、《建设项目环境保护管理条例》【（1998）国务院令第253号】等相关法律法规规定，项目应办理环境影响评价手续。故本公司于2013年9月委托厦门新绿色环境发展有限公司编制《“万宏国际”建设项目环境影响报告表》，并于2013年11月8日通过云霄县环境保护局审批，批复编号为：云环审【2013】71号。</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本项目东南侧为居民住宅，东北侧为商住小区，西北侧为居民住宅，西南侧为居民住宅。项目实际投资10000万元，其中环保投资422.58万，项目</w:t>
            </w:r>
            <w:r>
              <w:rPr>
                <w:rFonts w:hint="default" w:ascii="Times New Roman" w:hAnsi="Times New Roman" w:eastAsia="宋体" w:cs="Times New Roman"/>
                <w:color w:val="auto"/>
                <w:sz w:val="24"/>
                <w:szCs w:val="24"/>
                <w:lang w:val="en-US" w:eastAsia="zh-CN" w:bidi="ar-SA"/>
              </w:rPr>
              <w:t>总占地面积11031.67m</w:t>
            </w:r>
            <w:r>
              <w:rPr>
                <w:rFonts w:hint="default" w:ascii="Times New Roman" w:hAnsi="Times New Roman" w:eastAsia="宋体" w:cs="Times New Roman"/>
                <w:color w:val="auto"/>
                <w:sz w:val="24"/>
                <w:szCs w:val="24"/>
                <w:vertAlign w:val="superscript"/>
                <w:lang w:val="en-US" w:eastAsia="zh-CN" w:bidi="ar-SA"/>
              </w:rPr>
              <w:t>2</w:t>
            </w:r>
            <w:r>
              <w:rPr>
                <w:rFonts w:hint="default" w:ascii="Times New Roman" w:hAnsi="Times New Roman" w:eastAsia="宋体" w:cs="Times New Roman"/>
                <w:color w:val="auto"/>
                <w:sz w:val="24"/>
                <w:szCs w:val="24"/>
                <w:lang w:val="en-US" w:eastAsia="zh-CN" w:bidi="ar-SA"/>
              </w:rPr>
              <w:t>，建筑面积31981.53m</w:t>
            </w:r>
            <w:r>
              <w:rPr>
                <w:rFonts w:hint="default" w:ascii="Times New Roman" w:hAnsi="Times New Roman" w:eastAsia="宋体" w:cs="Times New Roman"/>
                <w:color w:val="auto"/>
                <w:sz w:val="24"/>
                <w:szCs w:val="24"/>
                <w:vertAlign w:val="superscript"/>
                <w:lang w:val="en-US" w:eastAsia="zh-CN" w:bidi="ar-SA"/>
              </w:rPr>
              <w:t>2</w:t>
            </w:r>
            <w:r>
              <w:rPr>
                <w:rFonts w:hint="default" w:ascii="Times New Roman" w:hAnsi="Times New Roman" w:eastAsia="宋体" w:cs="Times New Roman"/>
                <w:color w:val="auto"/>
                <w:sz w:val="24"/>
                <w:szCs w:val="24"/>
                <w:vertAlign w:val="baseline"/>
                <w:lang w:val="en-US" w:eastAsia="zh-CN" w:bidi="ar-SA"/>
              </w:rPr>
              <w:t>，4栋商住楼，3栋店面，物业管理用房及地下室</w:t>
            </w:r>
            <w:r>
              <w:rPr>
                <w:rFonts w:hint="default" w:ascii="Times New Roman" w:hAnsi="Times New Roman" w:eastAsia="宋体" w:cs="Times New Roman"/>
                <w:color w:val="auto"/>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本工程勘查单位为张洲市翔云岩土工程有限公司，设计单位为北京华巨建筑设计有限公司，监理单位为福建景泰工程项目管理有限公司，施工单位为凯第建筑有限公司。本工程施工日期为2014.3.1，竣工日期为2017.3.31，并于2017.5.31通过工程验收。根据《建设项目环境保护管理条例》和《</w:t>
            </w:r>
            <w:r>
              <w:rPr>
                <w:rFonts w:hint="default" w:ascii="Times New Roman" w:hAnsi="Times New Roman" w:eastAsia="宋体" w:cs="Times New Roman"/>
                <w:i w:val="0"/>
                <w:caps w:val="0"/>
                <w:color w:val="000000" w:themeColor="text1"/>
                <w:spacing w:val="0"/>
                <w:sz w:val="24"/>
                <w:szCs w:val="24"/>
                <w:u w:val="none"/>
                <w:shd w:val="clear"/>
                <w14:textFill>
                  <w14:solidFill>
                    <w14:schemeClr w14:val="tx1"/>
                  </w14:solidFill>
                </w14:textFill>
              </w:rPr>
              <w:t>建设项目竣工环境保护验收技术指南污染影响类</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》等法律法规文件的要求，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公司</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依据国家有关法规文件、技术标准及经审批后的本项目环境影响报告表并结合现场实际情况制定了本项目的环境保护验收监测方案，并于2020年1月8日至2020年1月9日委托厦门科仪检测技术有限公司到本项目开展竣工环境保护验收监测，根据现场监测情况、样品监测分析结果及现场调查情况，编制本验收监测报告表。</w:t>
            </w: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具体建设内容见下表：</w:t>
            </w:r>
          </w:p>
          <w:p>
            <w:pPr>
              <w:keepNext w:val="0"/>
              <w:keepLines w:val="0"/>
              <w:pageBreakBefore w:val="0"/>
              <w:widowControl/>
              <w:numPr>
                <w:ilvl w:val="0"/>
                <w:numId w:val="2"/>
              </w:numPr>
              <w:kinsoku/>
              <w:wordWrap/>
              <w:overflowPunct/>
              <w:topLinePunct w:val="0"/>
              <w:autoSpaceDE/>
              <w:autoSpaceDN/>
              <w:bidi w:val="0"/>
              <w:adjustRightInd w:val="0"/>
              <w:snapToGrid w:val="0"/>
              <w:spacing w:after="0" w:afterLines="0"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项目建设内容</w:t>
            </w:r>
          </w:p>
          <w:tbl>
            <w:tblPr>
              <w:tblStyle w:val="20"/>
              <w:tblW w:w="811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671"/>
              <w:gridCol w:w="1230"/>
              <w:gridCol w:w="1140"/>
              <w:gridCol w:w="34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16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项目名称</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层数（层）</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高度（m）</w:t>
                  </w:r>
                </w:p>
              </w:tc>
              <w:tc>
                <w:tcPr>
                  <w:tcW w:w="34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16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1#楼</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18</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55.6</w:t>
                  </w:r>
                </w:p>
              </w:tc>
              <w:tc>
                <w:tcPr>
                  <w:tcW w:w="34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1层商业，2-18层住宅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16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2#楼</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17</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51.25</w:t>
                  </w:r>
                </w:p>
              </w:tc>
              <w:tc>
                <w:tcPr>
                  <w:tcW w:w="34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1层商业，2-17层住宅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w:t>
                  </w:r>
                </w:p>
              </w:tc>
              <w:tc>
                <w:tcPr>
                  <w:tcW w:w="16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3#楼</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30.25</w:t>
                  </w:r>
                </w:p>
              </w:tc>
              <w:tc>
                <w:tcPr>
                  <w:tcW w:w="34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1层商业，2-10层住宅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w:t>
                  </w:r>
                </w:p>
              </w:tc>
              <w:tc>
                <w:tcPr>
                  <w:tcW w:w="16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5#楼</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18</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53.3</w:t>
                  </w:r>
                </w:p>
              </w:tc>
              <w:tc>
                <w:tcPr>
                  <w:tcW w:w="34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1-2层商业，3-18层住宅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p>
              </w:tc>
              <w:tc>
                <w:tcPr>
                  <w:tcW w:w="16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店面1</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7.6</w:t>
                  </w:r>
                </w:p>
              </w:tc>
              <w:tc>
                <w:tcPr>
                  <w:tcW w:w="34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商业，地上2层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w:t>
                  </w:r>
                </w:p>
              </w:tc>
              <w:tc>
                <w:tcPr>
                  <w:tcW w:w="16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店面2</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7.6</w:t>
                  </w:r>
                </w:p>
              </w:tc>
              <w:tc>
                <w:tcPr>
                  <w:tcW w:w="34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商业，地上2层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w:t>
                  </w:r>
                </w:p>
              </w:tc>
              <w:tc>
                <w:tcPr>
                  <w:tcW w:w="16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店面3</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3.8</w:t>
                  </w:r>
                </w:p>
              </w:tc>
              <w:tc>
                <w:tcPr>
                  <w:tcW w:w="34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商业，地上1层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w:t>
                  </w:r>
                </w:p>
              </w:tc>
              <w:tc>
                <w:tcPr>
                  <w:tcW w:w="16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物业管理用房</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3.8</w:t>
                  </w:r>
                </w:p>
              </w:tc>
              <w:tc>
                <w:tcPr>
                  <w:tcW w:w="34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位于5#楼2层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w:t>
                  </w:r>
                </w:p>
              </w:tc>
              <w:tc>
                <w:tcPr>
                  <w:tcW w:w="16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地下室</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8.4</w:t>
                  </w:r>
                </w:p>
              </w:tc>
              <w:tc>
                <w:tcPr>
                  <w:tcW w:w="34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19个店面+131个停车位+设备用房</w:t>
                  </w:r>
                </w:p>
              </w:tc>
            </w:tr>
          </w:tbl>
          <w:p>
            <w:pPr>
              <w:pStyle w:val="26"/>
              <w:keepNext w:val="0"/>
              <w:keepLines w:val="0"/>
              <w:pageBreakBefore w:val="0"/>
              <w:widowControl w:val="0"/>
              <w:kinsoku/>
              <w:wordWrap/>
              <w:overflowPunct/>
              <w:topLinePunct w:val="0"/>
              <w:autoSpaceDE w:val="0"/>
              <w:autoSpaceDN w:val="0"/>
              <w:bidi w:val="0"/>
              <w:adjustRightInd w:val="0"/>
              <w:snapToGrid/>
              <w:spacing w:before="20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2-1 主要技术经济指标</w:t>
            </w:r>
          </w:p>
          <w:tbl>
            <w:tblPr>
              <w:tblStyle w:val="20"/>
              <w:tblW w:w="805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7"/>
              <w:gridCol w:w="514"/>
              <w:gridCol w:w="285"/>
              <w:gridCol w:w="2456"/>
              <w:gridCol w:w="724"/>
              <w:gridCol w:w="1815"/>
              <w:gridCol w:w="16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47" w:type="dxa"/>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3255" w:type="dxa"/>
                  <w:gridSpan w:val="3"/>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项目</w:t>
                  </w:r>
                </w:p>
              </w:tc>
              <w:tc>
                <w:tcPr>
                  <w:tcW w:w="724" w:type="dxa"/>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计量单位</w:t>
                  </w:r>
                </w:p>
              </w:tc>
              <w:tc>
                <w:tcPr>
                  <w:tcW w:w="1815" w:type="dxa"/>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环评设计数值</w:t>
                  </w:r>
                </w:p>
              </w:tc>
              <w:tc>
                <w:tcPr>
                  <w:tcW w:w="1609" w:type="dxa"/>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实际数值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3255"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总用地面积</w:t>
                  </w:r>
                </w:p>
              </w:tc>
              <w:tc>
                <w:tcPr>
                  <w:tcW w:w="72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0"/>
                      <w:sz w:val="21"/>
                      <w:szCs w:val="21"/>
                      <w:vertAlign w:val="superscript"/>
                      <w:lang w:val="en-US" w:eastAsia="zh-CN" w:bidi="ar-SA"/>
                      <w14:textFill>
                        <w14:solidFill>
                          <w14:schemeClr w14:val="tx1"/>
                        </w14:solidFill>
                      </w14:textFill>
                    </w:rPr>
                    <w:t>2</w:t>
                  </w:r>
                </w:p>
              </w:tc>
              <w:tc>
                <w:tcPr>
                  <w:tcW w:w="181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11031.67</w:t>
                  </w:r>
                </w:p>
              </w:tc>
              <w:tc>
                <w:tcPr>
                  <w:tcW w:w="16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11031.67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3255"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建筑占地面积</w:t>
                  </w:r>
                </w:p>
              </w:tc>
              <w:tc>
                <w:tcPr>
                  <w:tcW w:w="72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0"/>
                      <w:sz w:val="21"/>
                      <w:szCs w:val="21"/>
                      <w:vertAlign w:val="superscript"/>
                      <w:lang w:val="en-US" w:eastAsia="zh-CN" w:bidi="ar-SA"/>
                      <w14:textFill>
                        <w14:solidFill>
                          <w14:schemeClr w14:val="tx1"/>
                        </w14:solidFill>
                      </w14:textFill>
                    </w:rPr>
                    <w:t>2</w:t>
                  </w:r>
                </w:p>
              </w:tc>
              <w:tc>
                <w:tcPr>
                  <w:tcW w:w="181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8418.89</w:t>
                  </w:r>
                </w:p>
              </w:tc>
              <w:tc>
                <w:tcPr>
                  <w:tcW w:w="16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8418.89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3255"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代征用地面积</w:t>
                  </w:r>
                </w:p>
              </w:tc>
              <w:tc>
                <w:tcPr>
                  <w:tcW w:w="72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0"/>
                      <w:sz w:val="21"/>
                      <w:szCs w:val="21"/>
                      <w:vertAlign w:val="superscript"/>
                      <w:lang w:val="en-US" w:eastAsia="zh-CN" w:bidi="ar-SA"/>
                      <w14:textFill>
                        <w14:solidFill>
                          <w14:schemeClr w14:val="tx1"/>
                        </w14:solidFill>
                      </w14:textFill>
                    </w:rPr>
                    <w:t>2</w:t>
                  </w:r>
                </w:p>
              </w:tc>
              <w:tc>
                <w:tcPr>
                  <w:tcW w:w="181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2612.78</w:t>
                  </w:r>
                </w:p>
              </w:tc>
              <w:tc>
                <w:tcPr>
                  <w:tcW w:w="16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2612.78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3255" w:type="dxa"/>
                  <w:gridSpan w:val="3"/>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总建筑面积</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0"/>
                      <w:sz w:val="21"/>
                      <w:szCs w:val="21"/>
                      <w:vertAlign w:val="superscript"/>
                      <w:lang w:val="en-US" w:eastAsia="zh-CN" w:bidi="ar-SA"/>
                      <w14:textFill>
                        <w14:solidFill>
                          <w14:schemeClr w14:val="tx1"/>
                        </w14:solidFill>
                      </w14:textFill>
                    </w:rPr>
                    <w:t>2</w:t>
                  </w:r>
                </w:p>
              </w:tc>
              <w:tc>
                <w:tcPr>
                  <w:tcW w:w="18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31090.38</w:t>
                  </w:r>
                </w:p>
              </w:tc>
              <w:tc>
                <w:tcPr>
                  <w:tcW w:w="160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31981.53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restart"/>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3255" w:type="dxa"/>
                  <w:gridSpan w:val="3"/>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地上计容建筑面积</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0"/>
                      <w:sz w:val="21"/>
                      <w:szCs w:val="21"/>
                      <w:vertAlign w:val="superscript"/>
                      <w:lang w:val="en-US" w:eastAsia="zh-CN" w:bidi="ar-SA"/>
                      <w14:textFill>
                        <w14:solidFill>
                          <w14:schemeClr w14:val="tx1"/>
                        </w14:solidFill>
                      </w14:textFill>
                    </w:rPr>
                    <w:t>2</w:t>
                  </w:r>
                </w:p>
              </w:tc>
              <w:tc>
                <w:tcPr>
                  <w:tcW w:w="18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25256</w:t>
                  </w:r>
                </w:p>
              </w:tc>
              <w:tc>
                <w:tcPr>
                  <w:tcW w:w="160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26025.41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continue"/>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14"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其中</w:t>
                  </w:r>
                </w:p>
              </w:tc>
              <w:tc>
                <w:tcPr>
                  <w:tcW w:w="2741"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商业建筑面积</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0"/>
                      <w:sz w:val="21"/>
                      <w:szCs w:val="21"/>
                      <w:vertAlign w:val="superscript"/>
                      <w:lang w:val="en-US" w:eastAsia="zh-CN" w:bidi="ar-SA"/>
                      <w14:textFill>
                        <w14:solidFill>
                          <w14:schemeClr w14:val="tx1"/>
                        </w14:solidFill>
                      </w14:textFill>
                    </w:rPr>
                    <w:t>2</w:t>
                  </w:r>
                </w:p>
              </w:tc>
              <w:tc>
                <w:tcPr>
                  <w:tcW w:w="18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3788.50</w:t>
                  </w:r>
                </w:p>
              </w:tc>
              <w:tc>
                <w:tcPr>
                  <w:tcW w:w="160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3788.50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continue"/>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1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p>
              </w:tc>
              <w:tc>
                <w:tcPr>
                  <w:tcW w:w="2741"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住宅建筑面积</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0"/>
                      <w:sz w:val="21"/>
                      <w:szCs w:val="21"/>
                      <w:vertAlign w:val="superscript"/>
                      <w:lang w:val="en-US" w:eastAsia="zh-CN" w:bidi="ar-SA"/>
                      <w14:textFill>
                        <w14:solidFill>
                          <w14:schemeClr w14:val="tx1"/>
                        </w14:solidFill>
                      </w14:textFill>
                    </w:rPr>
                    <w:t>2</w:t>
                  </w:r>
                </w:p>
              </w:tc>
              <w:tc>
                <w:tcPr>
                  <w:tcW w:w="18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21251.79</w:t>
                  </w:r>
                </w:p>
              </w:tc>
              <w:tc>
                <w:tcPr>
                  <w:tcW w:w="160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26178.4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continue"/>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1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p>
              </w:tc>
              <w:tc>
                <w:tcPr>
                  <w:tcW w:w="2741"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交配电室</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0"/>
                      <w:sz w:val="21"/>
                      <w:szCs w:val="21"/>
                      <w:vertAlign w:val="superscript"/>
                      <w:lang w:val="en-US" w:eastAsia="zh-CN" w:bidi="ar-SA"/>
                      <w14:textFill>
                        <w14:solidFill>
                          <w14:schemeClr w14:val="tx1"/>
                        </w14:solidFill>
                      </w14:textFill>
                    </w:rPr>
                    <w:t>2</w:t>
                  </w:r>
                </w:p>
              </w:tc>
              <w:tc>
                <w:tcPr>
                  <w:tcW w:w="18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84.33</w:t>
                  </w:r>
                </w:p>
              </w:tc>
              <w:tc>
                <w:tcPr>
                  <w:tcW w:w="160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84.33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continue"/>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1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p>
              </w:tc>
              <w:tc>
                <w:tcPr>
                  <w:tcW w:w="2741"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物业管理房</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0"/>
                      <w:sz w:val="21"/>
                      <w:szCs w:val="21"/>
                      <w:vertAlign w:val="superscript"/>
                      <w:lang w:val="en-US" w:eastAsia="zh-CN" w:bidi="ar-SA"/>
                      <w14:textFill>
                        <w14:solidFill>
                          <w14:schemeClr w14:val="tx1"/>
                        </w14:solidFill>
                      </w14:textFill>
                    </w:rPr>
                    <w:t>2</w:t>
                  </w:r>
                </w:p>
              </w:tc>
              <w:tc>
                <w:tcPr>
                  <w:tcW w:w="18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131.38</w:t>
                  </w:r>
                </w:p>
              </w:tc>
              <w:tc>
                <w:tcPr>
                  <w:tcW w:w="160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131.38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0" w:type="auto"/>
                  <w:gridSpan w:val="3"/>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架空建筑面积</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0"/>
                      <w:sz w:val="21"/>
                      <w:szCs w:val="21"/>
                      <w:vertAlign w:val="superscript"/>
                      <w:lang w:val="en-US" w:eastAsia="zh-CN" w:bidi="ar-SA"/>
                      <w14:textFill>
                        <w14:solidFill>
                          <w14:schemeClr w14:val="tx1"/>
                        </w14:solidFill>
                      </w14:textFill>
                    </w:rPr>
                    <w:t>2</w:t>
                  </w:r>
                </w:p>
              </w:tc>
              <w:tc>
                <w:tcPr>
                  <w:tcW w:w="18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398.42（不计容）</w:t>
                  </w:r>
                </w:p>
              </w:tc>
              <w:tc>
                <w:tcPr>
                  <w:tcW w:w="160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234.39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0" w:type="auto"/>
                  <w:gridSpan w:val="3"/>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地下室建筑面积</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0"/>
                      <w:sz w:val="21"/>
                      <w:szCs w:val="21"/>
                      <w:vertAlign w:val="superscript"/>
                      <w:lang w:val="en-US" w:eastAsia="zh-CN" w:bidi="ar-SA"/>
                      <w14:textFill>
                        <w14:solidFill>
                          <w14:schemeClr w14:val="tx1"/>
                        </w14:solidFill>
                      </w14:textFill>
                    </w:rPr>
                    <w:t>2</w:t>
                  </w:r>
                </w:p>
              </w:tc>
              <w:tc>
                <w:tcPr>
                  <w:tcW w:w="18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5834.38</w:t>
                  </w:r>
                </w:p>
              </w:tc>
              <w:tc>
                <w:tcPr>
                  <w:tcW w:w="160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5803.13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0" w:type="auto"/>
                  <w:gridSpan w:val="3"/>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建筑密度</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w:t>
                  </w:r>
                </w:p>
              </w:tc>
              <w:tc>
                <w:tcPr>
                  <w:tcW w:w="18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33.53</w:t>
                  </w:r>
                </w:p>
              </w:tc>
              <w:tc>
                <w:tcPr>
                  <w:tcW w:w="160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33.53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3255" w:type="dxa"/>
                  <w:gridSpan w:val="3"/>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容积率</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w:t>
                  </w:r>
                </w:p>
              </w:tc>
              <w:tc>
                <w:tcPr>
                  <w:tcW w:w="18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2.99</w:t>
                  </w:r>
                </w:p>
              </w:tc>
              <w:tc>
                <w:tcPr>
                  <w:tcW w:w="160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2.99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3255" w:type="dxa"/>
                  <w:gridSpan w:val="3"/>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绿地率</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w:t>
                  </w:r>
                </w:p>
              </w:tc>
              <w:tc>
                <w:tcPr>
                  <w:tcW w:w="18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30.01</w:t>
                  </w:r>
                </w:p>
              </w:tc>
              <w:tc>
                <w:tcPr>
                  <w:tcW w:w="160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30.01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3255" w:type="dxa"/>
                  <w:gridSpan w:val="3"/>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户数</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户</w:t>
                  </w:r>
                </w:p>
              </w:tc>
              <w:tc>
                <w:tcPr>
                  <w:tcW w:w="18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198</w:t>
                  </w:r>
                </w:p>
              </w:tc>
              <w:tc>
                <w:tcPr>
                  <w:tcW w:w="160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198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restart"/>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0" w:type="auto"/>
                  <w:gridSpan w:val="3"/>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机动车停车位</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辆</w:t>
                  </w:r>
                </w:p>
              </w:tc>
              <w:tc>
                <w:tcPr>
                  <w:tcW w:w="18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208</w:t>
                  </w:r>
                </w:p>
              </w:tc>
              <w:tc>
                <w:tcPr>
                  <w:tcW w:w="160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208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continue"/>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99"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其中</w:t>
                  </w:r>
                </w:p>
              </w:tc>
              <w:tc>
                <w:tcPr>
                  <w:tcW w:w="24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（1）地上停车位</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辆</w:t>
                  </w:r>
                </w:p>
              </w:tc>
              <w:tc>
                <w:tcPr>
                  <w:tcW w:w="18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77</w:t>
                  </w:r>
                </w:p>
              </w:tc>
              <w:tc>
                <w:tcPr>
                  <w:tcW w:w="160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continue"/>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99"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p>
              </w:tc>
              <w:tc>
                <w:tcPr>
                  <w:tcW w:w="24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（2）地下停车位</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辆</w:t>
                  </w:r>
                </w:p>
              </w:tc>
              <w:tc>
                <w:tcPr>
                  <w:tcW w:w="18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131</w:t>
                  </w:r>
                </w:p>
              </w:tc>
              <w:tc>
                <w:tcPr>
                  <w:tcW w:w="160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131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0" w:type="auto"/>
                  <w:gridSpan w:val="3"/>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非机动车停车位</w:t>
                  </w:r>
                </w:p>
              </w:tc>
              <w:tc>
                <w:tcPr>
                  <w:tcW w:w="72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辆</w:t>
                  </w:r>
                </w:p>
              </w:tc>
              <w:tc>
                <w:tcPr>
                  <w:tcW w:w="18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535</w:t>
                  </w:r>
                </w:p>
              </w:tc>
              <w:tc>
                <w:tcPr>
                  <w:tcW w:w="160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535</w:t>
                  </w:r>
                </w:p>
              </w:tc>
            </w:tr>
          </w:tbl>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before="200" w:line="360" w:lineRule="auto"/>
              <w:ind w:leftChars="200"/>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3、验收范围</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zh-CN"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vertAlign w:val="baseline"/>
                <w:lang w:val="zh-CN" w:eastAsia="zh-CN"/>
                <w14:textFill>
                  <w14:solidFill>
                    <w14:schemeClr w14:val="tx1"/>
                  </w14:solidFill>
                </w14:textFill>
              </w:rPr>
              <w:instrText xml:space="preserve"> REF 建设单位 \h  \* MERGEFORMAT </w:instrText>
            </w:r>
            <w:r>
              <w:rPr>
                <w:rFonts w:hint="default" w:ascii="Times New Roman" w:hAnsi="Times New Roman" w:eastAsia="宋体" w:cs="Times New Roman"/>
                <w:color w:val="000000" w:themeColor="text1"/>
                <w:sz w:val="24"/>
                <w:szCs w:val="24"/>
                <w:vertAlign w:val="baseline"/>
                <w:lang w:val="zh-CN"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福建万宏置业有限公司</w:t>
            </w:r>
            <w:r>
              <w:rPr>
                <w:rFonts w:hint="default" w:ascii="Times New Roman" w:hAnsi="Times New Roman" w:eastAsia="宋体" w:cs="Times New Roman"/>
                <w:color w:val="000000" w:themeColor="text1"/>
                <w:sz w:val="24"/>
                <w:szCs w:val="24"/>
                <w:vertAlign w:val="baseline"/>
                <w:lang w:val="zh-CN"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“万宏国际”建设项目选址于云霄县金霞路东北侧自来水厂南侧，目前项目工程已全部竣工且大部分交房，本次验针对“万宏国际”建设项目进行验收。</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outlineLvl w:val="9"/>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outlineLvl w:val="9"/>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outlineLvl w:val="9"/>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4、工程变动情况</w:t>
            </w:r>
          </w:p>
          <w:p>
            <w:pPr>
              <w:pStyle w:val="2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表2-2 工程变动情况一览表</w:t>
            </w:r>
          </w:p>
          <w:tbl>
            <w:tblPr>
              <w:tblStyle w:val="20"/>
              <w:tblW w:w="820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988"/>
              <w:gridCol w:w="3135"/>
              <w:gridCol w:w="12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项目</w:t>
                  </w:r>
                </w:p>
              </w:tc>
              <w:tc>
                <w:tcPr>
                  <w:tcW w:w="2988"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环评阶段</w:t>
                  </w:r>
                </w:p>
              </w:tc>
              <w:tc>
                <w:tcPr>
                  <w:tcW w:w="3135"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实际建设</w:t>
                  </w:r>
                </w:p>
              </w:tc>
              <w:tc>
                <w:tcPr>
                  <w:tcW w:w="1292"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变更项目及原因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793"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性质</w:t>
                  </w:r>
                </w:p>
              </w:tc>
              <w:tc>
                <w:tcPr>
                  <w:tcW w:w="2988"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新建</w:t>
                  </w:r>
                </w:p>
              </w:tc>
              <w:tc>
                <w:tcPr>
                  <w:tcW w:w="3135"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新建</w:t>
                  </w:r>
                </w:p>
              </w:tc>
              <w:tc>
                <w:tcPr>
                  <w:tcW w:w="1292"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规模</w:t>
                  </w:r>
                </w:p>
              </w:tc>
              <w:tc>
                <w:tcPr>
                  <w:tcW w:w="29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总占地面积11031.67m</w:t>
                  </w:r>
                  <w:r>
                    <w:rPr>
                      <w:rFonts w:hint="default"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，建筑面积31090.38m</w:t>
                  </w:r>
                  <w:r>
                    <w:rPr>
                      <w:rFonts w:hint="default"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2</w:t>
                  </w:r>
                </w:p>
              </w:tc>
              <w:tc>
                <w:tcPr>
                  <w:tcW w:w="31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left="0" w:lef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总占地面积11031.67m</w:t>
                  </w:r>
                  <w:r>
                    <w:rPr>
                      <w:rFonts w:hint="default"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，建筑面积31981.53m</w:t>
                  </w:r>
                  <w:r>
                    <w:rPr>
                      <w:rFonts w:hint="default"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2</w:t>
                  </w:r>
                </w:p>
              </w:tc>
              <w:tc>
                <w:tcPr>
                  <w:tcW w:w="1292"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建筑面积增加，但不属于重大变更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地点</w:t>
                  </w:r>
                </w:p>
              </w:tc>
              <w:tc>
                <w:tcPr>
                  <w:tcW w:w="29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云霄县金霞路东北侧自来水厂南侧</w:t>
                  </w:r>
                </w:p>
              </w:tc>
              <w:tc>
                <w:tcPr>
                  <w:tcW w:w="31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云霄县金霞路东北侧自来水厂南侧</w:t>
                  </w:r>
                </w:p>
              </w:tc>
              <w:tc>
                <w:tcPr>
                  <w:tcW w:w="1292"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87" w:hRule="atLeast"/>
                <w:jc w:val="center"/>
              </w:trPr>
              <w:tc>
                <w:tcPr>
                  <w:tcW w:w="793"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环保措施</w:t>
                  </w:r>
                </w:p>
              </w:tc>
              <w:tc>
                <w:tcPr>
                  <w:tcW w:w="2988"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废水：</w:t>
                  </w:r>
                  <w:r>
                    <w:rPr>
                      <w:rFonts w:hint="default" w:ascii="Times New Roman" w:hAnsi="Times New Roman" w:eastAsia="宋体" w:cs="Times New Roman"/>
                      <w:b w:val="0"/>
                      <w:bCs w:val="0"/>
                      <w:color w:val="auto"/>
                      <w:kern w:val="0"/>
                      <w:sz w:val="21"/>
                      <w:szCs w:val="21"/>
                      <w:lang w:val="en-US" w:eastAsia="zh-CN" w:bidi="ar-SA"/>
                    </w:rPr>
                    <w:t>项目仅产生生活污水，生活污水经化粪池处理后通过市政污水管网纳入云霄县城区污水处理厂后排入漳江虎头潭至南北江水闸河段；</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废气：</w:t>
                  </w:r>
                  <w:r>
                    <w:rPr>
                      <w:rFonts w:hint="default" w:ascii="Times New Roman" w:hAnsi="Times New Roman" w:eastAsia="宋体" w:cs="Times New Roman"/>
                      <w:b w:val="0"/>
                      <w:bCs w:val="0"/>
                      <w:color w:val="auto"/>
                      <w:kern w:val="0"/>
                      <w:sz w:val="21"/>
                      <w:szCs w:val="21"/>
                      <w:lang w:val="en-US" w:eastAsia="zh-CN" w:bidi="ar-SA"/>
                    </w:rPr>
                    <w:t>厨房油烟经抽油烟机处理后，经竖向专用烟道引出各住宅楼屋顶集中排放；地下停车场装机械排风系统；加强小区外围的绿化；垃圾桶均加盖，且每天由环卫部门及时收集外运；</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噪声：</w:t>
                  </w:r>
                  <w:r>
                    <w:rPr>
                      <w:rFonts w:hint="default" w:ascii="Times New Roman" w:hAnsi="Times New Roman" w:eastAsia="宋体" w:cs="Times New Roman"/>
                      <w:b w:val="0"/>
                      <w:bCs w:val="0"/>
                      <w:color w:val="auto"/>
                      <w:kern w:val="0"/>
                      <w:sz w:val="21"/>
                      <w:szCs w:val="21"/>
                      <w:lang w:val="en-US" w:eastAsia="zh-CN" w:bidi="ar-SA"/>
                    </w:rPr>
                    <w:t>设备减振，设备房隔声，风机消声；对店面的经营活动加以限制，对经营行业进行规范：进出的小区车辆减速、禁鸣：合理安排房间的使用功能，项目临规划路一侧选用吸声、隔声的建筑材料或采用隔声窗；</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固废：</w:t>
                  </w:r>
                  <w:r>
                    <w:rPr>
                      <w:rFonts w:hint="default" w:ascii="Times New Roman" w:hAnsi="Times New Roman" w:eastAsia="宋体" w:cs="Times New Roman"/>
                      <w:b w:val="0"/>
                      <w:bCs w:val="0"/>
                      <w:color w:val="auto"/>
                      <w:kern w:val="0"/>
                      <w:sz w:val="21"/>
                      <w:szCs w:val="21"/>
                      <w:lang w:val="en-US" w:eastAsia="zh-CN" w:bidi="ar-SA"/>
                    </w:rPr>
                    <w:t>生活垃圾经集中收集后，由环卫部门于每日清晨统一运往垃圾填埋场进行无害化处理。对物业、商业垃圾进行分类收集，回收其中有价值的材料重新加工利用，其余部分应分类袋装，由环卫部门及时清运。</w:t>
                  </w:r>
                </w:p>
              </w:tc>
              <w:tc>
                <w:tcPr>
                  <w:tcW w:w="3135"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废水：</w:t>
                  </w:r>
                  <w:r>
                    <w:rPr>
                      <w:rFonts w:hint="default" w:ascii="Times New Roman" w:hAnsi="Times New Roman" w:eastAsia="宋体" w:cs="Times New Roman"/>
                      <w:b w:val="0"/>
                      <w:bCs w:val="0"/>
                      <w:color w:val="auto"/>
                      <w:kern w:val="0"/>
                      <w:sz w:val="21"/>
                      <w:szCs w:val="21"/>
                      <w:lang w:val="en-US" w:eastAsia="zh-CN" w:bidi="ar-SA"/>
                    </w:rPr>
                    <w:t>项目仅产生生活污水，生活污水经化粪池处理后通过市政污水管网纳入云霄县城区污水处理厂处理；</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废气：</w:t>
                  </w:r>
                  <w:r>
                    <w:rPr>
                      <w:rFonts w:hint="default" w:ascii="Times New Roman" w:hAnsi="Times New Roman" w:eastAsia="宋体" w:cs="Times New Roman"/>
                      <w:b w:val="0"/>
                      <w:bCs w:val="0"/>
                      <w:color w:val="auto"/>
                      <w:kern w:val="0"/>
                      <w:sz w:val="21"/>
                      <w:szCs w:val="21"/>
                      <w:lang w:val="en-US" w:eastAsia="zh-CN" w:bidi="ar-SA"/>
                    </w:rPr>
                    <w:t>厨房油烟经抽油烟机处理后，经竖向专用烟道引出各住宅楼屋顶集中排放；地下停车场装机械排风系统；加强小区外围的绿化；垃圾桶均加盖，且每天由环卫部门及时收集外运；</w:t>
                  </w:r>
                  <w:r>
                    <w:rPr>
                      <w:rFonts w:hint="default" w:ascii="Times New Roman" w:hAnsi="Times New Roman" w:eastAsia="宋体" w:cs="Times New Roman"/>
                      <w:color w:val="auto"/>
                      <w:sz w:val="21"/>
                      <w:szCs w:val="21"/>
                      <w:lang w:val="en-US" w:eastAsia="zh-CN"/>
                    </w:rPr>
                    <w:t>本项目商业店面未预留的油烟排气管道，且商业店面不引入饮食行业。</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噪声：</w:t>
                  </w:r>
                  <w:r>
                    <w:rPr>
                      <w:rFonts w:hint="default" w:ascii="Times New Roman" w:hAnsi="Times New Roman" w:eastAsia="宋体" w:cs="Times New Roman"/>
                      <w:b w:val="0"/>
                      <w:bCs w:val="0"/>
                      <w:color w:val="auto"/>
                      <w:kern w:val="0"/>
                      <w:sz w:val="21"/>
                      <w:szCs w:val="21"/>
                      <w:lang w:val="en-US" w:eastAsia="zh-CN" w:bidi="ar-SA"/>
                    </w:rPr>
                    <w:t>设备减振，设备房隔声，风机消声；对店面的经营活动加以限制，对经营行业进行规范：进出的小区车辆减速、禁鸣：合理安排房间的使用功能，项目临规划路一侧选用吸声、隔声的建筑材料或采用隔声窗；</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固废：</w:t>
                  </w:r>
                  <w:r>
                    <w:rPr>
                      <w:rFonts w:hint="default" w:ascii="Times New Roman" w:hAnsi="Times New Roman" w:eastAsia="宋体" w:cs="Times New Roman"/>
                      <w:b w:val="0"/>
                      <w:bCs w:val="0"/>
                      <w:color w:val="auto"/>
                      <w:kern w:val="0"/>
                      <w:sz w:val="21"/>
                      <w:szCs w:val="21"/>
                      <w:lang w:val="en-US" w:eastAsia="zh-CN" w:bidi="ar-SA"/>
                    </w:rPr>
                    <w:t>生活垃圾经集中收集后，由环卫部门于每日清晨统一运往垃圾填埋场进行无害化处理。对物业、商业垃圾进行分类收集，回收其中有价值的材料重新加工利用，其余部分应分类袋装，由环卫部门及时清运。</w:t>
                  </w:r>
                </w:p>
              </w:tc>
              <w:tc>
                <w:tcPr>
                  <w:tcW w:w="1292"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本项目商业店面未预留的油烟排气管道，且商业店面不引入饮食行业</w:t>
                  </w:r>
                </w:p>
              </w:tc>
            </w:tr>
          </w:tbl>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before="200" w:line="360" w:lineRule="auto"/>
              <w:ind w:firstLine="482" w:firstLineChars="200"/>
              <w:jc w:val="both"/>
              <w:textAlignment w:val="auto"/>
              <w:outlineLvl w:val="9"/>
              <w:rPr>
                <w:rFonts w:hint="default" w:ascii="Times New Roman" w:hAnsi="Times New Roman" w:eastAsia="宋体" w:cs="Times New Roman"/>
                <w:b/>
                <w:bCs/>
                <w:color w:val="auto"/>
                <w:sz w:val="24"/>
                <w:szCs w:val="24"/>
                <w:lang w:val="en-US" w:eastAsia="zh-CN"/>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before="200" w:line="360" w:lineRule="auto"/>
              <w:ind w:firstLine="482" w:firstLineChars="200"/>
              <w:jc w:val="both"/>
              <w:textAlignment w:val="auto"/>
              <w:outlineLvl w:val="9"/>
              <w:rPr>
                <w:rFonts w:hint="default" w:ascii="Times New Roman" w:hAnsi="Times New Roman" w:eastAsia="宋体" w:cs="Times New Roman"/>
                <w:b/>
                <w:bCs/>
                <w:color w:val="auto"/>
                <w:sz w:val="24"/>
                <w:szCs w:val="24"/>
                <w:lang w:val="en-US" w:eastAsia="zh-CN"/>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before="200" w:line="360" w:lineRule="auto"/>
              <w:ind w:firstLine="482" w:firstLineChars="200"/>
              <w:jc w:val="both"/>
              <w:textAlignment w:val="auto"/>
              <w:outlineLvl w:val="9"/>
              <w:rPr>
                <w:rFonts w:hint="default" w:ascii="Times New Roman" w:hAnsi="Times New Roman" w:eastAsia="宋体" w:cs="Times New Roman"/>
                <w:b/>
                <w:bCs/>
                <w:color w:val="auto"/>
                <w:sz w:val="24"/>
                <w:szCs w:val="24"/>
                <w:lang w:val="en-US" w:eastAsia="zh-CN"/>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before="200" w:line="360" w:lineRule="auto"/>
              <w:ind w:firstLine="482" w:firstLineChars="200"/>
              <w:jc w:val="both"/>
              <w:textAlignment w:val="auto"/>
              <w:outlineLvl w:val="9"/>
              <w:rPr>
                <w:rFonts w:hint="default" w:ascii="Times New Roman" w:hAnsi="Times New Roman" w:eastAsia="宋体" w:cs="Times New Roman"/>
                <w:b/>
                <w:bCs/>
                <w:color w:val="auto"/>
                <w:sz w:val="24"/>
                <w:szCs w:val="24"/>
                <w:lang w:val="en-US" w:eastAsia="zh-CN"/>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before="200" w:line="360" w:lineRule="auto"/>
              <w:ind w:firstLine="482" w:firstLineChars="200"/>
              <w:jc w:val="both"/>
              <w:textAlignment w:val="auto"/>
              <w:outlineLvl w:val="9"/>
              <w:rPr>
                <w:rFonts w:hint="default" w:ascii="Times New Roman" w:hAnsi="Times New Roman" w:eastAsia="宋体" w:cs="Times New Roman"/>
                <w:b/>
                <w:bCs/>
                <w:color w:val="auto"/>
                <w:sz w:val="24"/>
                <w:szCs w:val="24"/>
                <w:lang w:val="en-US" w:eastAsia="zh-CN"/>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before="200" w:line="360" w:lineRule="auto"/>
              <w:ind w:firstLine="482" w:firstLineChars="200"/>
              <w:jc w:val="both"/>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5、水平衡：</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目前本项目主要用水为生活用水，根据本单位核查，本项目总用水量为202t/</w:t>
            </w:r>
            <w:r>
              <w:rPr>
                <w:rFonts w:hint="default" w:ascii="Times New Roman" w:hAnsi="Times New Roman" w:eastAsia="宋体" w:cs="Times New Roman"/>
                <w:b w:val="0"/>
                <w:bCs w:val="0"/>
                <w:color w:val="auto"/>
                <w:sz w:val="24"/>
                <w:szCs w:val="24"/>
                <w:lang w:val="en-US" w:eastAsia="zh-CN" w:bidi="ar-SA"/>
              </w:rPr>
              <w:t>d</w:t>
            </w:r>
            <w:r>
              <w:rPr>
                <w:rFonts w:hint="default" w:ascii="Times New Roman" w:hAnsi="Times New Roman" w:eastAsia="宋体" w:cs="Times New Roman"/>
                <w:color w:val="auto"/>
                <w:sz w:val="24"/>
                <w:szCs w:val="24"/>
                <w:lang w:val="en-US" w:eastAsia="zh-CN"/>
              </w:rPr>
              <w:t>，其中住宅区用水量为139t/d，污水产生量为125t/d；商业及物业房用水量为45t/d，污水产生量为41t/d；绿化及未预计用水量为18t/d，这部分用水没有废水产生。项目污水经化粪池处理后排入市政污水管网进入云霄县城区污水处理厂统一处理。工程水平衡图见图1。</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0" w:beforeLines="-2147483648" w:after="0" w:line="360" w:lineRule="auto"/>
              <w:jc w:val="center"/>
              <w:textAlignment w:val="auto"/>
              <w:outlineLvl w:val="9"/>
              <w:rPr>
                <w:rFonts w:hint="default" w:ascii="Times New Roman" w:hAnsi="Times New Roman" w:eastAsia="宋体" w:cs="Times New Roman"/>
                <w:color w:val="0000FF"/>
                <w:lang w:eastAsia="zh-CN"/>
              </w:rPr>
            </w:pPr>
            <w:r>
              <w:rPr>
                <w:rFonts w:hint="default" w:ascii="Times New Roman" w:hAnsi="Times New Roman" w:eastAsia="宋体" w:cs="Times New Roman"/>
                <w:color w:val="0000FF"/>
                <w:sz w:val="22"/>
              </w:rPr>
              <mc:AlternateContent>
                <mc:Choice Requires="wpc">
                  <w:drawing>
                    <wp:inline distT="0" distB="0" distL="114300" distR="114300">
                      <wp:extent cx="5212080" cy="3116580"/>
                      <wp:effectExtent l="6350" t="6350" r="1270" b="20320"/>
                      <wp:docPr id="8" name="画布 8"/>
                      <wp:cNvGraphicFramePr/>
                      <a:graphic xmlns:a="http://schemas.openxmlformats.org/drawingml/2006/main">
                        <a:graphicData uri="http://schemas.microsoft.com/office/word/2010/wordprocessingCanvas">
                          <wpc:wpc>
                            <wpc:bg/>
                            <wpc:whole/>
                            <wps:wsp>
                              <wps:cNvPr id="38" name="矩形 9"/>
                              <wps:cNvSpPr/>
                              <wps:spPr>
                                <a:xfrm>
                                  <a:off x="0" y="0"/>
                                  <a:ext cx="677545" cy="436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新鲜用水0.5t/d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矩形 28"/>
                              <wps:cNvSpPr/>
                              <wps:spPr>
                                <a:xfrm>
                                  <a:off x="722630" y="703580"/>
                                  <a:ext cx="734060" cy="436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住宅区用水139t/d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矩形 29"/>
                              <wps:cNvSpPr/>
                              <wps:spPr>
                                <a:xfrm>
                                  <a:off x="2313305" y="1141730"/>
                                  <a:ext cx="621030" cy="436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三级化粪池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矩形 30"/>
                              <wps:cNvSpPr/>
                              <wps:spPr>
                                <a:xfrm>
                                  <a:off x="3342005" y="1151255"/>
                                  <a:ext cx="696595" cy="436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市政污水管网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矩形 31"/>
                              <wps:cNvSpPr/>
                              <wps:spPr>
                                <a:xfrm>
                                  <a:off x="4458970" y="1056005"/>
                                  <a:ext cx="743585" cy="6273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云霄县城区污水处理厂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矩形 32"/>
                              <wps:cNvSpPr/>
                              <wps:spPr>
                                <a:xfrm>
                                  <a:off x="932180" y="246380"/>
                                  <a:ext cx="1267460" cy="2851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损耗14t/d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直接箭头连接符 33"/>
                              <wps:cNvCnPr>
                                <a:endCxn id="40" idx="1"/>
                              </wps:cNvCnPr>
                              <wps:spPr>
                                <a:xfrm>
                                  <a:off x="1485900" y="927100"/>
                                  <a:ext cx="827405" cy="4330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 name="直接箭头连接符 34"/>
                              <wps:cNvCnPr/>
                              <wps:spPr>
                                <a:xfrm>
                                  <a:off x="428625" y="901700"/>
                                  <a:ext cx="284480" cy="190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6" name="直接箭头连接符 35"/>
                              <wps:cNvCnPr/>
                              <wps:spPr>
                                <a:xfrm>
                                  <a:off x="2941955" y="1379855"/>
                                  <a:ext cx="4191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 name="直接箭头连接符 36"/>
                              <wps:cNvCnPr/>
                              <wps:spPr>
                                <a:xfrm>
                                  <a:off x="4037330" y="1370330"/>
                                  <a:ext cx="4191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8" name="直接箭头连接符 37"/>
                              <wps:cNvCnPr/>
                              <wps:spPr>
                                <a:xfrm flipV="1">
                                  <a:off x="922655" y="498475"/>
                                  <a:ext cx="429895" cy="19558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 name="矩形 28"/>
                              <wps:cNvSpPr/>
                              <wps:spPr>
                                <a:xfrm>
                                  <a:off x="722630" y="1703070"/>
                                  <a:ext cx="895350" cy="485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商业及物业房用水45t/d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矩形 28"/>
                              <wps:cNvSpPr/>
                              <wps:spPr>
                                <a:xfrm>
                                  <a:off x="732155" y="2475230"/>
                                  <a:ext cx="838200" cy="636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val="0"/>
                                      <w:snapToGrid w:val="0"/>
                                      <w:spacing w:after="0"/>
                                      <w:ind w:firstLine="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绿化及未预计用水</w:t>
                                    </w:r>
                                  </w:p>
                                  <w:p>
                                    <w:pPr>
                                      <w:pStyle w:val="2"/>
                                      <w:keepNext w:val="0"/>
                                      <w:keepLines w:val="0"/>
                                      <w:pageBreakBefore w:val="0"/>
                                      <w:widowControl/>
                                      <w:kinsoku/>
                                      <w:wordWrap/>
                                      <w:overflowPunct/>
                                      <w:topLinePunct w:val="0"/>
                                      <w:autoSpaceDE/>
                                      <w:autoSpaceDN/>
                                      <w:bidi w:val="0"/>
                                      <w:adjustRightInd w:val="0"/>
                                      <w:snapToGrid w:val="0"/>
                                      <w:spacing w:after="0"/>
                                      <w:ind w:firstLine="0"/>
                                      <w:textAlignment w:val="auto"/>
                                      <w:rPr>
                                        <w:rFonts w:hint="default"/>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18t/d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直接箭头连接符 34"/>
                              <wps:cNvCnPr/>
                              <wps:spPr>
                                <a:xfrm>
                                  <a:off x="446405" y="1865630"/>
                                  <a:ext cx="284480" cy="190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3" name="直接箭头连接符 33"/>
                              <wps:cNvCnPr>
                                <a:endCxn id="40" idx="1"/>
                              </wps:cNvCnPr>
                              <wps:spPr>
                                <a:xfrm flipV="1">
                                  <a:off x="1617980" y="1360170"/>
                                  <a:ext cx="695325" cy="5245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4" name="直接箭头连接符 34"/>
                              <wps:cNvCnPr/>
                              <wps:spPr>
                                <a:xfrm>
                                  <a:off x="427355" y="2722880"/>
                                  <a:ext cx="284480" cy="190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 name="直接箭头连接符 37"/>
                              <wps:cNvCnPr/>
                              <wps:spPr>
                                <a:xfrm flipV="1">
                                  <a:off x="819150" y="1446530"/>
                                  <a:ext cx="419100" cy="23876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 name="矩形 32"/>
                              <wps:cNvSpPr/>
                              <wps:spPr>
                                <a:xfrm>
                                  <a:off x="770255" y="1179830"/>
                                  <a:ext cx="1267460" cy="2851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损耗4t/d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 name="矩形 32"/>
                              <wps:cNvSpPr/>
                              <wps:spPr>
                                <a:xfrm>
                                  <a:off x="3942080" y="1122680"/>
                                  <a:ext cx="591185" cy="2851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166t/d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矩形 32"/>
                              <wps:cNvSpPr/>
                              <wps:spPr>
                                <a:xfrm>
                                  <a:off x="2865755" y="1103630"/>
                                  <a:ext cx="591185" cy="2851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166t/d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 name="直接连接符 59"/>
                              <wps:cNvCnPr/>
                              <wps:spPr>
                                <a:xfrm>
                                  <a:off x="415290" y="436880"/>
                                  <a:ext cx="3810" cy="2286635"/>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245.4pt;width:410.4pt;" coordsize="5212080,3116580" editas="canvas" o:gfxdata="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">
                      <o:lock v:ext="edit" aspectratio="f"/>
                      <v:shape id="_x0000_s1026" o:spid="_x0000_s1026" style="position:absolute;left:0;top:0;height:3116580;width:5212080;" filled="f" stroked="f" coordsize="21600,21600" o:gfxdata="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">
                        <v:fill on="f" focussize="0,0"/>
                        <v:stroke on="f"/>
                        <v:imagedata o:title=""/>
                        <o:lock v:ext="edit" aspectratio="f"/>
                      </v:shape>
                      <v:rect id="矩形 9" o:spid="_x0000_s1026" o:spt="1" style="position:absolute;left:0;top:0;height:436880;width:677545;v-text-anchor:middle;" filled="f" stroked="t" coordsize="21600,21600" o:gfxdata="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8BFOLUAAAABQEAAA8A&#10;AAAAAAAAAQAgAAAAIgAAAGRycy9kb3ducmV2LnhtbFBLAQIUABQAAAAIAIdO4kD1f1meVAIAAIgE&#10;AAAOAAAAAAAAAAEAIAAAACMBAABkcnMvZTJvRG9jLnhtbFBLBQYAAAAABgAGAFkBAADpBQ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新鲜用水0.5t/d</w:t>
                              </w:r>
                            </w:p>
                          </w:txbxContent>
                        </v:textbox>
                      </v:rect>
                      <v:rect id="矩形 28" o:spid="_x0000_s1026" o:spt="1" style="position:absolute;left:722630;top:703580;height:436880;width:734060;v-text-anchor:middle;" filled="f" stroked="t" coordsize="21600,21600" o:gfxdata="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wEU4tQA&#10;AAAFAQAADwAAAAAAAAABACAAAAAiAAAAZHJzL2Rvd25yZXYueG1sUEsBAhQAFAAAAAgAh07iQPe7&#10;NBpcAgAAkwQAAA4AAAAAAAAAAQAgAAAAIwEAAGRycy9lMm9Eb2MueG1sUEsFBgAAAAAGAAYAWQEA&#10;APEFA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住宅区用水139t/d</w:t>
                              </w:r>
                            </w:p>
                          </w:txbxContent>
                        </v:textbox>
                      </v:rect>
                      <v:rect id="矩形 29" o:spid="_x0000_s1026" o:spt="1" style="position:absolute;left:2313305;top:1141730;height:436880;width:621030;v-text-anchor:middle;" filled="f" stroked="t" coordsize="21600,21600" o:gfxdata="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wEU&#10;4tQAAAAFAQAADwAAAAAAAAABACAAAAAiAAAAZHJzL2Rvd25yZXYueG1sUEsBAhQAFAAAAAgAh07i&#10;QM1GZChfAgAAlQQAAA4AAAAAAAAAAQAgAAAAIwEAAGRycy9lMm9Eb2MueG1sUEsFBgAAAAAGAAYA&#10;WQEAAPQFA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三级化粪池</w:t>
                              </w:r>
                            </w:p>
                          </w:txbxContent>
                        </v:textbox>
                      </v:rect>
                      <v:rect id="矩形 30" o:spid="_x0000_s1026" o:spt="1" style="position:absolute;left:3342005;top:1151255;height:436880;width:696595;v-text-anchor:middle;" filled="f" stroked="t" coordsize="21600,21600" o:gfxdata="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vARTi&#10;1AAAAAUBAAAPAAAAAAAAAAEAIAAAACIAAABkcnMvZG93bnJldi54bWxQSwECFAAUAAAACACHTuJA&#10;3Itnvl4CAACVBAAADgAAAAAAAAABACAAAAAjAQAAZHJzL2Uyb0RvYy54bWxQSwUGAAAAAAYABgBZ&#10;AQAA8wU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市政污水管网</w:t>
                              </w:r>
                            </w:p>
                          </w:txbxContent>
                        </v:textbox>
                      </v:rect>
                      <v:rect id="矩形 31" o:spid="_x0000_s1026" o:spt="1" style="position:absolute;left:4458970;top:1056005;height:627380;width:743585;v-text-anchor:middle;" filled="f" stroked="t" coordsize="21600,21600" o:gfxdata="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wEU4tQAAAAFAQAADwAAAAAAAAABACAAAAAiAAAAZHJzL2Rvd25yZXYueG1sUEsBAhQAFAAAAAgA&#10;h07iQPAt4HliAgAAlQQAAA4AAAAAAAAAAQAgAAAAIwEAAGRycy9lMm9Eb2MueG1sUEsFBgAAAAAG&#10;AAYAWQEAAPcFAAAAAA==&#10;">
                        <v:fill on="f" focussize="0,0"/>
                        <v:stroke weight="1pt" color="#000000 [3213]" miterlimit="8" joinstyle="miter"/>
                        <v:imagedata o:title=""/>
                        <o:lock v:ext="edit" aspectratio="f"/>
                        <v:textbox>
                          <w:txbxContent>
                            <w:p>
                              <w:pPr>
                                <w:jc w:val="center"/>
                                <w:rPr>
                                  <w:rFonts w:hint="default"/>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云霄县城区污水处理厂</w:t>
                              </w:r>
                            </w:p>
                          </w:txbxContent>
                        </v:textbox>
                      </v:rect>
                      <v:rect id="矩形 32" o:spid="_x0000_s1026" o:spt="1" style="position:absolute;left:932180;top:246380;height:285115;width:1267460;v-text-anchor:middle;" filled="f" stroked="f" coordsize="21600,21600" o:gfxdata="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sEc+90wAAAAUBAAAPAAAAAAAAAAEA&#10;IAAAACIAAABkcnMvZG93bnJldi54bWxQSwECFAAUAAAACACHTuJA8wSglU0CAABrBAAADgAAAAAA&#10;AAABACAAAAAiAQAAZHJzL2Uyb0RvYy54bWxQSwUGAAAAAAYABgBZAQAA4QUAAAAA&#10;">
                        <v:fill on="f" focussize="0,0"/>
                        <v:stroke on="f" weight="1pt" miterlimit="8"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损耗14t/d</w:t>
                              </w:r>
                            </w:p>
                          </w:txbxContent>
                        </v:textbox>
                      </v:rect>
                      <v:shape id="直接箭头连接符 33" o:spid="_x0000_s1026" o:spt="32" type="#_x0000_t32" style="position:absolute;left:1485900;top:927100;height:433070;width:827405;" filled="f" stroked="t" coordsize="21600,21600" o:gfxdata="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j4kG0wAAAAUB&#10;AAAPAAAAAAAAAAEAIAAAACIAAABkcnMvZG93bnJldi54bWxQSwECFAAUAAAACACHTuJARYMcciAC&#10;AAD2AwAADgAAAAAAAAABACAAAAAiAQAAZHJzL2Uyb0RvYy54bWxQSwUGAAAAAAYABgBZAQAAtAUA&#10;AAAA&#10;">
                        <v:fill on="f" focussize="0,0"/>
                        <v:stroke weight="0.5pt" color="#000000 [3213]" miterlimit="8" joinstyle="miter" endarrow="block"/>
                        <v:imagedata o:title=""/>
                        <o:lock v:ext="edit" aspectratio="f"/>
                      </v:shape>
                      <v:shape id="直接箭头连接符 34" o:spid="_x0000_s1026" o:spt="32" type="#_x0000_t32" style="position:absolute;left:428625;top:901700;height:1905;width:284480;" filled="f" stroked="t" coordsize="21600,21600" o:gfxdata="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4+JBtMAAAAFAQAADwAAAAAAAAABACAAAAAiAAAA&#10;ZHJzL2Rvd25yZXYueG1sUEsBAhQAFAAAAAgAh07iQKpDdowMAgAAywMAAA4AAAAAAAAAAQAgAAAA&#10;IgEAAGRycy9lMm9Eb2MueG1sUEsFBgAAAAAGAAYAWQEAAKAFAAAAAA==&#10;">
                        <v:fill on="f" focussize="0,0"/>
                        <v:stroke weight="0.5pt" color="#000000 [3213]" miterlimit="8" joinstyle="miter" endarrow="block"/>
                        <v:imagedata o:title=""/>
                        <o:lock v:ext="edit" aspectratio="f"/>
                      </v:shape>
                      <v:shape id="直接箭头连接符 35" o:spid="_x0000_s1026" o:spt="32" type="#_x0000_t32" style="position:absolute;left:2941955;top:1379855;height:0;width:419100;" filled="f" stroked="t" coordsize="21600,21600" o:gfxdata="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j4kG0wAAAAUBAAAPAAAAAAAAAAEAIAAAACIAAABk&#10;cnMvZG93bnJldi54bWxQSwECFAAUAAAACACHTuJALFrN2gsCAADKAwAADgAAAAAAAAABACAAAAAi&#10;AQAAZHJzL2Uyb0RvYy54bWxQSwUGAAAAAAYABgBZAQAAnwUAAAAA&#10;">
                        <v:fill on="f" focussize="0,0"/>
                        <v:stroke weight="0.5pt" color="#000000 [3213]" miterlimit="8" joinstyle="miter" endarrow="block"/>
                        <v:imagedata o:title=""/>
                        <o:lock v:ext="edit" aspectratio="f"/>
                      </v:shape>
                      <v:shape id="直接箭头连接符 36" o:spid="_x0000_s1026" o:spt="32" type="#_x0000_t32" style="position:absolute;left:4037330;top:1370330;height:0;width:419100;" filled="f" stroked="t" coordsize="21600,21600" o:gfxdata="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rj4kG0wAAAAUBAAAPAAAAAAAAAAEAIAAAACIAAABkcnMv&#10;ZG93bnJldi54bWxQSwECFAAUAAAACACHTuJA+C7prAgCAADKAwAADgAAAAAAAAABACAAAAAiAQAA&#10;ZHJzL2Uyb0RvYy54bWxQSwUGAAAAAAYABgBZAQAAnAUAAAAA&#10;">
                        <v:fill on="f" focussize="0,0"/>
                        <v:stroke weight="0.5pt" color="#000000 [3213]" miterlimit="8" joinstyle="miter" endarrow="block"/>
                        <v:imagedata o:title=""/>
                        <o:lock v:ext="edit" aspectratio="f"/>
                      </v:shape>
                      <v:shape id="直接箭头连接符 37" o:spid="_x0000_s1026" o:spt="32" type="#_x0000_t32" style="position:absolute;left:922655;top:498475;flip:y;height:195580;width:429895;" filled="f" stroked="t" coordsize="21600,21600" o:gfxdata="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EaxQzVAAAABQEAAA8AAAAA&#10;AAAAAQAgAAAAIgAAAGRycy9kb3ducmV2LnhtbFBLAQIUABQAAAAIAIdO4kCXeNw1FwIAANYDAAAO&#10;AAAAAAAAAAEAIAAAACQBAABkcnMvZTJvRG9jLnhtbFBLBQYAAAAABgAGAFkBAACtBQAAAAA=&#10;">
                        <v:fill on="f" focussize="0,0"/>
                        <v:stroke weight="0.5pt" color="#000000 [3213]" miterlimit="8" joinstyle="miter" dashstyle="dash" endarrow="block"/>
                        <v:imagedata o:title=""/>
                        <o:lock v:ext="edit" aspectratio="f"/>
                      </v:shape>
                      <v:rect id="矩形 28" o:spid="_x0000_s1026" o:spt="1" style="position:absolute;left:722630;top:1703070;height:485140;width:895350;v-text-anchor:middle;" filled="f" stroked="t" coordsize="21600,21600" o:gfxdata="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8BFOLU&#10;AAAABQEAAA8AAAAAAAAAAQAgAAAAIgAAAGRycy9kb3ducmV2LnhtbFBLAQIUABQAAAAIAIdO4kAI&#10;Y8sRXQIAAJQEAAAOAAAAAAAAAAEAIAAAACMBAABkcnMvZTJvRG9jLnhtbFBLBQYAAAAABgAGAFkB&#10;AADyBQ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商业及物业房用水45t/d</w:t>
                              </w:r>
                            </w:p>
                          </w:txbxContent>
                        </v:textbox>
                      </v:rect>
                      <v:rect id="矩形 28" o:spid="_x0000_s1026" o:spt="1" style="position:absolute;left:732155;top:2475230;height:636905;width:838200;v-text-anchor:middle;" filled="f" stroked="t" coordsize="21600,21600" o:gfxdata="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vARTi&#10;1AAAAAUBAAAPAAAAAAAAAAEAIAAAACIAAABkcnMvZG93bnJldi54bWxQSwECFAAUAAAACACHTuJA&#10;R5UwP14CAACUBAAADgAAAAAAAAABACAAAAAjAQAAZHJzL2Uyb0RvYy54bWxQSwUGAAAAAAYABgBZ&#10;AQAA8wUAAAAA&#10;">
                        <v:fill on="f" focussize="0,0"/>
                        <v:stroke weight="1pt" color="#000000 [3213]"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ind w:firstLine="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绿化及未预计用水</w:t>
                              </w:r>
                            </w:p>
                            <w:p>
                              <w:pPr>
                                <w:pStyle w:val="2"/>
                                <w:keepNext w:val="0"/>
                                <w:keepLines w:val="0"/>
                                <w:pageBreakBefore w:val="0"/>
                                <w:widowControl/>
                                <w:kinsoku/>
                                <w:wordWrap/>
                                <w:overflowPunct/>
                                <w:topLinePunct w:val="0"/>
                                <w:autoSpaceDE/>
                                <w:autoSpaceDN/>
                                <w:bidi w:val="0"/>
                                <w:adjustRightInd w:val="0"/>
                                <w:snapToGrid w:val="0"/>
                                <w:spacing w:after="0"/>
                                <w:ind w:firstLine="0"/>
                                <w:textAlignment w:val="auto"/>
                                <w:rPr>
                                  <w:rFonts w:hint="default"/>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18t/d</w:t>
                              </w:r>
                            </w:p>
                          </w:txbxContent>
                        </v:textbox>
                      </v:rect>
                      <v:shape id="直接箭头连接符 34" o:spid="_x0000_s1026" o:spt="32" type="#_x0000_t32" style="position:absolute;left:446405;top:1865630;height:1905;width:284480;" filled="f" stroked="t" coordsize="21600,21600" o:gfxdata="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4+JBtMAAAAFAQAADwAAAAAAAAABACAAAAAiAAAA&#10;ZHJzL2Rvd25yZXYueG1sUEsBAhQAFAAAAAgAh07iQNXMf4AMAgAAzAMAAA4AAAAAAAAAAQAgAAAA&#10;IgEAAGRycy9lMm9Eb2MueG1sUEsFBgAAAAAGAAYAWQEAAKAFAAAAAA==&#10;">
                        <v:fill on="f" focussize="0,0"/>
                        <v:stroke weight="0.5pt" color="#000000 [3213]" miterlimit="8" joinstyle="miter" endarrow="block"/>
                        <v:imagedata o:title=""/>
                        <o:lock v:ext="edit" aspectratio="f"/>
                      </v:shape>
                      <v:shape id="直接箭头连接符 33" o:spid="_x0000_s1026" o:spt="32" type="#_x0000_t32" style="position:absolute;left:1617980;top:1360170;flip:y;height:524510;width:695325;" filled="f" stroked="t" coordsize="21600,21600" o:gfxdata="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1r&#10;UB3VAAAABQEAAA8AAAAAAAAAAQAgAAAAIgAAAGRycy9kb3ducmV2LnhtbFBLAQIUABQAAAAIAIdO&#10;4kDnbiBjJgIAAAEEAAAOAAAAAAAAAAEAIAAAACQBAABkcnMvZTJvRG9jLnhtbFBLBQYAAAAABgAG&#10;AFkBAAC8BQAAAAA=&#10;">
                        <v:fill on="f" focussize="0,0"/>
                        <v:stroke weight="0.5pt" color="#000000 [3213]" miterlimit="8" joinstyle="miter" endarrow="block"/>
                        <v:imagedata o:title=""/>
                        <o:lock v:ext="edit" aspectratio="f"/>
                      </v:shape>
                      <v:shape id="直接箭头连接符 34" o:spid="_x0000_s1026" o:spt="32" type="#_x0000_t32" style="position:absolute;left:427355;top:2722880;height:1905;width:284480;" filled="f" stroked="t" coordsize="21600,21600" o:gfxdata="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uPiQbTAAAABQEAAA8AAAAAAAAAAQAgAAAAIgAA&#10;AGRycy9kb3ducmV2LnhtbFBLAQIUABQAAAAIAIdO4kCk6VS2DQIAAMwDAAAOAAAAAAAAAAEAIAAA&#10;ACIBAABkcnMvZTJvRG9jLnhtbFBLBQYAAAAABgAGAFkBAAChBQAAAAA=&#10;">
                        <v:fill on="f" focussize="0,0"/>
                        <v:stroke weight="0.5pt" color="#000000 [3213]" miterlimit="8" joinstyle="miter" endarrow="block"/>
                        <v:imagedata o:title=""/>
                        <o:lock v:ext="edit" aspectratio="f"/>
                      </v:shape>
                      <v:shape id="直接箭头连接符 37" o:spid="_x0000_s1026" o:spt="32" type="#_x0000_t32" style="position:absolute;left:819150;top:1446530;flip:y;height:238760;width:419100;" filled="f" stroked="t" coordsize="21600,21600" o:gfxdata="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RrFDNUAAAAFAQAADwAAAAAAAAAB&#10;ACAAAAAiAAAAZHJzL2Rvd25yZXYueG1sUEsBAhQAFAAAAAgAh07iQKUVXEUTAgAA1wMAAA4AAAAA&#10;AAAAAQAgAAAAJAEAAGRycy9lMm9Eb2MueG1sUEsFBgAAAAAGAAYAWQEAAKkFAAAAAA==&#10;">
                        <v:fill on="f" focussize="0,0"/>
                        <v:stroke weight="0.5pt" color="#000000 [3213]" miterlimit="8" joinstyle="miter" dashstyle="dash" endarrow="block"/>
                        <v:imagedata o:title=""/>
                        <o:lock v:ext="edit" aspectratio="f"/>
                      </v:shape>
                      <v:rect id="矩形 32" o:spid="_x0000_s1026" o:spt="1" style="position:absolute;left:770255;top:1179830;height:285115;width:1267460;v-text-anchor:middle;" filled="f" stroked="f" coordsize="21600,21600" o:gfxdata="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sEc+90wAAAAUBAAAPAAAAAAAA&#10;AAEAIAAAACIAAABkcnMvZG93bnJldi54bWxQSwECFAAUAAAACACHTuJADc1MVVACAABsBAAADgAA&#10;AAAAAAABACAAAAAiAQAAZHJzL2Uyb0RvYy54bWxQSwUGAAAAAAYABgBZAQAA5AUAAAAA&#10;">
                        <v:fill on="f" focussize="0,0"/>
                        <v:stroke on="f" weight="1pt" miterlimit="8"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损耗4t/d</w:t>
                              </w:r>
                            </w:p>
                          </w:txbxContent>
                        </v:textbox>
                      </v:rect>
                      <v:rect id="矩形 32" o:spid="_x0000_s1026" o:spt="1" style="position:absolute;left:3942080;top:1122680;height:285115;width:591185;v-text-anchor:middle;" filled="f" stroked="f" coordsize="21600,21600" o:gfxdata="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sEc+90wAAAAUBAAAPAAAAAAAA&#10;AAEAIAAAACIAAABkcnMvZG93bnJldi54bWxQSwECFAAUAAAACACHTuJAaMNM/lACAABsBAAADgAA&#10;AAAAAAABACAAAAAiAQAAZHJzL2Uyb0RvYy54bWxQSwUGAAAAAAYABgBZAQAA5AUAAAAA&#10;">
                        <v:fill on="f" focussize="0,0"/>
                        <v:stroke on="f" weight="1pt" miterlimit="8"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166t/d</w:t>
                              </w:r>
                            </w:p>
                          </w:txbxContent>
                        </v:textbox>
                      </v:rect>
                      <v:rect id="矩形 32" o:spid="_x0000_s1026" o:spt="1" style="position:absolute;left:2865755;top:1103630;height:285115;width:591185;v-text-anchor:middle;" filled="f" stroked="f" coordsize="21600,21600" o:gfxdata="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wRz73TAAAABQEAAA8AAAAA&#10;AAAAAQAgAAAAIgAAAGRycy9kb3ducmV2LnhtbFBLAQIUABQAAAAIAIdO4kB4QO4vUgIAAGwEAAAO&#10;AAAAAAAAAAEAIAAAACIBAABkcnMvZTJvRG9jLnhtbFBLBQYAAAAABgAGAFkBAADmBQAAAAA=&#10;">
                        <v:fill on="f" focussize="0,0"/>
                        <v:stroke on="f" weight="1pt" miterlimit="8"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166t/d</w:t>
                              </w:r>
                            </w:p>
                          </w:txbxContent>
                        </v:textbox>
                      </v:rect>
                      <v:line id="_x0000_s1026" o:spid="_x0000_s1026" o:spt="20" style="position:absolute;left:415290;top:436880;height:2286635;width:3810;" filled="f" stroked="t" coordsize="21600,21600" o:gfxdata="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Zt4WdMAAAAFAQAADwAAAAAAAAABACAAAAAiAAAA&#10;ZHJzL2Rvd25yZXYueG1sUEsBAhQAFAAAAAgAh07iQLbJb8bTAQAAcgMAAA4AAAAAAAAAAQAgAAAA&#10;IgEAAGRycy9lMm9Eb2MueG1sUEsFBgAAAAAGAAYAWQEAAGcFAAAAAA==&#10;">
                        <v:fill on="f" focussize="0,0"/>
                        <v:stroke weight="0.5pt" color="#000000 [3200]" miterlimit="8" joinstyle="miter"/>
                        <v:imagedata o:title=""/>
                        <o:lock v:ext="edit" aspectratio="f"/>
                      </v:line>
                      <w10:wrap type="none"/>
                      <w10:anchorlock/>
                    </v:group>
                  </w:pict>
                </mc:Fallback>
              </mc:AlternateContent>
            </w:r>
          </w:p>
          <w:p>
            <w:pPr>
              <w:pStyle w:val="18"/>
              <w:widowControl w:val="0"/>
              <w:jc w:val="cente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t>图1  项目水平衡图（单位t/d）</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0000FF"/>
                <w:sz w:val="21"/>
                <w:szCs w:val="21"/>
                <w:lang w:val="en-US" w:eastAsia="zh-CN" w:bidi="ar-SA"/>
              </w:rPr>
            </w:pPr>
          </w:p>
        </w:tc>
      </w:tr>
    </w:tbl>
    <w:p>
      <w:pPr>
        <w:spacing w:after="0" w:afterLines="0" w:line="360" w:lineRule="auto"/>
        <w:outlineLvl w:val="0"/>
        <w:rPr>
          <w:rFonts w:hint="default" w:ascii="Times New Roman" w:hAnsi="Times New Roman" w:eastAsia="宋体" w:cs="Times New Roman"/>
          <w:b/>
          <w:color w:val="0000FF"/>
          <w:sz w:val="21"/>
          <w:szCs w:val="21"/>
        </w:rPr>
      </w:pPr>
    </w:p>
    <w:p>
      <w:pPr>
        <w:spacing w:after="0" w:afterLines="0" w:line="360" w:lineRule="auto"/>
        <w:outlineLvl w:val="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表三</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8522" w:type="dxa"/>
          </w:tcPr>
          <w:p>
            <w:pPr>
              <w:keepNext w:val="0"/>
              <w:keepLines w:val="0"/>
              <w:pageBreakBefore w:val="0"/>
              <w:widowControl/>
              <w:numPr>
                <w:ilvl w:val="-1"/>
                <w:numId w:val="0"/>
              </w:numPr>
              <w:kinsoku/>
              <w:wordWrap/>
              <w:overflowPunct/>
              <w:topLinePunct w:val="0"/>
              <w:autoSpaceDE/>
              <w:autoSpaceDN/>
              <w:bidi w:val="0"/>
              <w:adjustRightInd w:val="0"/>
              <w:snapToGrid w:val="0"/>
              <w:spacing w:after="0" w:afterLines="0" w:line="360" w:lineRule="auto"/>
              <w:jc w:val="left"/>
              <w:textAlignment w:val="auto"/>
              <w:outlineLvl w:val="9"/>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主要污染源、污染物处理和排放（附处理流程示意图，标出废水、废气、厂界噪声监测点位）：</w:t>
            </w:r>
          </w:p>
          <w:p>
            <w:pPr>
              <w:pStyle w:val="26"/>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废水：本项目产生的废水主要有生活污水。生活污水经化粪池处理后通过市政污水管网纳入云霄县城区污水处理厂处理。</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center"/>
              <w:textAlignment w:val="auto"/>
              <w:outlineLvl w:val="9"/>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2"/>
                <w14:textFill>
                  <w14:solidFill>
                    <w14:schemeClr w14:val="tx1"/>
                  </w14:solidFill>
                </w14:textFill>
              </w:rPr>
              <mc:AlternateContent>
                <mc:Choice Requires="wpc">
                  <w:drawing>
                    <wp:inline distT="0" distB="0" distL="114300" distR="114300">
                      <wp:extent cx="4164330" cy="468630"/>
                      <wp:effectExtent l="6350" t="6350" r="1270" b="1270"/>
                      <wp:docPr id="1" name="画布 1"/>
                      <wp:cNvGraphicFramePr/>
                      <a:graphic xmlns:a="http://schemas.openxmlformats.org/drawingml/2006/main">
                        <a:graphicData uri="http://schemas.microsoft.com/office/word/2010/wordprocessingCanvas">
                          <wpc:wpc>
                            <wpc:bg/>
                            <wpc:whole/>
                            <wps:wsp>
                              <wps:cNvPr id="10" name="矩形 28"/>
                              <wps:cNvSpPr/>
                              <wps:spPr>
                                <a:xfrm>
                                  <a:off x="0" y="0"/>
                                  <a:ext cx="535305" cy="436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矩形 29"/>
                              <wps:cNvSpPr/>
                              <wps:spPr>
                                <a:xfrm>
                                  <a:off x="989330" y="0"/>
                                  <a:ext cx="621030" cy="436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三级化粪池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矩形 30"/>
                              <wps:cNvSpPr/>
                              <wps:spPr>
                                <a:xfrm>
                                  <a:off x="2046605" y="0"/>
                                  <a:ext cx="696595" cy="436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市政污水管网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矩形 31"/>
                              <wps:cNvSpPr/>
                              <wps:spPr>
                                <a:xfrm>
                                  <a:off x="3220720" y="0"/>
                                  <a:ext cx="903605" cy="4457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SA"/>
                                        <w14:textFill>
                                          <w14:solidFill>
                                            <w14:schemeClr w14:val="tx1"/>
                                          </w14:solidFill>
                                        </w14:textFill>
                                      </w:rPr>
                                      <w:t>云霄县城区污水处理厂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 name="直接箭头连接符 33"/>
                              <wps:cNvCnPr/>
                              <wps:spPr>
                                <a:xfrm>
                                  <a:off x="561975" y="222250"/>
                                  <a:ext cx="4191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 name="直接箭头连接符 35"/>
                              <wps:cNvCnPr/>
                              <wps:spPr>
                                <a:xfrm>
                                  <a:off x="1627505" y="217805"/>
                                  <a:ext cx="4191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 name="直接箭头连接符 36"/>
                              <wps:cNvCnPr/>
                              <wps:spPr>
                                <a:xfrm>
                                  <a:off x="2770505" y="217805"/>
                                  <a:ext cx="4191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36.9pt;width:327.9pt;" coordsize="4164330,468630" editas="canvas" o:gfxdata="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Bw4X3g1gAAAAQBAAAPAAAAAAAAAAEAIAAAACIAAABkcnMvZG93bnJldi54&#10;bWxQSwECFAAUAAAACACHTuJAglpoOf0DAABeFQAADgAAAAAAAAABACAAAAAlAQAAZHJzL2Uyb0Rv&#10;Yy54bWxQSwUGAAAAAAYABgBZAQAAlAcAAAAA&#10;">
                      <o:lock v:ext="edit" aspectratio="f"/>
                      <v:shape id="_x0000_s1026" o:spid="_x0000_s1026" style="position:absolute;left:0;top:0;height:468630;width:4164330;" filled="f" stroked="f" coordsize="21600,21600" o:gfxdata="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Bw4X3g1gAAAAQBAAAPAAAAAAAAAAEAIAAAACIAAABkcnMvZG93bnJldi54bWxQSwECFAAU&#10;AAAACACHTuJAVJX8VbsDAACnFAAADgAAAAAAAAABACAAAAAlAQAAZHJzL2Uyb0RvYy54bWxQSwUG&#10;AAAAAAYABgBZAQAAUgcAAAAA&#10;">
                        <v:fill on="f" focussize="0,0"/>
                        <v:stroke on="f"/>
                        <v:imagedata o:title=""/>
                        <o:lock v:ext="edit" aspectratio="f"/>
                      </v:shape>
                      <v:rect id="矩形 28" o:spid="_x0000_s1026" o:spt="1" style="position:absolute;left:0;top:0;height:436880;width:535305;v-text-anchor:middle;" filled="f" stroked="t" coordsize="21600,21600" o:gfxdata="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LBTLUAAAABAEAAA8A&#10;AAAAAAAAAQAgAAAAIgAAAGRycy9kb3ducmV2LnhtbFBLAQIUABQAAAAIAIdO4kD/yazqVAIAAIkE&#10;AAAOAAAAAAAAAAEAIAAAACMBAABkcnMvZTJvRG9jLnhtbFBLBQYAAAAABgAGAFkBAADpBQ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生活用水</w:t>
                              </w:r>
                            </w:p>
                          </w:txbxContent>
                        </v:textbox>
                      </v:rect>
                      <v:rect id="矩形 29" o:spid="_x0000_s1026" o:spt="1" style="position:absolute;left:989330;top:0;height:436880;width:621030;v-text-anchor:middle;" filled="f" stroked="t" coordsize="21600,21600" o:gfxdata="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iwUy1AAAAAQB&#10;AAAPAAAAAAAAAAEAIAAAACIAAABkcnMvZG93bnJldi54bWxQSwECFAAUAAAACACHTuJA5dn3eVgC&#10;AACOBAAADgAAAAAAAAABACAAAAAjAQAAZHJzL2Uyb0RvYy54bWxQSwUGAAAAAAYABgBZAQAA7QUA&#10;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三级化粪池</w:t>
                              </w:r>
                            </w:p>
                          </w:txbxContent>
                        </v:textbox>
                      </v:rect>
                      <v:rect id="矩形 30" o:spid="_x0000_s1026" o:spt="1" style="position:absolute;left:2046605;top:0;height:436880;width:696595;v-text-anchor:middle;" filled="f" stroked="t" coordsize="21600,21600" o:gfxdata="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LBTLUAAAA&#10;BAEAAA8AAAAAAAAAAQAgAAAAIgAAAGRycy9kb3ducmV2LnhtbFBLAQIUABQAAAAIAIdO4kDdIcP6&#10;WgIAAI8EAAAOAAAAAAAAAAEAIAAAACMBAABkcnMvZTJvRG9jLnhtbFBLBQYAAAAABgAGAFkBAADv&#10;BQ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市政污水管网</w:t>
                              </w:r>
                            </w:p>
                          </w:txbxContent>
                        </v:textbox>
                      </v:rect>
                      <v:rect id="矩形 31" o:spid="_x0000_s1026" o:spt="1" style="position:absolute;left:3220720;top:0;height:445770;width:903605;v-text-anchor:middle;" filled="f" stroked="t" coordsize="21600,21600" o:gfxdata="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4sFMtQAAAAE&#10;AQAADwAAAAAAAAABACAAAAAiAAAAZHJzL2Rvd25yZXYueG1sUEsBAhQAFAAAAAgAh07iQMkFVgJZ&#10;AgAAjwQAAA4AAAAAAAAAAQAgAAAAIwEAAGRycy9lMm9Eb2MueG1sUEsFBgAAAAAGAAYAWQEAAO4F&#10;AAAAAA==&#10;">
                        <v:fill on="f" focussize="0,0"/>
                        <v:stroke weight="1pt" color="#000000 [3213]" miterlimit="8" joinstyle="miter"/>
                        <v:imagedata o:title=""/>
                        <o:lock v:ext="edit" aspectratio="f"/>
                        <v:textbox>
                          <w:txbxContent>
                            <w:p>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SA"/>
                                  <w14:textFill>
                                    <w14:solidFill>
                                      <w14:schemeClr w14:val="tx1"/>
                                    </w14:solidFill>
                                  </w14:textFill>
                                </w:rPr>
                                <w:t>云霄县城区污水处理厂</w:t>
                              </w:r>
                            </w:p>
                          </w:txbxContent>
                        </v:textbox>
                      </v:rect>
                      <v:shape id="直接箭头连接符 33" o:spid="_x0000_s1026" o:spt="32" type="#_x0000_t32" style="position:absolute;left:561975;top:222250;height:0;width:419100;" filled="f" stroked="t" coordsize="21600,21600" o:gfxdata="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8REodMAAAAEAQAADwAAAAAAAAABACAAAAAiAAAAZHJz&#10;L2Rvd25yZXYueG1sUEsBAhQAFAAAAAgAh07iQIRkzboJAgAAyAMAAA4AAAAAAAAAAQAgAAAAIgEA&#10;AGRycy9lMm9Eb2MueG1sUEsFBgAAAAAGAAYAWQEAAJ0FAAAAAA==&#10;">
                        <v:fill on="f" focussize="0,0"/>
                        <v:stroke weight="0.5pt" color="#000000 [3213]" miterlimit="8" joinstyle="miter" endarrow="block"/>
                        <v:imagedata o:title=""/>
                        <o:lock v:ext="edit" aspectratio="f"/>
                      </v:shape>
                      <v:shape id="直接箭头连接符 35" o:spid="_x0000_s1026" o:spt="32" type="#_x0000_t32" style="position:absolute;left:1627505;top:217805;height:0;width:419100;" filled="f" stroked="t" coordsize="21600,21600" o:gfxdata="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8REodMAAAAEAQAADwAAAAAAAAABACAAAAAiAAAA&#10;ZHJzL2Rvd25yZXYueG1sUEsBAhQAFAAAAAgAh07iQA3i8vwMAgAAyQMAAA4AAAAAAAAAAQAgAAAA&#10;IgEAAGRycy9lMm9Eb2MueG1sUEsFBgAAAAAGAAYAWQEAAKAFAAAAAA==&#10;">
                        <v:fill on="f" focussize="0,0"/>
                        <v:stroke weight="0.5pt" color="#000000 [3213]" miterlimit="8" joinstyle="miter" endarrow="block"/>
                        <v:imagedata o:title=""/>
                        <o:lock v:ext="edit" aspectratio="f"/>
                      </v:shape>
                      <v:shape id="直接箭头连接符 36" o:spid="_x0000_s1026" o:spt="32" type="#_x0000_t32" style="position:absolute;left:2770505;top:217805;height:0;width:419100;" filled="f" stroked="t" coordsize="21600,21600" o:gfxdata="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8REodMAAAAEAQAADwAAAAAAAAABACAAAAAiAAAAZHJz&#10;L2Rvd25yZXYueG1sUEsBAhQAFAAAAAgAh07iQFo5CXkJAgAAyQMAAA4AAAAAAAAAAQAgAAAAIgEA&#10;AGRycy9lMm9Eb2MueG1sUEsFBgAAAAAGAAYAWQEAAJ0FAAAAAA==&#10;">
                        <v:fill on="f" focussize="0,0"/>
                        <v:stroke weight="0.5pt" color="#000000 [3213]" miterlimit="8" joinstyle="miter" endarrow="block"/>
                        <v:imagedata o:title=""/>
                        <o:lock v:ext="edit" aspectratio="f"/>
                      </v:shape>
                      <w10:wrap type="none"/>
                      <w10:anchorlock/>
                    </v:group>
                  </w:pict>
                </mc:Fallback>
              </mc:AlternateContent>
            </w:r>
            <w:r>
              <w:rPr>
                <w:rFonts w:hint="default" w:ascii="Times New Roman" w:hAnsi="Times New Roman" w:eastAsia="宋体" w:cs="Times New Roman"/>
              </w:rPr>
              <w:drawing>
                <wp:inline distT="0" distB="0" distL="114300" distR="114300">
                  <wp:extent cx="3990975" cy="2181225"/>
                  <wp:effectExtent l="0" t="0" r="9525" b="9525"/>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10"/>
                          <a:stretch>
                            <a:fillRect/>
                          </a:stretch>
                        </pic:blipFill>
                        <pic:spPr>
                          <a:xfrm>
                            <a:off x="0" y="0"/>
                            <a:ext cx="3990975" cy="2181225"/>
                          </a:xfrm>
                          <a:prstGeom prst="rect">
                            <a:avLst/>
                          </a:prstGeom>
                          <a:noFill/>
                          <a:ln>
                            <a:noFill/>
                          </a:ln>
                        </pic:spPr>
                      </pic:pic>
                    </a:graphicData>
                  </a:graphic>
                </wp:inline>
              </w:drawing>
            </w:r>
          </w:p>
          <w:p>
            <w:pPr>
              <w:keepNext w:val="0"/>
              <w:keepLines w:val="0"/>
              <w:pageBreakBefore w:val="0"/>
              <w:widowControl/>
              <w:numPr>
                <w:ilvl w:val="0"/>
                <w:numId w:val="3"/>
              </w:numPr>
              <w:kinsoku/>
              <w:wordWrap/>
              <w:overflowPunct/>
              <w:topLinePunct w:val="0"/>
              <w:autoSpaceDE/>
              <w:autoSpaceDN/>
              <w:bidi w:val="0"/>
              <w:adjustRightInd w:val="0"/>
              <w:snapToGrid w:val="0"/>
              <w:spacing w:after="0" w:line="360" w:lineRule="auto"/>
              <w:ind w:left="0" w:leftChars="0" w:firstLine="480" w:firstLineChars="200"/>
              <w:jc w:val="both"/>
              <w:textAlignment w:val="auto"/>
              <w:outlineLvl w:val="9"/>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废气：本</w:t>
            </w:r>
            <w:r>
              <w:rPr>
                <w:rFonts w:hint="default" w:ascii="Times New Roman" w:hAnsi="Times New Roman" w:eastAsia="宋体" w:cs="Times New Roman"/>
                <w:color w:val="000000" w:themeColor="text1"/>
                <w:sz w:val="24"/>
                <w14:textFill>
                  <w14:solidFill>
                    <w14:schemeClr w14:val="tx1"/>
                  </w14:solidFill>
                </w14:textFill>
              </w:rPr>
              <w:t>项目废气主要</w:t>
            </w:r>
            <w:r>
              <w:rPr>
                <w:rFonts w:hint="default" w:ascii="Times New Roman" w:hAnsi="Times New Roman" w:eastAsia="宋体" w:cs="Times New Roman"/>
                <w:color w:val="000000" w:themeColor="text1"/>
                <w:sz w:val="24"/>
                <w:lang w:val="en-US" w:eastAsia="zh-CN"/>
                <w14:textFill>
                  <w14:solidFill>
                    <w14:schemeClr w14:val="tx1"/>
                  </w14:solidFill>
                </w14:textFill>
              </w:rPr>
              <w:t>有厨房油烟废气、地下室汽车尾气、垃圾集中点臭气。厨房油烟经抽油烟机处理后，经竖向专用烟道引出各住宅楼屋顶集中排放；地下停车场装机械排风系统；加强小区外围的绿化；垃圾桶均加盖，且每天由环卫部门及时收集外运；本项目商业店面未预留的油烟排气管道，且商业店面不引入饮食行业</w:t>
            </w:r>
            <w:r>
              <w:rPr>
                <w:rFonts w:hint="default" w:ascii="Times New Roman" w:hAnsi="Times New Roman" w:eastAsia="宋体" w:cs="Times New Roman"/>
                <w:color w:val="000000" w:themeColor="text1"/>
                <w:sz w:val="24"/>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center"/>
              <w:textAlignment w:val="auto"/>
              <w:outlineLvl w:val="9"/>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rPr>
              <w:drawing>
                <wp:inline distT="0" distB="0" distL="114300" distR="114300">
                  <wp:extent cx="4943475" cy="2828925"/>
                  <wp:effectExtent l="0" t="0" r="9525" b="9525"/>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11"/>
                          <a:stretch>
                            <a:fillRect/>
                          </a:stretch>
                        </pic:blipFill>
                        <pic:spPr>
                          <a:xfrm>
                            <a:off x="0" y="0"/>
                            <a:ext cx="4943475" cy="282892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both"/>
              <w:textAlignment w:val="auto"/>
              <w:outlineLvl w:val="9"/>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rPr>
              <w:drawing>
                <wp:inline distT="0" distB="0" distL="114300" distR="114300">
                  <wp:extent cx="5271770" cy="2386330"/>
                  <wp:effectExtent l="0" t="0" r="5080" b="13970"/>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pic:cNvPicPr>
                        </pic:nvPicPr>
                        <pic:blipFill>
                          <a:blip r:embed="rId12"/>
                          <a:srcRect t="54575"/>
                          <a:stretch>
                            <a:fillRect/>
                          </a:stretch>
                        </pic:blipFill>
                        <pic:spPr>
                          <a:xfrm>
                            <a:off x="0" y="0"/>
                            <a:ext cx="5271770" cy="238633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3、噪声：</w:t>
            </w:r>
            <w:r>
              <w:rPr>
                <w:rFonts w:hint="default" w:ascii="Times New Roman" w:hAnsi="Times New Roman" w:eastAsia="宋体" w:cs="Times New Roman"/>
                <w:bCs/>
                <w:color w:val="000000" w:themeColor="text1"/>
                <w:sz w:val="24"/>
                <w:lang w:val="en-US" w:eastAsia="zh-CN"/>
                <w14:textFill>
                  <w14:solidFill>
                    <w14:schemeClr w14:val="tx1"/>
                  </w14:solidFill>
                </w14:textFill>
              </w:rPr>
              <w:t>本</w:t>
            </w:r>
            <w:r>
              <w:rPr>
                <w:rFonts w:hint="default" w:ascii="Times New Roman" w:hAnsi="Times New Roman" w:eastAsia="宋体" w:cs="Times New Roman"/>
                <w:bCs/>
                <w:color w:val="000000" w:themeColor="text1"/>
                <w:sz w:val="24"/>
                <w14:textFill>
                  <w14:solidFill>
                    <w14:schemeClr w14:val="tx1"/>
                  </w14:solidFill>
                </w14:textFill>
              </w:rPr>
              <w:t>项目主要噪声污染源主要来自各机械设备运营时产生的噪声</w:t>
            </w:r>
            <w:r>
              <w:rPr>
                <w:rFonts w:hint="default" w:ascii="Times New Roman" w:hAnsi="Times New Roman" w:eastAsia="宋体" w:cs="Times New Roman"/>
                <w:bCs/>
                <w:color w:val="000000" w:themeColor="text1"/>
                <w:sz w:val="24"/>
                <w:lang w:val="en-US" w:eastAsia="zh-CN"/>
                <w14:textFill>
                  <w14:solidFill>
                    <w14:schemeClr w14:val="tx1"/>
                  </w14:solidFill>
                </w14:textFill>
              </w:rPr>
              <w:t>及汽车行驶产生的噪声。主要通过设备减振，设备房隔声，风机消声；对店面的经营活动加以限制，对经营行业进行规范：进出的小区车辆减速、禁鸣：合理安排房间的使用功能，项目临规划路一侧选用吸声、隔声的建筑材料或采用隔声窗以此降低噪声污染。</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t>4、固（液）体废物：本项目主要固体废物为小区居民产生的生活垃圾、商业店面产生的垃圾。生活垃圾经集中收集后，由环卫部门于每日清晨统一运往垃圾填埋场进行无害化处理。对物业、商业垃圾进行分类收集，回收其中有价值的材料重新加工利用，其余部分应分类袋装，由环卫部门及时清运。</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pPr>
          </w:p>
          <w:p>
            <w:pPr>
              <w:pStyle w:val="26"/>
              <w:jc w:val="both"/>
              <w:rPr>
                <w:rFonts w:hint="default" w:ascii="Times New Roman" w:hAnsi="Times New Roman" w:eastAsia="宋体" w:cs="Times New Roman"/>
                <w:color w:val="000000" w:themeColor="text1"/>
                <w:lang w:val="en-US" w:eastAsia="zh-CN"/>
                <w14:textFill>
                  <w14:solidFill>
                    <w14:schemeClr w14:val="tx1"/>
                  </w14:solidFill>
                </w14:textFill>
              </w:rPr>
            </w:pPr>
          </w:p>
        </w:tc>
      </w:tr>
    </w:tbl>
    <w:p>
      <w:pPr>
        <w:spacing w:after="0" w:afterLines="0" w:line="360" w:lineRule="auto"/>
        <w:outlineLvl w:val="0"/>
        <w:rPr>
          <w:rFonts w:hint="default" w:ascii="Times New Roman" w:hAnsi="Times New Roman" w:eastAsia="宋体" w:cs="Times New Roman"/>
          <w:b/>
          <w:color w:val="000000" w:themeColor="text1"/>
          <w:sz w:val="21"/>
          <w:szCs w:val="21"/>
          <w14:textFill>
            <w14:solidFill>
              <w14:schemeClr w14:val="tx1"/>
            </w14:solidFill>
          </w14:textFill>
        </w:rPr>
      </w:pPr>
    </w:p>
    <w:p>
      <w:pPr>
        <w:spacing w:after="0" w:afterLines="0" w:line="360" w:lineRule="auto"/>
        <w:outlineLvl w:val="0"/>
        <w:rPr>
          <w:rFonts w:hint="default" w:ascii="Times New Roman" w:hAnsi="Times New Roman" w:eastAsia="宋体" w:cs="Times New Roman"/>
          <w:b/>
          <w:color w:val="000000" w:themeColor="text1"/>
          <w:sz w:val="21"/>
          <w:szCs w:val="21"/>
          <w14:textFill>
            <w14:solidFill>
              <w14:schemeClr w14:val="tx1"/>
            </w14:solidFill>
          </w14:textFill>
        </w:rPr>
      </w:pPr>
    </w:p>
    <w:p>
      <w:pPr>
        <w:spacing w:after="0" w:afterLines="0" w:line="360" w:lineRule="auto"/>
        <w:outlineLvl w:val="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表四</w:t>
      </w:r>
    </w:p>
    <w:tbl>
      <w:tblPr>
        <w:tblStyle w:val="20"/>
        <w:tblW w:w="852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5" w:hRule="atLeast"/>
        </w:trPr>
        <w:tc>
          <w:tcPr>
            <w:tcW w:w="8520" w:type="dxa"/>
          </w:tcPr>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建设项目环境影响报告表主要结论及审批部门审批决定：</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建设项目环境影响报告表主要结论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jc w:val="both"/>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14:textFill>
                  <w14:solidFill>
                    <w14:schemeClr w14:val="tx1"/>
                  </w14:solidFill>
                </w14:textFill>
              </w:rPr>
              <w:t>.1项目概况</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福建万宏置业有限公司位于云霄县金霞路东北侧自来水厂南侧，总投资10000万元。项目占地面积11031.67m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、建筑面积31090.38m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1.2主要环境问题</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项目主要环境问题：施工期和运营期的废水、废气、噪声、固废对周边环境的影响，以及外界交通噪声对本项目的影响。</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rPr>
              <w:t>水环境影响结论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环境保护目标</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纳污水域漳江虎头潭至南北江水闸河段水质符合《地表水环境质量标准》(GB3838-2002)中Ⅲ类标准。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水环境现状</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云霄火田（国道324线）至和平乡公路建设工程项目环境影响报告书》中对漳江虎头潭至南北江水闸河段水质的监测数据表明，漳江虎头潭至南北江水闸河段各断面的水质监测因子的监测值均可符合《地表水环境质量标准》（GB3838-2002)中Ⅲ类标准，漳江虎头潭至南北江水闸河段水域水环境质量现状良好。</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水环境影响分析结论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施工期：施工期不排放施工废水，生活污水由租赁房现有排水系统处理排放，对环境影响小，不影响水环境达功能区标准。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运营期：项目废水排放量为166m/d，经化粪池处理达《污水综合排放标准》（GB8979-1996）表4中的三级排放标准后排入云霄县城区污水处理厂，经污水厂进一步处理达《城镇污水处理厂污染物排放标准》（GB18918-2002)表1一级标准B标准后排入漳江虎头潭至南北江水闸河段，基本不会改变漳江虎头潭至南北江水闸河段水质现状，不影响水环境达功能区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主要环保措施</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施工期：使用商品混凝土；施工清洗废水经隔油十沉淀十回用，不排放；施工人员租住在附近的租赁房中，生活污水由租赁房现有排水系统处理排放。运营期：三级化类池十污水管网十污水处理厂处理。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1.4</w:t>
            </w:r>
            <w:r>
              <w:rPr>
                <w:rFonts w:hint="default" w:ascii="Times New Roman" w:hAnsi="Times New Roman" w:eastAsia="宋体" w:cs="Times New Roman"/>
                <w:sz w:val="24"/>
                <w:szCs w:val="24"/>
              </w:rPr>
              <w:t>大气环境影响结论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环境空气保护目标</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项目区域的大气环境质量符合《环境空气质量标准》（GB5095196）的二级标准。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环境空气质量现状</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云宵火田（国道324线)至和平乡公路建设工程项目环境影响报告书》中对世扳村环境空气质量的监测数据表明：项目区域环境空气质量符合《环境空气质量标准》（GB3095-1996）中的二级标准，评价区域环境空气质量良好。</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环境空气影响分析结论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施工期：施工期大气影响主要来自施工扬尘的影响，影响范围一般在下风向150m之内。项目周边敏感点较多且近，由于施工期的影响随着施工结束而消失，其影响是暂时的，对周边环境的影响是可以接受的。</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运营期：项目运营期废气污染物排放量少，对环境空气影响小，环境空气达功能区</w:t>
            </w:r>
            <w:r>
              <w:rPr>
                <w:rFonts w:hint="default" w:ascii="Times New Roman" w:hAnsi="Times New Roman" w:eastAsia="宋体" w:cs="Times New Roman"/>
                <w:sz w:val="24"/>
                <w:szCs w:val="24"/>
                <w:lang w:val="en-US" w:eastAsia="zh-CN"/>
              </w:rPr>
              <w:t>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主要环保措施</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施工期：产尘点喷雾洒水，粉状料场应遮盖，施工现场建围栏，加强管理等。</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运营期：厨房油烟经抽油烟机处理后，经竖向专用烟道引出各住宅楼屋顶集中排放；地下停车场装机械排风系统；加强小区外围的绿化；垃圾桶均加盖，且每天由环卫部门及时收集外运。</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声环境影响结论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声环境保护目标</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项目区域声环境达《声环境质量标准》（GB3096-2008)相应功能区标准(2、4a类)。</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（2）声环境质量现状</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根据现场勘查，项目所在区域声环境质量良好，所处区域环境噪声现状符合《声环境质量标准》（GB3096-2008）2类区标准。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（3）声环境影响分析结论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施工期：项目施工将对周边产生一定的影响，但是施工噪声的影响随着施工结束而消失，对周边环境的影响是可以接受的。</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运营期：项目噪声经有效降噪后对周围住户的影响较小。</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主要环保措施</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施工期：，施工中选用低噪声设备：合理安放机械设备，其基础均应作减振处理：被间、午体否施工，若需连续施工的，应经审批并公告“高要产设备销开使用，理经高噪声设备同时作业。</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运营期，设备</w:t>
            </w:r>
            <w:r>
              <w:rPr>
                <w:rFonts w:hint="default" w:ascii="Times New Roman" w:hAnsi="Times New Roman" w:eastAsia="宋体" w:cs="Times New Roman"/>
                <w:sz w:val="24"/>
                <w:szCs w:val="24"/>
                <w:lang w:val="en-US" w:eastAsia="zh-CN"/>
              </w:rPr>
              <w:t>减振</w:t>
            </w:r>
            <w:r>
              <w:rPr>
                <w:rFonts w:hint="default" w:ascii="Times New Roman" w:hAnsi="Times New Roman" w:eastAsia="宋体" w:cs="Times New Roman"/>
                <w:sz w:val="24"/>
                <w:szCs w:val="24"/>
              </w:rPr>
              <w:t>，设备房隔声，</w:t>
            </w:r>
            <w:r>
              <w:rPr>
                <w:rFonts w:hint="default" w:ascii="Times New Roman" w:hAnsi="Times New Roman" w:eastAsia="宋体" w:cs="Times New Roman"/>
                <w:sz w:val="24"/>
                <w:szCs w:val="24"/>
                <w:lang w:val="en-US" w:eastAsia="zh-CN"/>
              </w:rPr>
              <w:t>风</w:t>
            </w:r>
            <w:r>
              <w:rPr>
                <w:rFonts w:hint="default" w:ascii="Times New Roman" w:hAnsi="Times New Roman" w:eastAsia="宋体" w:cs="Times New Roman"/>
                <w:sz w:val="24"/>
                <w:szCs w:val="24"/>
              </w:rPr>
              <w:t>机消声；对店面的经营活动加以</w:t>
            </w:r>
            <w:r>
              <w:rPr>
                <w:rFonts w:hint="default" w:ascii="Times New Roman" w:hAnsi="Times New Roman" w:eastAsia="宋体" w:cs="Times New Roman"/>
                <w:sz w:val="24"/>
                <w:szCs w:val="24"/>
                <w:lang w:val="en-US" w:eastAsia="zh-CN"/>
              </w:rPr>
              <w:t>限制</w:t>
            </w:r>
            <w:r>
              <w:rPr>
                <w:rFonts w:hint="default" w:ascii="Times New Roman" w:hAnsi="Times New Roman" w:eastAsia="宋体" w:cs="Times New Roman"/>
                <w:sz w:val="24"/>
                <w:szCs w:val="24"/>
              </w:rPr>
              <w:t>，对</w:t>
            </w:r>
            <w:r>
              <w:rPr>
                <w:rFonts w:hint="default" w:ascii="Times New Roman" w:hAnsi="Times New Roman" w:eastAsia="宋体" w:cs="Times New Roman"/>
                <w:sz w:val="24"/>
                <w:szCs w:val="24"/>
                <w:lang w:val="en-US" w:eastAsia="zh-CN"/>
              </w:rPr>
              <w:t>经营行业进行规范</w:t>
            </w:r>
            <w:r>
              <w:rPr>
                <w:rFonts w:hint="default" w:ascii="Times New Roman" w:hAnsi="Times New Roman" w:eastAsia="宋体" w:cs="Times New Roman"/>
                <w:sz w:val="24"/>
                <w:szCs w:val="24"/>
              </w:rPr>
              <w:t>：进出的小区车辆</w:t>
            </w:r>
            <w:r>
              <w:rPr>
                <w:rFonts w:hint="default" w:ascii="Times New Roman" w:hAnsi="Times New Roman" w:eastAsia="宋体" w:cs="Times New Roman"/>
                <w:sz w:val="24"/>
                <w:szCs w:val="24"/>
                <w:lang w:val="en-US" w:eastAsia="zh-CN"/>
              </w:rPr>
              <w:t>减速</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禁鸣</w:t>
            </w:r>
            <w:r>
              <w:rPr>
                <w:rFonts w:hint="default" w:ascii="Times New Roman" w:hAnsi="Times New Roman" w:eastAsia="宋体" w:cs="Times New Roman"/>
                <w:sz w:val="24"/>
                <w:szCs w:val="24"/>
              </w:rPr>
              <w:t>：合理安排房间的使用</w:t>
            </w:r>
            <w:r>
              <w:rPr>
                <w:rFonts w:hint="default" w:ascii="Times New Roman" w:hAnsi="Times New Roman" w:eastAsia="宋体" w:cs="Times New Roman"/>
                <w:sz w:val="24"/>
                <w:szCs w:val="24"/>
                <w:lang w:val="en-US" w:eastAsia="zh-CN"/>
              </w:rPr>
              <w:t>功能</w:t>
            </w:r>
            <w:r>
              <w:rPr>
                <w:rFonts w:hint="default" w:ascii="Times New Roman" w:hAnsi="Times New Roman" w:eastAsia="宋体" w:cs="Times New Roman"/>
                <w:sz w:val="24"/>
                <w:szCs w:val="24"/>
              </w:rPr>
              <w:t>，项目临</w:t>
            </w:r>
            <w:r>
              <w:rPr>
                <w:rFonts w:hint="default" w:ascii="Times New Roman" w:hAnsi="Times New Roman" w:eastAsia="宋体" w:cs="Times New Roman"/>
                <w:sz w:val="24"/>
                <w:szCs w:val="24"/>
                <w:lang w:val="en-US" w:eastAsia="zh-CN"/>
              </w:rPr>
              <w:t>规划</w:t>
            </w:r>
            <w:r>
              <w:rPr>
                <w:rFonts w:hint="default" w:ascii="Times New Roman" w:hAnsi="Times New Roman" w:eastAsia="宋体" w:cs="Times New Roman"/>
                <w:sz w:val="24"/>
                <w:szCs w:val="24"/>
              </w:rPr>
              <w:t>路</w:t>
            </w:r>
            <w:r>
              <w:rPr>
                <w:rFonts w:hint="default" w:ascii="Times New Roman" w:hAnsi="Times New Roman" w:eastAsia="宋体" w:cs="Times New Roman"/>
                <w:sz w:val="24"/>
                <w:szCs w:val="24"/>
                <w:lang w:val="en-US" w:eastAsia="zh-CN"/>
              </w:rPr>
              <w:t>一侧选用吸声</w:t>
            </w:r>
            <w:r>
              <w:rPr>
                <w:rFonts w:hint="default" w:ascii="Times New Roman" w:hAnsi="Times New Roman" w:eastAsia="宋体" w:cs="Times New Roman"/>
                <w:sz w:val="24"/>
                <w:szCs w:val="24"/>
              </w:rPr>
              <w:t>、隔声的建筑材料或采用隔声窗</w:t>
            </w:r>
            <w:r>
              <w:rPr>
                <w:rFonts w:hint="default" w:ascii="Times New Roman" w:hAnsi="Times New Roman" w:eastAsia="宋体" w:cs="Times New Roman"/>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固体废物影响结论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影响分析结论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建设及运行过程中，通过加强环境管理，注意固体废物的收集，使固体废物能得到及时、妥善的处理和处置。固废经采取有效措施，不排放，不会对环境造成不</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主要环保措施</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施工时土石方、建筑垃圾应在现场及时利用，不得在随意倾倒；生活垃圾应及时收集，清运出场处置。住户二次装修垃圾中废涂料桶属危险固废应集中收集后委托有资质的危废处置单位处理，其它固废集中收集后，可回收部分进行回收利用，不可回收部分可委托环卫部门及时清运。</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运营期：生活垃圾经集中收集后，由环卫部门于每日清晨统一运往垃圾填埋场进行无害化处理。对物业、商业垃圾进行分类收集，回收其中有价值的材料重新加工利用，其余部分应分类袋装，由环卫部门及时清运。</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水土流失影响结论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影响分析结论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项目建设扰动地表面积8418.19m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，损坏水土保持设施面积8418.19m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，总开挖量4438m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，总回填量538m，临时弃土90m，外借表土900m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工程预测时段内因开挖扰动而可能产生的水土流失量为147.501，其中施工准备期水土流失量为2.791，施工期水土流失量为142.61t，自然恢复期水土流失量为2.101。工程新增水士流失量140.194，原地貌水土流失量为7.31t。在项目建设生产过程中如不采取有效的综合防治措施，不仅影响工程进度，而且会加剧项目区土壤侵蚀，造成水士流失危害。</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（2）主要环保措施</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不同水土流失防治区的特点和水土流失状况，确定各区的防治重点和措施配置。措施配置中，以工程措施控制大面积、商强度水土流失，为植物措施与植被恢复的实创造条件：同时以植物措施、临时防治措施与工程措施配套，提高水土保持效果、节省工程投资、改善生态环境。</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产业政策分析结论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本项目为房地产开发项目，对照《产业结构调整指导目录》（2013年2月修正本)，项目不属于限制、淘汰类，项目经云霄县发展改革局闽发改备[2013]E08049号备案，符合云霄县发展要求，符合产业政策。</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选址合理性分析结论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万宏国际”建设项目位于云霄县金霞路东北侧自来水厂南侧，该项目用地属商业居住用地（B1R2)，符合当地建设规划要求；符合环境功能区划要求；项目建设各污染物经治理达标后排放，不会对周边环境产生不良影响，与周边环境相容，同时建设处交通、供电、供水和生活条件方便，因此项目的选址合理可行。</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总量控制符合性结论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项目生活污水排入云霄县城区污水处理厂，COD、氨氮排放总量由云霄县城区污水厂统一支配，本项目不需要再申请污染物排放总量，符合总量控制的要求。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达标排放可行性结论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项目废气、废水、噪声及固体废物经采取有效的污染防治措施，各污染物均可实现达标排放。</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2、审批部门审批决定</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县级环境保护行政主管部门审批（审查）意见：</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经审查，福建万宏置业有限公司“万宏国际”建设项目符合国家当前产业政策，项目选址于云霄县金霞路东北侧自来水厂南侧，基本合理。根据环评报告表评价结论，在福建万宏置业有限公司按照环评提出的污染防治措施，切实做好环境保护工作，达到预定环境质量目标的前提下，从环保角度，同意福建万宏置业有限公司按其报送的环境影响报告表所述性质、地点、规模、环境保护对策措施进行项目建设，建设规模为：规划总占地面积11031.67平方米，建筑面积为31090.38平方米，总投资10000万元，环保投资422.58万元。同时要求建设单位应重点做好：</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一、制定施工期环境保护方案，文明施工，减缓施工期对周围环境的不利影响。</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1、严格执行水土保持“三同时”制度，开展水土保持工作，采取排水、导流措施、雨季施工措施、生物措施等水土保护措施，有效防止水土流失。</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2、合理安排施工时间，采取工程避让、选用高效低噪施工设备等措施，减少施工噪声对周围环境的影响。施工噪声严格执行GB12523-2011《建筑施工场界环境噪声排放标准》。</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3、施工场地应采取隔离、洒水、围档、遮盖等防尘措施，加强施工机械维修保养和施工运输车辆管理，有效防止施工扬尘入施工机械废气的污染。废气排放执行GB16297-1996《大气污染物综合排放标准》表2无组织排放监控浓度限值。</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4、规范管理，施工期间产生废水应采取收集回用和减污处理措施，尽量避开雨天施工，废弃渣土应尽快处理，防止因雨水冲刷淋溶而将大量含泥污水带入水体。</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5、施工固废应集中收集、分类处理、综合利用、及时清运，避免产生二次污染。</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二、按照运行期环境管理与监测计划，落实报告表中各项污染防治措施，推行清洁生产，控制主要污染物排放总量，做好项目运营期的各项环境保护工作。</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1、项目必须按规定做好排污口的规范化建设。项目生活污水应采取有效措施处理达GB8978-1996《污水综合排放标准》表4三级标准后经规范化排污口排入市政污水管网进入云霄县污水处理厂统一处理。</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居民厨房油烟经采用油烟净化器净化处理达标后排入专用油烟管道于屋顶高空排放；配备机械排风、排烟系统，有效防止发电机废气污染，地下车库的排放口应置于绿化带，且应高于地面2.5m以上并避开周围敏感建筑物；餐饮业油烟经采用油烟净化器净化处理达标后排入专用油烟管道于屋顶高空排放，（油烟)废气排放执行GB18483一2001《饮食业油烟排放标准（试行）》表2有关标准。</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3、加强绿化，合理布局，采取有效的减振、降噪、隔声等措施来治理噪声污染，确保项目所在区域声环境满足GB3096一2008《声环境质量标准》2类、4a类标准。项目居住区边界噪声执行GB12348-2008《工业企业厂界环境噪声排放标准》2、4类标准。规范商业活动，商业社会生活噪声执行GB22337-2008《社会生活环境噪声排放标准》2、4类标准。</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4、妥善处理固废，实施新区内环境卫生的统一管理。设置固废收集点，生活垃圾分类收集，及时由环卫部门统一清运处置。</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三、建设单位应建立有效的环境风险防范与应急管理体系，制定突发环境事件应急预案，认真落实环境风险防范和应急措施，杜绝燃气泄漏、火灾、地下室通风不畅、雨水排涝失常等环境风险事故的发生，有效防范环境风险。</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四、项目竣工后投入试运行3个月内，建设单位须依法向我局申请试运行和项目竣工环境保护验收，验收合格后，方可正式投入运行。如项目的性质、规模、地点、采用的防治污染的措施发生重大变动，建设单位须报我局重新审批。</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3、环境影响报告表及批复意见落实情况调查</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表4-1 环境影响报告表批复意见落实一览表</w:t>
            </w:r>
          </w:p>
          <w:tbl>
            <w:tblPr>
              <w:tblStyle w:val="20"/>
              <w:tblW w:w="830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4744"/>
              <w:gridCol w:w="31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29"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序号</w:t>
                  </w:r>
                </w:p>
              </w:tc>
              <w:tc>
                <w:tcPr>
                  <w:tcW w:w="4744"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批复情况</w:t>
                  </w:r>
                </w:p>
              </w:tc>
              <w:tc>
                <w:tcPr>
                  <w:tcW w:w="3136"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实际执行情况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429"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474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eastAsia="宋体" w:cs="Times New Roman"/>
                      <w:color w:val="000000" w:themeColor="text1"/>
                      <w:sz w:val="21"/>
                      <w:szCs w:val="21"/>
                      <w:lang w:eastAsia="zh-CN"/>
                      <w14:textFill>
                        <w14:solidFill>
                          <w14:schemeClr w14:val="tx1"/>
                        </w14:solidFill>
                      </w14:textFill>
                    </w:rPr>
                    <w:t>项目必须按规定做好排污口的规范化建设。项目生活污水应采取有效措施处理达GB8978-1996《污水综合排放标准》表4三级标准后经规范化排污口排入市政污水管网进入云霄县污水处理厂统一处理</w:t>
                  </w:r>
                </w:p>
              </w:tc>
              <w:tc>
                <w:tcPr>
                  <w:tcW w:w="3136"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项目仅产生生活污水，生活污水经化粪池处理后通过市政污水管网纳入云霄县城区污水处理厂处理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429"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47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0" w:firstLineChars="0"/>
                    <w:jc w:val="left"/>
                    <w:textAlignment w:val="auto"/>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eastAsia="宋体" w:cs="Times New Roman"/>
                      <w:color w:val="000000" w:themeColor="text1"/>
                      <w:sz w:val="21"/>
                      <w:szCs w:val="21"/>
                      <w:lang w:eastAsia="zh-CN"/>
                      <w14:textFill>
                        <w14:solidFill>
                          <w14:schemeClr w14:val="tx1"/>
                        </w14:solidFill>
                      </w14:textFill>
                    </w:rPr>
                    <w:t>居民厨房油烟经采用油烟净化器净化处理达标后排入专用油烟管道于屋顶高空排放；配备机械排风、排烟系统，有效防止发电机废气污染，地下车库的排放口应置于绿化带，且应高于地面2.5m以上并避开周围敏感建筑物；餐饮业油烟经采用油烟净化器净化处理达标后排入专用油烟管道于屋顶高空排放，（油烟)废气排放执行GB18483一2001《饮食业油烟排放标准（试行）》表2有关标准</w:t>
                  </w:r>
                </w:p>
              </w:tc>
              <w:tc>
                <w:tcPr>
                  <w:tcW w:w="31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SA"/>
                    </w:rPr>
                    <w:t>厨房油烟经抽油烟机处理后，经竖向专用烟道引出各住宅楼屋顶集中排放；地下停车场装机械排风系统；加强小区外围的绿化；垃圾桶均加盖，且每天由环卫部门及时收集外运；本项目商业店面未预留的油烟排气管道，且商业店面不引入饮食行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29"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c>
                <w:tcPr>
                  <w:tcW w:w="474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00" w:themeColor="text1"/>
                      <w:sz w:val="21"/>
                      <w:szCs w:val="21"/>
                      <w:lang w:eastAsia="zh-CN"/>
                      <w14:textFill>
                        <w14:solidFill>
                          <w14:schemeClr w14:val="tx1"/>
                        </w14:solidFill>
                      </w14:textFill>
                    </w:rPr>
                    <w:t>加强绿化，合理布局，采取有效的减振、降噪、隔声等措施来治理噪声污染，确保项目所在区域声环境满足GB3096一2008《声环境质量标准》2类、4a类标准。项目居住区边界噪声执行GB12348-2008《工业企业厂界环境噪声排放标准》2、4类标准。规范商业活动，商业社会生活噪声执行GB22337-2008《社会生活环境噪声排放标准》2、4类标准</w:t>
                  </w:r>
                </w:p>
              </w:tc>
              <w:tc>
                <w:tcPr>
                  <w:tcW w:w="31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SA"/>
                    </w:rPr>
                    <w:t>设备减振，设备房隔声，风机消声；对店面的经营活动加以限制，对经营行业进行规范：进出的小区车辆减速、禁鸣：合理安排房间的使用功能，项目临规划路一侧选用吸声、隔声的建筑材料或采用隔声窗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29"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w:t>
                  </w:r>
                </w:p>
              </w:tc>
              <w:tc>
                <w:tcPr>
                  <w:tcW w:w="474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妥善处理固废，实施新区内环境卫生的统一管理。设置固废收集点，生活垃圾分类收集，及时由环卫部门统一清运处置</w:t>
                  </w:r>
                </w:p>
              </w:tc>
              <w:tc>
                <w:tcPr>
                  <w:tcW w:w="31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SA"/>
                    </w:rPr>
                    <w:t>生活垃圾经集中收集后，由环卫部门于每日清晨统一运往垃圾填埋场进行无害化处理。对物业、商业垃圾进行分类收集，回收其中有价值的材料重新加工利用，其余部分应分类袋装，由环卫部门及时清运</w:t>
                  </w:r>
                </w:p>
              </w:tc>
            </w:tr>
          </w:tbl>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outlineLvl w:val="9"/>
              <w:rPr>
                <w:rFonts w:hint="default" w:ascii="Times New Roman" w:hAnsi="Times New Roman" w:eastAsia="宋体" w:cs="Times New Roman"/>
                <w:color w:val="0000FF"/>
                <w:lang w:val="en-US" w:eastAsia="zh-CN"/>
              </w:rPr>
            </w:pPr>
          </w:p>
        </w:tc>
      </w:tr>
    </w:tbl>
    <w:p>
      <w:pPr>
        <w:spacing w:line="360" w:lineRule="auto"/>
        <w:rPr>
          <w:rFonts w:hint="default" w:ascii="Times New Roman" w:hAnsi="Times New Roman" w:eastAsia="宋体" w:cs="Times New Roman"/>
          <w:color w:val="0000FF"/>
          <w:sz w:val="21"/>
          <w:szCs w:val="21"/>
        </w:rPr>
        <w:sectPr>
          <w:footerReference r:id="rId6"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outlineLvl w:val="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表五</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2" w:hRule="atLeast"/>
        </w:trPr>
        <w:tc>
          <w:tcPr>
            <w:tcW w:w="8522" w:type="dxa"/>
          </w:tcPr>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验收监测质量保证及质量控制：</w:t>
            </w:r>
          </w:p>
          <w:p>
            <w:pPr>
              <w:pStyle w:val="17"/>
              <w:keepNext w:val="0"/>
              <w:keepLines w:val="0"/>
              <w:pageBreakBefore w:val="0"/>
              <w:widowControl/>
              <w:kinsoku/>
              <w:wordWrap/>
              <w:overflowPunct/>
              <w:topLinePunct w:val="0"/>
              <w:autoSpaceDE/>
              <w:autoSpaceDN/>
              <w:bidi w:val="0"/>
              <w:adjustRightInd/>
              <w:snapToGrid/>
              <w:spacing w:before="0" w:beforeAutospacing="0" w:after="0" w:afterLines="0" w:afterAutospacing="0" w:line="360" w:lineRule="auto"/>
              <w:ind w:left="0" w:leftChars="0" w:right="0" w:rightChars="0" w:firstLine="0" w:firstLineChars="0"/>
              <w:jc w:val="left"/>
              <w:textAlignment w:val="auto"/>
              <w:outlineLvl w:val="0"/>
              <w:rPr>
                <w:rFonts w:hint="default" w:ascii="Times New Roman" w:hAnsi="Times New Roman" w:eastAsia="宋体" w:cs="Times New Roman"/>
                <w:b/>
                <w:sz w:val="24"/>
                <w:szCs w:val="24"/>
              </w:rPr>
            </w:pPr>
            <w:bookmarkStart w:id="0" w:name="_Toc25130"/>
            <w:r>
              <w:rPr>
                <w:rFonts w:hint="default"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质量保证及质量控制</w:t>
            </w:r>
            <w:bookmarkEnd w:id="0"/>
          </w:p>
          <w:p>
            <w:pPr>
              <w:keepNext w:val="0"/>
              <w:keepLines w:val="0"/>
              <w:pageBreakBefore w:val="0"/>
              <w:widowControl w:val="0"/>
              <w:kinsoku/>
              <w:wordWrap/>
              <w:overflowPunct/>
              <w:topLinePunct w:val="0"/>
              <w:autoSpaceDE/>
              <w:autoSpaceDN/>
              <w:bidi w:val="0"/>
              <w:spacing w:after="0" w:afterLines="0" w:line="360" w:lineRule="auto"/>
              <w:ind w:firstLine="0" w:firstLineChars="0"/>
              <w:jc w:val="left"/>
              <w:rPr>
                <w:rFonts w:hint="default" w:ascii="Times New Roman" w:hAnsi="Times New Roman" w:eastAsia="宋体" w:cs="Times New Roman"/>
                <w:b/>
                <w:sz w:val="24"/>
                <w:szCs w:val="24"/>
              </w:rPr>
            </w:pP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厦门</w:t>
            </w:r>
            <w:r>
              <w:rPr>
                <w:rFonts w:hint="default" w:ascii="Times New Roman" w:hAnsi="Times New Roman" w:eastAsia="宋体" w:cs="Times New Roman"/>
                <w:sz w:val="24"/>
                <w:szCs w:val="24"/>
                <w:lang w:eastAsia="zh-CN"/>
              </w:rPr>
              <w:t>科仪检测</w:t>
            </w:r>
            <w:r>
              <w:rPr>
                <w:rFonts w:hint="default" w:ascii="Times New Roman" w:hAnsi="Times New Roman" w:eastAsia="宋体" w:cs="Times New Roman"/>
                <w:sz w:val="24"/>
                <w:szCs w:val="24"/>
              </w:rPr>
              <w:t>技术有限公司已通过省级计量认证</w:t>
            </w:r>
            <w:r>
              <w:rPr>
                <w:rFonts w:hint="default" w:ascii="Times New Roman" w:hAnsi="Times New Roman" w:eastAsia="宋体" w:cs="Times New Roman"/>
                <w:sz w:val="24"/>
                <w:szCs w:val="24"/>
                <w:lang w:eastAsia="zh-CN"/>
              </w:rPr>
              <w:t>（资质认定证书编号：</w:t>
            </w:r>
            <w:r>
              <w:rPr>
                <w:rFonts w:hint="default" w:ascii="Times New Roman" w:hAnsi="Times New Roman" w:eastAsia="宋体" w:cs="Times New Roman"/>
                <w:sz w:val="24"/>
                <w:szCs w:val="24"/>
                <w:lang w:val="en-US" w:eastAsia="zh-CN"/>
              </w:rPr>
              <w:t>151312052004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。为保证验收监测的准确可靠，所有参加监测的技术人员均按国家规定持证上岗。所有采样记录和分析测试结果，按规定和要求进行三级审核。监测期间的样品采样、运输和保存均按照</w:t>
            </w:r>
            <w:r>
              <w:rPr>
                <w:rFonts w:hint="default" w:ascii="Times New Roman" w:hAnsi="Times New Roman" w:eastAsia="宋体" w:cs="Times New Roman"/>
                <w:sz w:val="24"/>
                <w:szCs w:val="24"/>
                <w:lang w:eastAsia="zh-CN"/>
              </w:rPr>
              <w:t>国家相关</w:t>
            </w:r>
            <w:r>
              <w:rPr>
                <w:rFonts w:hint="default" w:ascii="Times New Roman" w:hAnsi="Times New Roman" w:eastAsia="宋体" w:cs="Times New Roman"/>
                <w:sz w:val="24"/>
                <w:szCs w:val="24"/>
              </w:rPr>
              <w:t>规定进行，</w:t>
            </w:r>
            <w:r>
              <w:rPr>
                <w:rFonts w:hint="default" w:ascii="Times New Roman" w:hAnsi="Times New Roman" w:eastAsia="宋体" w:cs="Times New Roman"/>
                <w:sz w:val="24"/>
                <w:szCs w:val="24"/>
                <w:lang w:eastAsia="zh-CN"/>
              </w:rPr>
              <w:t>采样及</w:t>
            </w:r>
            <w:r>
              <w:rPr>
                <w:rFonts w:hint="default" w:ascii="Times New Roman" w:hAnsi="Times New Roman" w:eastAsia="宋体" w:cs="Times New Roman"/>
                <w:sz w:val="24"/>
                <w:szCs w:val="24"/>
              </w:rPr>
              <w:t>分析方法</w:t>
            </w:r>
            <w:r>
              <w:rPr>
                <w:rFonts w:hint="default" w:ascii="Times New Roman" w:hAnsi="Times New Roman" w:eastAsia="宋体" w:cs="Times New Roman"/>
                <w:sz w:val="24"/>
                <w:szCs w:val="24"/>
                <w:lang w:eastAsia="zh-CN"/>
              </w:rPr>
              <w:t>均</w:t>
            </w:r>
            <w:r>
              <w:rPr>
                <w:rFonts w:hint="default" w:ascii="Times New Roman" w:hAnsi="Times New Roman" w:eastAsia="宋体" w:cs="Times New Roman"/>
                <w:sz w:val="24"/>
                <w:szCs w:val="24"/>
              </w:rPr>
              <w:t>采用</w:t>
            </w:r>
            <w:r>
              <w:rPr>
                <w:rFonts w:hint="default" w:ascii="Times New Roman" w:hAnsi="Times New Roman" w:eastAsia="宋体" w:cs="Times New Roman"/>
                <w:sz w:val="24"/>
                <w:szCs w:val="24"/>
                <w:lang w:eastAsia="zh-CN"/>
              </w:rPr>
              <w:t>国家</w:t>
            </w:r>
            <w:r>
              <w:rPr>
                <w:rFonts w:hint="default" w:ascii="Times New Roman" w:hAnsi="Times New Roman" w:eastAsia="宋体" w:cs="Times New Roman"/>
                <w:sz w:val="24"/>
                <w:szCs w:val="24"/>
              </w:rPr>
              <w:t>标准方法。参加监测的技术人员均按国家规定，使用经计量部门检定合格并在有效使用期内的仪器等。</w:t>
            </w:r>
            <w:r>
              <w:rPr>
                <w:rFonts w:hint="default" w:ascii="Times New Roman" w:hAnsi="Times New Roman" w:eastAsia="宋体" w:cs="Times New Roman"/>
                <w:sz w:val="24"/>
                <w:szCs w:val="24"/>
                <w:lang w:eastAsia="zh-CN"/>
              </w:rPr>
              <w:t>同时建设单位设置有符合国家相关标准规定的规范化采样口。</w:t>
            </w:r>
          </w:p>
          <w:p>
            <w:pPr>
              <w:pStyle w:val="17"/>
              <w:keepNext w:val="0"/>
              <w:keepLines w:val="0"/>
              <w:pageBreakBefore w:val="0"/>
              <w:kinsoku/>
              <w:wordWrap/>
              <w:overflowPunct/>
              <w:topLinePunct w:val="0"/>
              <w:autoSpaceDE/>
              <w:autoSpaceDN/>
              <w:bidi w:val="0"/>
              <w:spacing w:before="0" w:beforeAutospacing="0" w:after="0" w:afterLines="0" w:afterAutospacing="0" w:line="360" w:lineRule="auto"/>
              <w:ind w:firstLine="0" w:firstLineChars="0"/>
              <w:outlineLvl w:val="1"/>
              <w:rPr>
                <w:rFonts w:hint="default" w:ascii="Times New Roman" w:hAnsi="Times New Roman" w:eastAsia="宋体" w:cs="Times New Roman"/>
                <w:b/>
                <w:sz w:val="24"/>
                <w:szCs w:val="24"/>
              </w:rPr>
            </w:pPr>
            <w:bookmarkStart w:id="1" w:name="_Toc30719"/>
            <w:r>
              <w:rPr>
                <w:rFonts w:hint="default"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监测分析方法</w:t>
            </w:r>
            <w:bookmarkEnd w:id="1"/>
          </w:p>
          <w:p>
            <w:pPr>
              <w:pStyle w:val="17"/>
              <w:keepNext w:val="0"/>
              <w:keepLines w:val="0"/>
              <w:pageBreakBefore w:val="0"/>
              <w:kinsoku/>
              <w:wordWrap/>
              <w:overflowPunct/>
              <w:topLinePunct w:val="0"/>
              <w:autoSpaceDE/>
              <w:autoSpaceDN/>
              <w:bidi w:val="0"/>
              <w:spacing w:before="0" w:beforeAutospacing="0" w:after="0" w:afterLines="0" w:afterAutospacing="0" w:line="360" w:lineRule="auto"/>
              <w:ind w:firstLine="480" w:firstLineChars="200"/>
              <w:jc w:val="left"/>
              <w:rPr>
                <w:rFonts w:hint="default" w:ascii="Times New Roman" w:hAnsi="Times New Roman" w:eastAsia="宋体" w:cs="Times New Roman"/>
                <w:b/>
                <w:sz w:val="24"/>
                <w:szCs w:val="24"/>
                <w:lang w:eastAsia="zh-CN"/>
              </w:rPr>
            </w:pPr>
            <w:r>
              <w:rPr>
                <w:rFonts w:hint="default" w:ascii="Times New Roman" w:hAnsi="Times New Roman" w:eastAsia="宋体" w:cs="Times New Roman"/>
                <w:b w:val="0"/>
                <w:bCs/>
                <w:sz w:val="24"/>
                <w:szCs w:val="24"/>
                <w:lang w:eastAsia="zh-CN"/>
              </w:rPr>
              <w:t>本次验收监测所用的监测分析方法及最低检出限见表</w:t>
            </w:r>
            <w:r>
              <w:rPr>
                <w:rFonts w:hint="default" w:ascii="Times New Roman" w:hAnsi="Times New Roman" w:eastAsia="宋体" w:cs="Times New Roman"/>
                <w:b w:val="0"/>
                <w:bCs/>
                <w:sz w:val="24"/>
                <w:szCs w:val="24"/>
                <w:lang w:val="en-US" w:eastAsia="zh-CN"/>
              </w:rPr>
              <w:t>8-1。</w:t>
            </w:r>
          </w:p>
          <w:p>
            <w:pPr>
              <w:pStyle w:val="17"/>
              <w:keepNext w:val="0"/>
              <w:keepLines w:val="0"/>
              <w:pageBreakBefore w:val="0"/>
              <w:kinsoku/>
              <w:wordWrap/>
              <w:overflowPunct/>
              <w:topLinePunct w:val="0"/>
              <w:autoSpaceDE/>
              <w:autoSpaceDN/>
              <w:bidi w:val="0"/>
              <w:spacing w:before="0" w:beforeAutospacing="0" w:after="0" w:afterLines="0" w:afterAutospacing="0" w:line="36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表</w:t>
            </w:r>
            <w:r>
              <w:rPr>
                <w:rFonts w:hint="default" w:ascii="Times New Roman" w:hAnsi="Times New Roman" w:eastAsia="宋体" w:cs="Times New Roman"/>
                <w:b/>
                <w:color w:val="auto"/>
                <w:sz w:val="21"/>
                <w:szCs w:val="21"/>
                <w:lang w:val="en-US" w:eastAsia="zh-CN"/>
              </w:rPr>
              <w:t>5-1验收</w:t>
            </w:r>
            <w:r>
              <w:rPr>
                <w:rFonts w:hint="default" w:ascii="Times New Roman" w:hAnsi="Times New Roman" w:eastAsia="宋体" w:cs="Times New Roman"/>
                <w:b/>
                <w:color w:val="auto"/>
                <w:sz w:val="21"/>
                <w:szCs w:val="21"/>
              </w:rPr>
              <w:t>监测分析方法</w:t>
            </w:r>
            <w:r>
              <w:rPr>
                <w:rFonts w:hint="default" w:ascii="Times New Roman" w:hAnsi="Times New Roman" w:eastAsia="宋体" w:cs="Times New Roman"/>
                <w:b/>
                <w:color w:val="auto"/>
                <w:sz w:val="21"/>
                <w:szCs w:val="21"/>
                <w:lang w:eastAsia="zh-CN"/>
              </w:rPr>
              <w:t>及最低检出限</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841"/>
              <w:gridCol w:w="1100"/>
              <w:gridCol w:w="1291"/>
              <w:gridCol w:w="3834"/>
              <w:gridCol w:w="1224"/>
              <w:gridCol w:w="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507" w:type="pct"/>
                  <w:tcBorders>
                    <w:right w:val="single" w:color="000000" w:sz="4" w:space="0"/>
                  </w:tcBorders>
                  <w:vAlign w:val="center"/>
                </w:tcPr>
                <w:p>
                  <w:pPr>
                    <w:pStyle w:val="12"/>
                    <w:keepNext w:val="0"/>
                    <w:keepLines w:val="0"/>
                    <w:pageBreakBefore w:val="0"/>
                    <w:kinsoku/>
                    <w:wordWrap/>
                    <w:overflowPunct/>
                    <w:topLinePunct w:val="0"/>
                    <w:autoSpaceDE/>
                    <w:autoSpaceDN/>
                    <w:bidi w:val="0"/>
                    <w:spacing w:after="0" w:afterLines="0"/>
                    <w:ind w:firstLine="0" w:firstLineChars="0"/>
                    <w:jc w:val="center"/>
                    <w:rPr>
                      <w:rFonts w:hint="default" w:ascii="Times New Roman" w:hAnsi="Times New Roman" w:eastAsia="宋体" w:cs="Times New Roman"/>
                      <w:b/>
                      <w:bCs w:val="0"/>
                      <w:color w:val="auto"/>
                      <w:sz w:val="21"/>
                      <w:szCs w:val="21"/>
                      <w:lang w:eastAsia="zh-CN"/>
                    </w:rPr>
                  </w:pPr>
                  <w:bookmarkStart w:id="2" w:name="_Toc8551"/>
                  <w:r>
                    <w:rPr>
                      <w:rFonts w:hint="default" w:ascii="Times New Roman" w:hAnsi="Times New Roman" w:eastAsia="宋体" w:cs="Times New Roman"/>
                      <w:b/>
                      <w:bCs w:val="0"/>
                      <w:color w:val="auto"/>
                      <w:sz w:val="21"/>
                      <w:szCs w:val="21"/>
                      <w:lang w:eastAsia="zh-CN"/>
                    </w:rPr>
                    <w:t>类别</w:t>
                  </w:r>
                </w:p>
              </w:tc>
              <w:tc>
                <w:tcPr>
                  <w:tcW w:w="663" w:type="pct"/>
                  <w:tcBorders>
                    <w:left w:val="single" w:color="000000" w:sz="4" w:space="0"/>
                  </w:tcBorders>
                  <w:vAlign w:val="center"/>
                </w:tcPr>
                <w:p>
                  <w:pPr>
                    <w:pStyle w:val="12"/>
                    <w:keepNext w:val="0"/>
                    <w:keepLines w:val="0"/>
                    <w:pageBreakBefore w:val="0"/>
                    <w:kinsoku/>
                    <w:wordWrap/>
                    <w:overflowPunct/>
                    <w:topLinePunct w:val="0"/>
                    <w:autoSpaceDE/>
                    <w:autoSpaceDN/>
                    <w:bidi w:val="0"/>
                    <w:spacing w:after="0" w:afterLines="0"/>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监测项目</w:t>
                  </w:r>
                </w:p>
              </w:tc>
              <w:tc>
                <w:tcPr>
                  <w:tcW w:w="778" w:type="pct"/>
                  <w:vAlign w:val="center"/>
                </w:tcPr>
                <w:p>
                  <w:pPr>
                    <w:pStyle w:val="12"/>
                    <w:keepNext w:val="0"/>
                    <w:keepLines w:val="0"/>
                    <w:pageBreakBefore w:val="0"/>
                    <w:kinsoku/>
                    <w:wordWrap/>
                    <w:overflowPunct/>
                    <w:topLinePunct w:val="0"/>
                    <w:autoSpaceDE/>
                    <w:autoSpaceDN/>
                    <w:bidi w:val="0"/>
                    <w:spacing w:after="0" w:afterLines="0"/>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分析方法</w:t>
                  </w:r>
                </w:p>
              </w:tc>
              <w:tc>
                <w:tcPr>
                  <w:tcW w:w="2311" w:type="pct"/>
                  <w:vAlign w:val="center"/>
                </w:tcPr>
                <w:p>
                  <w:pPr>
                    <w:pStyle w:val="12"/>
                    <w:keepNext w:val="0"/>
                    <w:keepLines w:val="0"/>
                    <w:pageBreakBefore w:val="0"/>
                    <w:kinsoku/>
                    <w:wordWrap/>
                    <w:overflowPunct/>
                    <w:topLinePunct w:val="0"/>
                    <w:autoSpaceDE/>
                    <w:autoSpaceDN/>
                    <w:bidi w:val="0"/>
                    <w:spacing w:after="0" w:afterLines="0"/>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方法来源</w:t>
                  </w:r>
                </w:p>
              </w:tc>
              <w:tc>
                <w:tcPr>
                  <w:tcW w:w="739" w:type="pct"/>
                  <w:gridSpan w:val="2"/>
                  <w:vAlign w:val="center"/>
                </w:tcPr>
                <w:p>
                  <w:pPr>
                    <w:pStyle w:val="12"/>
                    <w:keepNext w:val="0"/>
                    <w:keepLines w:val="0"/>
                    <w:pageBreakBefore w:val="0"/>
                    <w:kinsoku/>
                    <w:wordWrap/>
                    <w:overflowPunct/>
                    <w:topLinePunct w:val="0"/>
                    <w:autoSpaceDE/>
                    <w:autoSpaceDN/>
                    <w:bidi w:val="0"/>
                    <w:spacing w:after="0" w:afterLines="0"/>
                    <w:ind w:firstLine="0" w:firstLineChars="0"/>
                    <w:jc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检出限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7" w:hRule="atLeast"/>
                <w:jc w:val="center"/>
              </w:trPr>
              <w:tc>
                <w:tcPr>
                  <w:tcW w:w="507" w:type="pct"/>
                  <w:vMerge w:val="restart"/>
                  <w:tcBorders>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after="0" w:afterLines="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废水</w:t>
                  </w:r>
                </w:p>
              </w:tc>
              <w:tc>
                <w:tcPr>
                  <w:tcW w:w="663"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pH</w:t>
                  </w:r>
                </w:p>
              </w:tc>
              <w:tc>
                <w:tcPr>
                  <w:tcW w:w="77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玻璃电极法</w:t>
                  </w:r>
                </w:p>
              </w:tc>
              <w:tc>
                <w:tcPr>
                  <w:tcW w:w="2311" w:type="pct"/>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 xml:space="preserve">水质 pH值的测定 玻璃电极法            </w:t>
                  </w:r>
                </w:p>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GB 6920-1986</w:t>
                  </w:r>
                </w:p>
              </w:tc>
              <w:tc>
                <w:tcPr>
                  <w:tcW w:w="739" w:type="pct"/>
                  <w:gridSpan w:val="2"/>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0.01</w:t>
                  </w:r>
                </w:p>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（无量纲）</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07" w:type="pct"/>
                  <w:vMerge w:val="continue"/>
                  <w:tcBorders>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after="0" w:afterLines="0"/>
                    <w:ind w:firstLine="0" w:firstLineChars="0"/>
                    <w:jc w:val="center"/>
                    <w:rPr>
                      <w:rFonts w:hint="default" w:ascii="Times New Roman" w:hAnsi="Times New Roman" w:eastAsia="宋体" w:cs="Times New Roman"/>
                      <w:bCs/>
                      <w:color w:val="auto"/>
                      <w:kern w:val="2"/>
                      <w:sz w:val="21"/>
                      <w:szCs w:val="21"/>
                      <w:lang w:val="en-US" w:eastAsia="zh-CN" w:bidi="ar-SA"/>
                    </w:rPr>
                  </w:pPr>
                </w:p>
              </w:tc>
              <w:tc>
                <w:tcPr>
                  <w:tcW w:w="663"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COD</w:t>
                  </w:r>
                </w:p>
              </w:tc>
              <w:tc>
                <w:tcPr>
                  <w:tcW w:w="77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重铬酸盐法</w:t>
                  </w:r>
                </w:p>
              </w:tc>
              <w:tc>
                <w:tcPr>
                  <w:tcW w:w="2311" w:type="pct"/>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水质 化学需氧量的测定重铬酸盐法</w:t>
                  </w:r>
                </w:p>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HJ 828-2017</w:t>
                  </w:r>
                </w:p>
              </w:tc>
              <w:tc>
                <w:tcPr>
                  <w:tcW w:w="739" w:type="pct"/>
                  <w:gridSpan w:val="2"/>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4mg/L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07" w:type="pct"/>
                  <w:vMerge w:val="continue"/>
                  <w:tcBorders>
                    <w:right w:val="single" w:color="000000" w:sz="4" w:space="0"/>
                  </w:tcBorders>
                  <w:vAlign w:val="top"/>
                </w:tcPr>
                <w:p>
                  <w:pPr>
                    <w:keepNext w:val="0"/>
                    <w:keepLines w:val="0"/>
                    <w:pageBreakBefore w:val="0"/>
                    <w:kinsoku/>
                    <w:wordWrap/>
                    <w:overflowPunct/>
                    <w:topLinePunct w:val="0"/>
                    <w:autoSpaceDE/>
                    <w:autoSpaceDN/>
                    <w:bidi w:val="0"/>
                    <w:spacing w:after="0" w:afterLines="0"/>
                    <w:ind w:firstLine="0" w:firstLineChars="0"/>
                    <w:jc w:val="center"/>
                    <w:rPr>
                      <w:rFonts w:hint="default" w:ascii="Times New Roman" w:hAnsi="Times New Roman" w:eastAsia="宋体" w:cs="Times New Roman"/>
                      <w:bCs/>
                      <w:color w:val="auto"/>
                      <w:kern w:val="2"/>
                      <w:sz w:val="21"/>
                      <w:szCs w:val="21"/>
                      <w:lang w:val="en-US" w:eastAsia="zh-CN" w:bidi="ar-SA"/>
                    </w:rPr>
                  </w:pPr>
                </w:p>
              </w:tc>
              <w:tc>
                <w:tcPr>
                  <w:tcW w:w="66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BOD5</w:t>
                  </w:r>
                </w:p>
              </w:tc>
              <w:tc>
                <w:tcPr>
                  <w:tcW w:w="778"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稀释与接种法</w:t>
                  </w:r>
                </w:p>
              </w:tc>
              <w:tc>
                <w:tcPr>
                  <w:tcW w:w="2311"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水质 五日生化需氧量（BOD5）的测定                       稀释与接种法  HJ 505-2009</w:t>
                  </w:r>
                </w:p>
              </w:tc>
              <w:tc>
                <w:tcPr>
                  <w:tcW w:w="739" w:type="pct"/>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0.5mg/L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07" w:type="pct"/>
                  <w:vMerge w:val="continue"/>
                  <w:tcBorders>
                    <w:right w:val="single" w:color="000000" w:sz="4" w:space="0"/>
                  </w:tcBorders>
                  <w:vAlign w:val="top"/>
                </w:tcPr>
                <w:p>
                  <w:pPr>
                    <w:keepNext w:val="0"/>
                    <w:keepLines w:val="0"/>
                    <w:pageBreakBefore w:val="0"/>
                    <w:kinsoku/>
                    <w:wordWrap/>
                    <w:overflowPunct/>
                    <w:topLinePunct w:val="0"/>
                    <w:autoSpaceDE/>
                    <w:autoSpaceDN/>
                    <w:bidi w:val="0"/>
                    <w:spacing w:after="0" w:afterLines="0"/>
                    <w:ind w:firstLine="0" w:firstLineChars="0"/>
                    <w:jc w:val="center"/>
                    <w:rPr>
                      <w:rFonts w:hint="default" w:ascii="Times New Roman" w:hAnsi="Times New Roman" w:eastAsia="宋体" w:cs="Times New Roman"/>
                      <w:bCs/>
                      <w:color w:val="auto"/>
                      <w:kern w:val="2"/>
                      <w:sz w:val="21"/>
                      <w:szCs w:val="21"/>
                      <w:lang w:val="en-US" w:eastAsia="zh-CN" w:bidi="ar-SA"/>
                    </w:rPr>
                  </w:pPr>
                </w:p>
              </w:tc>
              <w:tc>
                <w:tcPr>
                  <w:tcW w:w="66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SS</w:t>
                  </w:r>
                </w:p>
              </w:tc>
              <w:tc>
                <w:tcPr>
                  <w:tcW w:w="778"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重量法</w:t>
                  </w:r>
                </w:p>
              </w:tc>
              <w:tc>
                <w:tcPr>
                  <w:tcW w:w="2311"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 xml:space="preserve">水质 悬浮物的测定 重量法 </w:t>
                  </w:r>
                </w:p>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GB 11901-1989</w:t>
                  </w:r>
                </w:p>
              </w:tc>
              <w:tc>
                <w:tcPr>
                  <w:tcW w:w="739" w:type="pct"/>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4mg/L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07" w:type="pct"/>
                  <w:vMerge w:val="continue"/>
                  <w:tcBorders>
                    <w:right w:val="single" w:color="000000" w:sz="4" w:space="0"/>
                  </w:tcBorders>
                  <w:vAlign w:val="top"/>
                </w:tcPr>
                <w:p>
                  <w:pPr>
                    <w:keepNext w:val="0"/>
                    <w:keepLines w:val="0"/>
                    <w:pageBreakBefore w:val="0"/>
                    <w:kinsoku/>
                    <w:wordWrap/>
                    <w:overflowPunct/>
                    <w:topLinePunct w:val="0"/>
                    <w:autoSpaceDE/>
                    <w:autoSpaceDN/>
                    <w:bidi w:val="0"/>
                    <w:spacing w:after="0" w:afterLines="0"/>
                    <w:ind w:firstLine="0" w:firstLineChars="0"/>
                    <w:jc w:val="center"/>
                    <w:rPr>
                      <w:rFonts w:hint="default" w:ascii="Times New Roman" w:hAnsi="Times New Roman" w:eastAsia="宋体" w:cs="Times New Roman"/>
                      <w:bCs/>
                      <w:color w:val="auto"/>
                      <w:kern w:val="2"/>
                      <w:sz w:val="21"/>
                      <w:szCs w:val="21"/>
                      <w:lang w:val="en-US" w:eastAsia="zh-CN" w:bidi="ar-SA"/>
                    </w:rPr>
                  </w:pPr>
                </w:p>
              </w:tc>
              <w:tc>
                <w:tcPr>
                  <w:tcW w:w="66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氨氮</w:t>
                  </w:r>
                </w:p>
              </w:tc>
              <w:tc>
                <w:tcPr>
                  <w:tcW w:w="778"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分光光度法</w:t>
                  </w:r>
                </w:p>
              </w:tc>
              <w:tc>
                <w:tcPr>
                  <w:tcW w:w="2311"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水质 氨氮的测定 纳氏试剂分光光度法</w:t>
                  </w:r>
                </w:p>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HJ 535-2009</w:t>
                  </w:r>
                </w:p>
              </w:tc>
              <w:tc>
                <w:tcPr>
                  <w:tcW w:w="739" w:type="pct"/>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0.025mg/L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07" w:type="pct"/>
                  <w:vMerge w:val="continue"/>
                  <w:tcBorders>
                    <w:right w:val="single" w:color="000000" w:sz="4" w:space="0"/>
                  </w:tcBorders>
                  <w:vAlign w:val="top"/>
                </w:tcPr>
                <w:p>
                  <w:pPr>
                    <w:keepNext w:val="0"/>
                    <w:keepLines w:val="0"/>
                    <w:pageBreakBefore w:val="0"/>
                    <w:kinsoku/>
                    <w:wordWrap/>
                    <w:overflowPunct/>
                    <w:topLinePunct w:val="0"/>
                    <w:autoSpaceDE/>
                    <w:autoSpaceDN/>
                    <w:bidi w:val="0"/>
                    <w:spacing w:after="0" w:afterLines="0"/>
                    <w:ind w:firstLine="0" w:firstLineChars="0"/>
                    <w:jc w:val="center"/>
                    <w:rPr>
                      <w:rFonts w:hint="default" w:ascii="Times New Roman" w:hAnsi="Times New Roman" w:eastAsia="宋体" w:cs="Times New Roman"/>
                      <w:bCs/>
                      <w:color w:val="auto"/>
                      <w:kern w:val="2"/>
                      <w:sz w:val="21"/>
                      <w:szCs w:val="21"/>
                      <w:lang w:val="en-US" w:eastAsia="zh-CN" w:bidi="ar-SA"/>
                    </w:rPr>
                  </w:pPr>
                </w:p>
              </w:tc>
              <w:tc>
                <w:tcPr>
                  <w:tcW w:w="66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动植物油</w:t>
                  </w:r>
                </w:p>
              </w:tc>
              <w:tc>
                <w:tcPr>
                  <w:tcW w:w="778"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红外分光光度法</w:t>
                  </w:r>
                </w:p>
              </w:tc>
              <w:tc>
                <w:tcPr>
                  <w:tcW w:w="2311"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水质 石油类和动植物油的测定 红外分光光度法 HJ 637-2018</w:t>
                  </w:r>
                </w:p>
              </w:tc>
              <w:tc>
                <w:tcPr>
                  <w:tcW w:w="739" w:type="pct"/>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 xml:space="preserve">0.06mg/L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gridAfter w:val="1"/>
                <w:wAfter w:w="1" w:type="pct"/>
                <w:trHeight w:val="90" w:hRule="atLeast"/>
                <w:jc w:val="center"/>
              </w:trPr>
              <w:tc>
                <w:tcPr>
                  <w:tcW w:w="507" w:type="pct"/>
                  <w:tcBorders>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after="0" w:afterLines="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噪声</w:t>
                  </w:r>
                </w:p>
              </w:tc>
              <w:tc>
                <w:tcPr>
                  <w:tcW w:w="663"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厂界噪声</w:t>
                  </w:r>
                </w:p>
              </w:tc>
              <w:tc>
                <w:tcPr>
                  <w:tcW w:w="77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声级计法</w:t>
                  </w:r>
                </w:p>
              </w:tc>
              <w:tc>
                <w:tcPr>
                  <w:tcW w:w="2311" w:type="pct"/>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《工业企业厂界环境噪声排放标准》GB12348-2008</w:t>
                  </w:r>
                </w:p>
              </w:tc>
              <w:tc>
                <w:tcPr>
                  <w:tcW w:w="738" w:type="pct"/>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35dB（A）</w:t>
                  </w:r>
                </w:p>
              </w:tc>
            </w:tr>
          </w:tbl>
          <w:p>
            <w:pPr>
              <w:pStyle w:val="17"/>
              <w:keepNext w:val="0"/>
              <w:keepLines w:val="0"/>
              <w:pageBreakBefore w:val="0"/>
              <w:widowControl/>
              <w:kinsoku/>
              <w:wordWrap/>
              <w:overflowPunct/>
              <w:topLinePunct w:val="0"/>
              <w:autoSpaceDE/>
              <w:autoSpaceDN/>
              <w:bidi w:val="0"/>
              <w:adjustRightInd/>
              <w:snapToGrid/>
              <w:spacing w:before="0" w:beforeAutospacing="0" w:after="0" w:afterLines="0" w:afterAutospacing="0" w:line="360" w:lineRule="auto"/>
              <w:ind w:left="0" w:leftChars="0" w:right="0" w:rightChars="0" w:firstLine="0" w:firstLineChars="0"/>
              <w:jc w:val="left"/>
              <w:textAlignment w:val="auto"/>
              <w:outlineLvl w:val="1"/>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监测</w:t>
            </w:r>
            <w:r>
              <w:rPr>
                <w:rFonts w:hint="default" w:ascii="Times New Roman" w:hAnsi="Times New Roman" w:eastAsia="宋体" w:cs="Times New Roman"/>
                <w:b/>
                <w:sz w:val="24"/>
                <w:szCs w:val="24"/>
                <w:lang w:eastAsia="zh-CN"/>
              </w:rPr>
              <w:t>仪器</w:t>
            </w:r>
          </w:p>
          <w:p>
            <w:pPr>
              <w:pStyle w:val="17"/>
              <w:keepNext w:val="0"/>
              <w:keepLines w:val="0"/>
              <w:pageBreakBefore w:val="0"/>
              <w:widowControl/>
              <w:kinsoku/>
              <w:wordWrap/>
              <w:overflowPunct/>
              <w:topLinePunct w:val="0"/>
              <w:autoSpaceDE/>
              <w:autoSpaceDN/>
              <w:bidi w:val="0"/>
              <w:adjustRightInd/>
              <w:snapToGrid/>
              <w:spacing w:before="0" w:beforeAutospacing="0" w:after="0" w:afterLines="0" w:afterAutospacing="0" w:line="360" w:lineRule="auto"/>
              <w:ind w:left="0" w:leftChars="0" w:right="0" w:rightChars="0" w:firstLine="0" w:firstLineChars="0"/>
              <w:jc w:val="left"/>
              <w:textAlignment w:val="auto"/>
              <w:outlineLvl w:val="1"/>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lang w:val="en-US" w:eastAsia="zh-CN"/>
              </w:rPr>
              <w:t xml:space="preserve">   </w:t>
            </w:r>
            <w:r>
              <w:rPr>
                <w:rFonts w:hint="default" w:ascii="Times New Roman" w:hAnsi="Times New Roman" w:eastAsia="宋体" w:cs="Times New Roman"/>
                <w:b w:val="0"/>
                <w:bCs/>
                <w:sz w:val="24"/>
                <w:szCs w:val="24"/>
                <w:lang w:val="en-US" w:eastAsia="zh-CN"/>
              </w:rPr>
              <w:t>本次验收监测所使用的仪器名称、型号、编号见表8-2。</w:t>
            </w:r>
          </w:p>
          <w:p>
            <w:pPr>
              <w:pStyle w:val="17"/>
              <w:keepNext w:val="0"/>
              <w:keepLines w:val="0"/>
              <w:pageBreakBefore w:val="0"/>
              <w:widowControl/>
              <w:kinsoku/>
              <w:wordWrap/>
              <w:overflowPunct/>
              <w:topLinePunct w:val="0"/>
              <w:autoSpaceDE/>
              <w:autoSpaceDN/>
              <w:bidi w:val="0"/>
              <w:adjustRightInd/>
              <w:snapToGrid/>
              <w:spacing w:before="0" w:beforeAutospacing="0" w:after="0" w:afterLines="0" w:afterAutospacing="0" w:line="360" w:lineRule="auto"/>
              <w:ind w:left="0" w:leftChars="0" w:right="0" w:rightChars="0" w:firstLine="0" w:firstLineChars="0"/>
              <w:jc w:val="center"/>
              <w:textAlignment w:val="auto"/>
              <w:outlineLvl w:val="1"/>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表</w:t>
            </w:r>
            <w:r>
              <w:rPr>
                <w:rFonts w:hint="default" w:ascii="Times New Roman" w:hAnsi="Times New Roman" w:eastAsia="宋体" w:cs="Times New Roman"/>
                <w:b/>
                <w:sz w:val="21"/>
                <w:szCs w:val="21"/>
                <w:lang w:val="en-US" w:eastAsia="zh-CN"/>
              </w:rPr>
              <w:t>5-2验收</w:t>
            </w:r>
            <w:r>
              <w:rPr>
                <w:rFonts w:hint="default" w:ascii="Times New Roman" w:hAnsi="Times New Roman" w:eastAsia="宋体" w:cs="Times New Roman"/>
                <w:b/>
                <w:sz w:val="21"/>
                <w:szCs w:val="21"/>
              </w:rPr>
              <w:t>监测</w:t>
            </w:r>
            <w:r>
              <w:rPr>
                <w:rFonts w:hint="default" w:ascii="Times New Roman" w:hAnsi="Times New Roman" w:eastAsia="宋体" w:cs="Times New Roman"/>
                <w:b/>
                <w:sz w:val="21"/>
                <w:szCs w:val="21"/>
                <w:lang w:eastAsia="zh-CN"/>
              </w:rPr>
              <w:t>所使用的仪器名称、型号、编号一览表</w:t>
            </w:r>
          </w:p>
          <w:tbl>
            <w:tblPr>
              <w:tblStyle w:val="20"/>
              <w:tblW w:w="8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895"/>
              <w:gridCol w:w="1329"/>
              <w:gridCol w:w="1139"/>
              <w:gridCol w:w="852"/>
              <w:gridCol w:w="948"/>
              <w:gridCol w:w="1104"/>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8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类别</w:t>
                  </w:r>
                </w:p>
              </w:tc>
              <w:tc>
                <w:tcPr>
                  <w:tcW w:w="895" w:type="dxa"/>
                  <w:tcBorders>
                    <w:left w:val="single" w:color="000000" w:sz="4" w:space="0"/>
                  </w:tcBorders>
                  <w:vAlign w:val="center"/>
                </w:tcPr>
                <w:p>
                  <w:pPr>
                    <w:keepNext w:val="0"/>
                    <w:keepLines w:val="0"/>
                    <w:pageBreakBefore w:val="0"/>
                    <w:widowControl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项目</w:t>
                  </w:r>
                </w:p>
              </w:tc>
              <w:tc>
                <w:tcPr>
                  <w:tcW w:w="1329" w:type="dxa"/>
                  <w:vAlign w:val="center"/>
                </w:tcPr>
                <w:p>
                  <w:pPr>
                    <w:keepNext w:val="0"/>
                    <w:keepLines w:val="0"/>
                    <w:pageBreakBefore w:val="0"/>
                    <w:widowControl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仪器名称</w:t>
                  </w:r>
                </w:p>
              </w:tc>
              <w:tc>
                <w:tcPr>
                  <w:tcW w:w="1139" w:type="dxa"/>
                  <w:vAlign w:val="center"/>
                </w:tcPr>
                <w:p>
                  <w:pPr>
                    <w:keepNext w:val="0"/>
                    <w:keepLines w:val="0"/>
                    <w:pageBreakBefore w:val="0"/>
                    <w:widowControl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型号</w:t>
                  </w:r>
                </w:p>
              </w:tc>
              <w:tc>
                <w:tcPr>
                  <w:tcW w:w="852" w:type="dxa"/>
                  <w:vAlign w:val="center"/>
                </w:tcPr>
                <w:p>
                  <w:pPr>
                    <w:keepNext w:val="0"/>
                    <w:keepLines w:val="0"/>
                    <w:pageBreakBefore w:val="0"/>
                    <w:widowControl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编号</w:t>
                  </w:r>
                </w:p>
              </w:tc>
              <w:tc>
                <w:tcPr>
                  <w:tcW w:w="948" w:type="dxa"/>
                  <w:vAlign w:val="center"/>
                </w:tcPr>
                <w:p>
                  <w:pPr>
                    <w:keepNext w:val="0"/>
                    <w:keepLines w:val="0"/>
                    <w:pageBreakBefore w:val="0"/>
                    <w:widowControl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检定</w:t>
                  </w:r>
                  <w:r>
                    <w:rPr>
                      <w:rFonts w:hint="default" w:ascii="Times New Roman" w:hAnsi="Times New Roman" w:eastAsia="宋体" w:cs="Times New Roman"/>
                      <w:b/>
                      <w:bCs/>
                      <w:sz w:val="21"/>
                      <w:szCs w:val="21"/>
                      <w:vertAlign w:val="baseline"/>
                      <w:lang w:val="en-US" w:eastAsia="zh-CN"/>
                    </w:rPr>
                    <w:t>/校准情况</w:t>
                  </w:r>
                </w:p>
              </w:tc>
              <w:tc>
                <w:tcPr>
                  <w:tcW w:w="1104" w:type="dxa"/>
                  <w:vAlign w:val="center"/>
                </w:tcPr>
                <w:p>
                  <w:pPr>
                    <w:keepNext w:val="0"/>
                    <w:keepLines w:val="0"/>
                    <w:pageBreakBefore w:val="0"/>
                    <w:widowControl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检定/校准期限</w:t>
                  </w:r>
                </w:p>
              </w:tc>
              <w:tc>
                <w:tcPr>
                  <w:tcW w:w="1187" w:type="dxa"/>
                  <w:vAlign w:val="center"/>
                </w:tcPr>
                <w:p>
                  <w:pPr>
                    <w:keepNext w:val="0"/>
                    <w:keepLines w:val="0"/>
                    <w:pageBreakBefore w:val="0"/>
                    <w:widowControl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废水分析</w:t>
                  </w:r>
                </w:p>
              </w:tc>
              <w:tc>
                <w:tcPr>
                  <w:tcW w:w="89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pH</w:t>
                  </w:r>
                </w:p>
              </w:tc>
              <w:tc>
                <w:tcPr>
                  <w:tcW w:w="132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pH计</w:t>
                  </w:r>
                </w:p>
              </w:tc>
              <w:tc>
                <w:tcPr>
                  <w:tcW w:w="11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PHS-3E</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YQ005</w:t>
                  </w:r>
                </w:p>
              </w:tc>
              <w:tc>
                <w:tcPr>
                  <w:tcW w:w="94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合格</w:t>
                  </w:r>
                </w:p>
              </w:tc>
              <w:tc>
                <w:tcPr>
                  <w:tcW w:w="110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2020.10.17</w:t>
                  </w:r>
                </w:p>
              </w:tc>
              <w:tc>
                <w:tcPr>
                  <w:tcW w:w="118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(MLY)E1/19-004879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9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COD</w:t>
                  </w:r>
                </w:p>
              </w:tc>
              <w:tc>
                <w:tcPr>
                  <w:tcW w:w="132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回流装置</w:t>
                  </w:r>
                </w:p>
              </w:tc>
              <w:tc>
                <w:tcPr>
                  <w:tcW w:w="11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c>
                <w:tcPr>
                  <w:tcW w:w="94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c>
                <w:tcPr>
                  <w:tcW w:w="110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c>
                <w:tcPr>
                  <w:tcW w:w="118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9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BOD5</w:t>
                  </w:r>
                </w:p>
              </w:tc>
              <w:tc>
                <w:tcPr>
                  <w:tcW w:w="132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生化培养箱</w:t>
                  </w:r>
                </w:p>
              </w:tc>
              <w:tc>
                <w:tcPr>
                  <w:tcW w:w="11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SPX-100B-Z</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YQ008</w:t>
                  </w:r>
                </w:p>
              </w:tc>
              <w:tc>
                <w:tcPr>
                  <w:tcW w:w="94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合格</w:t>
                  </w:r>
                </w:p>
              </w:tc>
              <w:tc>
                <w:tcPr>
                  <w:tcW w:w="110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2020.07.04</w:t>
                  </w:r>
                </w:p>
              </w:tc>
              <w:tc>
                <w:tcPr>
                  <w:tcW w:w="118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（SEPL)C/19-070150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8"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9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SS</w:t>
                  </w:r>
                </w:p>
              </w:tc>
              <w:tc>
                <w:tcPr>
                  <w:tcW w:w="132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电子天平</w:t>
                  </w:r>
                </w:p>
              </w:tc>
              <w:tc>
                <w:tcPr>
                  <w:tcW w:w="11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CP114</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YQ007</w:t>
                  </w:r>
                </w:p>
              </w:tc>
              <w:tc>
                <w:tcPr>
                  <w:tcW w:w="94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合格</w:t>
                  </w:r>
                </w:p>
              </w:tc>
              <w:tc>
                <w:tcPr>
                  <w:tcW w:w="110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2020.07.04</w:t>
                  </w:r>
                </w:p>
              </w:tc>
              <w:tc>
                <w:tcPr>
                  <w:tcW w:w="118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(MLY)C1/19-056238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9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氨氮</w:t>
                  </w:r>
                </w:p>
              </w:tc>
              <w:tc>
                <w:tcPr>
                  <w:tcW w:w="132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紫外可见</w:t>
                  </w:r>
                </w:p>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分光光度计</w:t>
                  </w:r>
                </w:p>
              </w:tc>
              <w:tc>
                <w:tcPr>
                  <w:tcW w:w="11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T6新世纪</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YQ009</w:t>
                  </w:r>
                </w:p>
              </w:tc>
              <w:tc>
                <w:tcPr>
                  <w:tcW w:w="94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合格</w:t>
                  </w:r>
                </w:p>
              </w:tc>
              <w:tc>
                <w:tcPr>
                  <w:tcW w:w="110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2020.07.15</w:t>
                  </w:r>
                </w:p>
              </w:tc>
              <w:tc>
                <w:tcPr>
                  <w:tcW w:w="118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(MLY)E1/19-003129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9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动植物油</w:t>
                  </w:r>
                </w:p>
              </w:tc>
              <w:tc>
                <w:tcPr>
                  <w:tcW w:w="132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红外分光光度法</w:t>
                  </w:r>
                </w:p>
              </w:tc>
              <w:tc>
                <w:tcPr>
                  <w:tcW w:w="11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JLBG-126</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YQ026</w:t>
                  </w:r>
                </w:p>
              </w:tc>
              <w:tc>
                <w:tcPr>
                  <w:tcW w:w="94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合格</w:t>
                  </w:r>
                </w:p>
              </w:tc>
              <w:tc>
                <w:tcPr>
                  <w:tcW w:w="110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2020.07.03</w:t>
                  </w:r>
                </w:p>
              </w:tc>
              <w:tc>
                <w:tcPr>
                  <w:tcW w:w="118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（SEPL)C/19-070155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8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噪声</w:t>
                  </w:r>
                </w:p>
              </w:tc>
              <w:tc>
                <w:tcPr>
                  <w:tcW w:w="89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厂界噪声</w:t>
                  </w:r>
                </w:p>
              </w:tc>
              <w:tc>
                <w:tcPr>
                  <w:tcW w:w="132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噪声仪</w:t>
                  </w:r>
                </w:p>
              </w:tc>
              <w:tc>
                <w:tcPr>
                  <w:tcW w:w="11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HS6288E</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YQ106</w:t>
                  </w:r>
                </w:p>
              </w:tc>
              <w:tc>
                <w:tcPr>
                  <w:tcW w:w="94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合格</w:t>
                  </w:r>
                </w:p>
              </w:tc>
              <w:tc>
                <w:tcPr>
                  <w:tcW w:w="110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2020.10.15</w:t>
                  </w:r>
                </w:p>
              </w:tc>
              <w:tc>
                <w:tcPr>
                  <w:tcW w:w="118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(MLY)C1/19-070169</w:t>
                  </w:r>
                </w:p>
              </w:tc>
            </w:tr>
          </w:tbl>
          <w:p>
            <w:pPr>
              <w:pStyle w:val="17"/>
              <w:keepNext w:val="0"/>
              <w:keepLines w:val="0"/>
              <w:pageBreakBefore w:val="0"/>
              <w:kinsoku/>
              <w:wordWrap/>
              <w:overflowPunct/>
              <w:topLinePunct w:val="0"/>
              <w:autoSpaceDE/>
              <w:autoSpaceDN/>
              <w:bidi w:val="0"/>
              <w:spacing w:before="0" w:beforeAutospacing="0" w:after="0" w:afterLines="0" w:afterAutospacing="0" w:line="360" w:lineRule="auto"/>
              <w:ind w:firstLine="0" w:firstLineChars="0"/>
              <w:outlineLvl w:val="1"/>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4、</w:t>
            </w:r>
            <w:r>
              <w:rPr>
                <w:rFonts w:hint="default" w:ascii="Times New Roman" w:hAnsi="Times New Roman" w:eastAsia="宋体" w:cs="Times New Roman"/>
                <w:b/>
                <w:sz w:val="24"/>
                <w:szCs w:val="24"/>
                <w:lang w:eastAsia="zh-CN"/>
              </w:rPr>
              <w:t>人员资质</w:t>
            </w:r>
          </w:p>
          <w:p>
            <w:pPr>
              <w:pStyle w:val="17"/>
              <w:keepNext w:val="0"/>
              <w:keepLines w:val="0"/>
              <w:pageBreakBefore w:val="0"/>
              <w:kinsoku/>
              <w:wordWrap/>
              <w:overflowPunct/>
              <w:topLinePunct w:val="0"/>
              <w:autoSpaceDE/>
              <w:autoSpaceDN/>
              <w:bidi w:val="0"/>
              <w:spacing w:before="0" w:beforeAutospacing="0" w:after="0" w:afterLines="0" w:afterAutospacing="0" w:line="360" w:lineRule="auto"/>
              <w:ind w:firstLine="0" w:firstLineChars="0"/>
              <w:outlineLvl w:val="1"/>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lang w:val="en-US" w:eastAsia="zh-CN"/>
              </w:rPr>
              <w:t xml:space="preserve">  </w:t>
            </w:r>
            <w:r>
              <w:rPr>
                <w:rFonts w:hint="default" w:ascii="Times New Roman" w:hAnsi="Times New Roman" w:eastAsia="宋体" w:cs="Times New Roman"/>
                <w:b w:val="0"/>
                <w:bCs/>
                <w:sz w:val="24"/>
                <w:szCs w:val="24"/>
                <w:lang w:val="en-US" w:eastAsia="zh-CN"/>
              </w:rPr>
              <w:t xml:space="preserve"> 本次验收监测参加人员均持证上岗，具体参加项目及持证信息见表8-3。</w:t>
            </w:r>
          </w:p>
          <w:p>
            <w:pPr>
              <w:pStyle w:val="17"/>
              <w:keepNext w:val="0"/>
              <w:keepLines w:val="0"/>
              <w:pageBreakBefore w:val="0"/>
              <w:widowControl/>
              <w:kinsoku/>
              <w:wordWrap/>
              <w:overflowPunct/>
              <w:topLinePunct w:val="0"/>
              <w:autoSpaceDE/>
              <w:autoSpaceDN/>
              <w:bidi w:val="0"/>
              <w:adjustRightInd/>
              <w:snapToGrid/>
              <w:spacing w:before="0" w:beforeAutospacing="0" w:after="0" w:afterLines="0" w:afterAutospacing="0" w:line="360" w:lineRule="auto"/>
              <w:ind w:left="0" w:leftChars="0" w:right="0" w:rightChars="0" w:firstLine="0" w:firstLineChars="0"/>
              <w:jc w:val="center"/>
              <w:textAlignment w:val="auto"/>
              <w:outlineLvl w:val="1"/>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表</w:t>
            </w:r>
            <w:r>
              <w:rPr>
                <w:rFonts w:hint="default" w:ascii="Times New Roman" w:hAnsi="Times New Roman" w:eastAsia="宋体" w:cs="Times New Roman"/>
                <w:b/>
                <w:sz w:val="21"/>
                <w:szCs w:val="21"/>
                <w:lang w:val="en-US" w:eastAsia="zh-CN"/>
              </w:rPr>
              <w:t>5-3验收</w:t>
            </w:r>
            <w:r>
              <w:rPr>
                <w:rFonts w:hint="default" w:ascii="Times New Roman" w:hAnsi="Times New Roman" w:eastAsia="宋体" w:cs="Times New Roman"/>
                <w:b/>
                <w:sz w:val="21"/>
                <w:szCs w:val="21"/>
              </w:rPr>
              <w:t>监测</w:t>
            </w:r>
            <w:r>
              <w:rPr>
                <w:rFonts w:hint="default" w:ascii="Times New Roman" w:hAnsi="Times New Roman" w:eastAsia="宋体" w:cs="Times New Roman"/>
                <w:b/>
                <w:sz w:val="21"/>
                <w:szCs w:val="21"/>
                <w:lang w:eastAsia="zh-CN"/>
              </w:rPr>
              <w:t>参加人员负责项目及持证信息</w:t>
            </w:r>
          </w:p>
          <w:tbl>
            <w:tblPr>
              <w:tblStyle w:val="19"/>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74"/>
              <w:gridCol w:w="1114"/>
              <w:gridCol w:w="1663"/>
              <w:gridCol w:w="2633"/>
              <w:gridCol w:w="2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序号</w:t>
                  </w:r>
                </w:p>
              </w:tc>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姓 名</w:t>
                  </w:r>
                </w:p>
              </w:tc>
              <w:tc>
                <w:tcPr>
                  <w:tcW w:w="1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职  称</w:t>
                  </w:r>
                </w:p>
              </w:tc>
              <w:tc>
                <w:tcPr>
                  <w:tcW w:w="26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项    目</w:t>
                  </w:r>
                </w:p>
              </w:tc>
              <w:tc>
                <w:tcPr>
                  <w:tcW w:w="23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上岗证号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孙艳慧</w:t>
                  </w:r>
                </w:p>
              </w:tc>
              <w:tc>
                <w:tcPr>
                  <w:tcW w:w="1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中级工程师</w:t>
                  </w:r>
                </w:p>
              </w:tc>
              <w:tc>
                <w:tcPr>
                  <w:tcW w:w="26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报告审核</w:t>
                  </w:r>
                </w:p>
              </w:tc>
              <w:tc>
                <w:tcPr>
                  <w:tcW w:w="23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厦科仪测字第 080号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w:t>
                  </w:r>
                </w:p>
              </w:tc>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刘雪玉</w:t>
                  </w:r>
                </w:p>
              </w:tc>
              <w:tc>
                <w:tcPr>
                  <w:tcW w:w="1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助理工程师</w:t>
                  </w:r>
                </w:p>
              </w:tc>
              <w:tc>
                <w:tcPr>
                  <w:tcW w:w="26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报告初审</w:t>
                  </w:r>
                </w:p>
              </w:tc>
              <w:tc>
                <w:tcPr>
                  <w:tcW w:w="23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厦科仪测字第 044号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3</w:t>
                  </w:r>
                </w:p>
              </w:tc>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李彩萍</w:t>
                  </w:r>
                </w:p>
              </w:tc>
              <w:tc>
                <w:tcPr>
                  <w:tcW w:w="1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技术员</w:t>
                  </w:r>
                </w:p>
              </w:tc>
              <w:tc>
                <w:tcPr>
                  <w:tcW w:w="26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报告编制</w:t>
                  </w:r>
                </w:p>
              </w:tc>
              <w:tc>
                <w:tcPr>
                  <w:tcW w:w="23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厦科仪测字第 072号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4</w:t>
                  </w:r>
                </w:p>
              </w:tc>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邓斌煌</w:t>
                  </w:r>
                </w:p>
              </w:tc>
              <w:tc>
                <w:tcPr>
                  <w:tcW w:w="1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技术员</w:t>
                  </w:r>
                </w:p>
              </w:tc>
              <w:tc>
                <w:tcPr>
                  <w:tcW w:w="26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采样记录审核</w:t>
                  </w:r>
                </w:p>
              </w:tc>
              <w:tc>
                <w:tcPr>
                  <w:tcW w:w="23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厦科仪测字第 073号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5</w:t>
                  </w:r>
                </w:p>
              </w:tc>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黄杨</w:t>
                  </w:r>
                </w:p>
              </w:tc>
              <w:tc>
                <w:tcPr>
                  <w:tcW w:w="1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技术员</w:t>
                  </w:r>
                </w:p>
              </w:tc>
              <w:tc>
                <w:tcPr>
                  <w:tcW w:w="26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现场采样</w:t>
                  </w:r>
                </w:p>
              </w:tc>
              <w:tc>
                <w:tcPr>
                  <w:tcW w:w="23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厦科仪测字第 029号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6</w:t>
                  </w:r>
                </w:p>
              </w:tc>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林启武</w:t>
                  </w:r>
                </w:p>
              </w:tc>
              <w:tc>
                <w:tcPr>
                  <w:tcW w:w="1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技术员</w:t>
                  </w:r>
                </w:p>
              </w:tc>
              <w:tc>
                <w:tcPr>
                  <w:tcW w:w="26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现场采样</w:t>
                  </w:r>
                </w:p>
              </w:tc>
              <w:tc>
                <w:tcPr>
                  <w:tcW w:w="23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厦科仪测字第 075号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7</w:t>
                  </w:r>
                </w:p>
              </w:tc>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余乾凤</w:t>
                  </w:r>
                </w:p>
              </w:tc>
              <w:tc>
                <w:tcPr>
                  <w:tcW w:w="1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技术员</w:t>
                  </w:r>
                </w:p>
              </w:tc>
              <w:tc>
                <w:tcPr>
                  <w:tcW w:w="26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分析数据审核</w:t>
                  </w:r>
                </w:p>
              </w:tc>
              <w:tc>
                <w:tcPr>
                  <w:tcW w:w="23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厦科仪测字第 049号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8</w:t>
                  </w:r>
                </w:p>
              </w:tc>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张丽娟</w:t>
                  </w:r>
                </w:p>
              </w:tc>
              <w:tc>
                <w:tcPr>
                  <w:tcW w:w="1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技术员</w:t>
                  </w:r>
                </w:p>
              </w:tc>
              <w:tc>
                <w:tcPr>
                  <w:tcW w:w="26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pH、氨氮分析</w:t>
                  </w:r>
                </w:p>
              </w:tc>
              <w:tc>
                <w:tcPr>
                  <w:tcW w:w="23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厦科仪测字第 066号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9</w:t>
                  </w:r>
                </w:p>
              </w:tc>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卢少丽</w:t>
                  </w:r>
                </w:p>
              </w:tc>
              <w:tc>
                <w:tcPr>
                  <w:tcW w:w="1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技术员</w:t>
                  </w:r>
                </w:p>
              </w:tc>
              <w:tc>
                <w:tcPr>
                  <w:tcW w:w="26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COD、BOD5分析</w:t>
                  </w:r>
                </w:p>
              </w:tc>
              <w:tc>
                <w:tcPr>
                  <w:tcW w:w="23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厦科仪测字第 065号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10</w:t>
                  </w:r>
                </w:p>
              </w:tc>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许惠冰</w:t>
                  </w:r>
                </w:p>
              </w:tc>
              <w:tc>
                <w:tcPr>
                  <w:tcW w:w="1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技术员</w:t>
                  </w:r>
                </w:p>
              </w:tc>
              <w:tc>
                <w:tcPr>
                  <w:tcW w:w="26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SS分析</w:t>
                  </w:r>
                </w:p>
              </w:tc>
              <w:tc>
                <w:tcPr>
                  <w:tcW w:w="23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厦科仪测字第 077号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11</w:t>
                  </w:r>
                </w:p>
              </w:tc>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王海洋</w:t>
                  </w:r>
                </w:p>
              </w:tc>
              <w:tc>
                <w:tcPr>
                  <w:tcW w:w="1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技术员</w:t>
                  </w:r>
                </w:p>
              </w:tc>
              <w:tc>
                <w:tcPr>
                  <w:tcW w:w="26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动植物油分析</w:t>
                  </w:r>
                </w:p>
              </w:tc>
              <w:tc>
                <w:tcPr>
                  <w:tcW w:w="23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厦科仪测字第 062号</w:t>
                  </w:r>
                </w:p>
              </w:tc>
            </w:tr>
          </w:tbl>
          <w:p>
            <w:pPr>
              <w:pStyle w:val="17"/>
              <w:keepNext w:val="0"/>
              <w:keepLines w:val="0"/>
              <w:pageBreakBefore w:val="0"/>
              <w:kinsoku/>
              <w:wordWrap/>
              <w:overflowPunct/>
              <w:topLinePunct w:val="0"/>
              <w:autoSpaceDE/>
              <w:autoSpaceDN/>
              <w:bidi w:val="0"/>
              <w:spacing w:before="0" w:beforeAutospacing="0" w:after="0" w:afterLines="0" w:afterAutospacing="0" w:line="360" w:lineRule="auto"/>
              <w:ind w:firstLine="0" w:firstLineChars="0"/>
              <w:outlineLvl w:val="1"/>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5、水质</w:t>
            </w:r>
            <w:r>
              <w:rPr>
                <w:rFonts w:hint="default" w:ascii="Times New Roman" w:hAnsi="Times New Roman" w:eastAsia="宋体" w:cs="Times New Roman"/>
                <w:b/>
                <w:sz w:val="24"/>
                <w:szCs w:val="24"/>
              </w:rPr>
              <w:t>监测分析过程中的质量保证和质量控制</w:t>
            </w:r>
          </w:p>
          <w:p>
            <w:pPr>
              <w:pStyle w:val="3"/>
              <w:keepNext w:val="0"/>
              <w:keepLines w:val="0"/>
              <w:pageBreakBefore w:val="0"/>
              <w:kinsoku/>
              <w:wordWrap/>
              <w:overflowPunct/>
              <w:topLinePunct w:val="0"/>
              <w:autoSpaceDE/>
              <w:autoSpaceDN/>
              <w:bidi w:val="0"/>
              <w:spacing w:after="0" w:afterLines="0" w:line="360" w:lineRule="auto"/>
              <w:ind w:firstLine="480" w:firstLineChars="200"/>
              <w:jc w:val="both"/>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 w:val="24"/>
                <w:szCs w:val="24"/>
              </w:rPr>
              <w:t>废水监测仪器符合国家有关标准或技术要求。采样、运输、保存、分析全过程严格按照</w:t>
            </w:r>
            <w:r>
              <w:rPr>
                <w:rFonts w:hint="default" w:ascii="Times New Roman" w:hAnsi="Times New Roman" w:eastAsia="宋体" w:cs="Times New Roman"/>
                <w:color w:val="auto"/>
                <w:kern w:val="0"/>
                <w:sz w:val="24"/>
                <w:szCs w:val="24"/>
                <w:lang w:eastAsia="zh-CN"/>
              </w:rPr>
              <w:t>《地表水和污水监测技术规范》（</w:t>
            </w:r>
            <w:r>
              <w:rPr>
                <w:rFonts w:hint="default" w:ascii="Times New Roman" w:hAnsi="Times New Roman" w:eastAsia="宋体" w:cs="Times New Roman"/>
                <w:color w:val="auto"/>
                <w:kern w:val="0"/>
                <w:sz w:val="24"/>
                <w:szCs w:val="24"/>
                <w:lang w:val="en-US" w:eastAsia="zh-CN"/>
              </w:rPr>
              <w:t>HJ/T91-2002</w:t>
            </w:r>
            <w:r>
              <w:rPr>
                <w:rFonts w:hint="default" w:ascii="Times New Roman" w:hAnsi="Times New Roman" w:eastAsia="宋体" w:cs="Times New Roman"/>
                <w:color w:val="auto"/>
                <w:kern w:val="0"/>
                <w:sz w:val="24"/>
                <w:szCs w:val="24"/>
                <w:lang w:eastAsia="zh-CN"/>
              </w:rPr>
              <w:t>）等有</w:t>
            </w:r>
            <w:r>
              <w:rPr>
                <w:rFonts w:hint="default" w:ascii="Times New Roman" w:hAnsi="Times New Roman" w:eastAsia="宋体" w:cs="Times New Roman"/>
                <w:color w:val="auto"/>
                <w:kern w:val="0"/>
                <w:sz w:val="24"/>
                <w:szCs w:val="24"/>
              </w:rPr>
              <w:t>关规定执行，实验室分析过程中采取平行样</w:t>
            </w:r>
            <w:r>
              <w:rPr>
                <w:rFonts w:hint="default" w:ascii="Times New Roman" w:hAnsi="Times New Roman" w:eastAsia="宋体" w:cs="Times New Roman"/>
                <w:color w:val="auto"/>
                <w:kern w:val="0"/>
                <w:sz w:val="24"/>
                <w:szCs w:val="24"/>
                <w:lang w:eastAsia="zh-CN"/>
              </w:rPr>
              <w:t>及</w:t>
            </w:r>
            <w:r>
              <w:rPr>
                <w:rFonts w:hint="default" w:ascii="Times New Roman" w:hAnsi="Times New Roman" w:eastAsia="宋体" w:cs="Times New Roman"/>
                <w:color w:val="auto"/>
                <w:kern w:val="0"/>
                <w:sz w:val="24"/>
                <w:szCs w:val="24"/>
              </w:rPr>
              <w:t>质控样等质控措施。质控结果见表</w:t>
            </w:r>
            <w:r>
              <w:rPr>
                <w:rFonts w:hint="default" w:ascii="Times New Roman" w:hAnsi="Times New Roman" w:eastAsia="宋体" w:cs="Times New Roman"/>
                <w:color w:val="auto"/>
                <w:kern w:val="0"/>
                <w:sz w:val="24"/>
                <w:szCs w:val="24"/>
                <w:lang w:val="en-US" w:eastAsia="zh-CN"/>
              </w:rPr>
              <w:t>8</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w:t>
            </w:r>
          </w:p>
          <w:p>
            <w:pPr>
              <w:keepNext w:val="0"/>
              <w:keepLines w:val="0"/>
              <w:pageBreakBefore w:val="0"/>
              <w:widowControl w:val="0"/>
              <w:kinsoku/>
              <w:wordWrap/>
              <w:overflowPunct/>
              <w:topLinePunct w:val="0"/>
              <w:autoSpaceDE/>
              <w:autoSpaceDN/>
              <w:bidi w:val="0"/>
              <w:spacing w:after="0" w:afterLines="0"/>
              <w:ind w:firstLine="0" w:firstLineChars="0"/>
              <w:jc w:val="center"/>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5-4</w:t>
            </w:r>
            <w:r>
              <w:rPr>
                <w:rFonts w:hint="default" w:ascii="Times New Roman" w:hAnsi="Times New Roman" w:eastAsia="宋体" w:cs="Times New Roman"/>
                <w:b/>
                <w:color w:val="auto"/>
                <w:szCs w:val="21"/>
              </w:rPr>
              <w:t xml:space="preserve"> </w:t>
            </w:r>
            <w:r>
              <w:rPr>
                <w:rFonts w:hint="default" w:ascii="Times New Roman" w:hAnsi="Times New Roman" w:eastAsia="宋体" w:cs="Times New Roman"/>
                <w:b/>
                <w:color w:val="auto"/>
                <w:szCs w:val="21"/>
                <w:lang w:eastAsia="zh-CN"/>
              </w:rPr>
              <w:t>废水质控样监测结果</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1189"/>
              <w:gridCol w:w="1082"/>
              <w:gridCol w:w="1084"/>
              <w:gridCol w:w="1189"/>
              <w:gridCol w:w="1084"/>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项目</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pH</w:t>
                  </w:r>
                </w:p>
              </w:tc>
              <w:tc>
                <w:tcPr>
                  <w:tcW w:w="652"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五日生化需氧量</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化学需氧量</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氨氮</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悬浮物</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样品数</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6</w:t>
                  </w:r>
                </w:p>
              </w:tc>
              <w:tc>
                <w:tcPr>
                  <w:tcW w:w="652"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6</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6</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6</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6</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平行样数</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652"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相对标准偏差（%）</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0.15</w:t>
                  </w:r>
                </w:p>
              </w:tc>
              <w:tc>
                <w:tcPr>
                  <w:tcW w:w="652"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0.81</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0.37</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0.31</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1.23</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标样编号</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202170</w:t>
                  </w:r>
                </w:p>
              </w:tc>
              <w:tc>
                <w:tcPr>
                  <w:tcW w:w="652"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200248</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2001136</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2005106</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标样值（mg/L）</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9.04±0.10</w:t>
                  </w:r>
                </w:p>
              </w:tc>
              <w:tc>
                <w:tcPr>
                  <w:tcW w:w="652"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135±11</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39.8±3.0</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6.75±0.25</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测定值（mg/L）</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8.96</w:t>
                  </w:r>
                </w:p>
              </w:tc>
              <w:tc>
                <w:tcPr>
                  <w:tcW w:w="652"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129</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41.6</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6.88</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相对误差范围（%）</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0.88</w:t>
                  </w:r>
                </w:p>
              </w:tc>
              <w:tc>
                <w:tcPr>
                  <w:tcW w:w="652"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4.44</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4.52</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1.92</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评价结果</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合格</w:t>
                  </w:r>
                </w:p>
              </w:tc>
              <w:tc>
                <w:tcPr>
                  <w:tcW w:w="652"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合格</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合格</w:t>
                  </w:r>
                </w:p>
              </w:tc>
              <w:tc>
                <w:tcPr>
                  <w:tcW w:w="716"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合格</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合格</w:t>
                  </w:r>
                </w:p>
              </w:tc>
              <w:tc>
                <w:tcPr>
                  <w:tcW w:w="65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合格</w:t>
                  </w:r>
                </w:p>
              </w:tc>
            </w:tr>
          </w:tbl>
          <w:p>
            <w:pPr>
              <w:pStyle w:val="3"/>
              <w:keepNext w:val="0"/>
              <w:keepLines w:val="0"/>
              <w:pageBreakBefore w:val="0"/>
              <w:kinsoku/>
              <w:wordWrap/>
              <w:overflowPunct/>
              <w:topLinePunct w:val="0"/>
              <w:autoSpaceDE/>
              <w:autoSpaceDN/>
              <w:bidi w:val="0"/>
              <w:spacing w:after="0" w:afterLines="0" w:line="360" w:lineRule="auto"/>
              <w:ind w:left="0" w:leftChars="0" w:firstLine="0" w:firstLineChars="0"/>
              <w:rPr>
                <w:rFonts w:hint="default" w:ascii="Times New Roman" w:hAnsi="Times New Roman" w:eastAsia="宋体" w:cs="Times New Roman"/>
                <w:b/>
                <w:sz w:val="24"/>
                <w:szCs w:val="24"/>
              </w:rPr>
            </w:pPr>
            <w:r>
              <w:rPr>
                <w:rFonts w:hint="default" w:ascii="Times New Roman" w:hAnsi="Times New Roman" w:eastAsia="宋体" w:cs="Times New Roman"/>
                <w:color w:val="auto"/>
                <w:kern w:val="0"/>
                <w:sz w:val="24"/>
                <w:szCs w:val="24"/>
                <w:lang w:eastAsia="zh-CN"/>
              </w:rPr>
              <w:t>由表</w:t>
            </w:r>
            <w:r>
              <w:rPr>
                <w:rFonts w:hint="default" w:ascii="Times New Roman" w:hAnsi="Times New Roman" w:eastAsia="宋体" w:cs="Times New Roman"/>
                <w:color w:val="auto"/>
                <w:kern w:val="0"/>
                <w:sz w:val="24"/>
                <w:szCs w:val="24"/>
                <w:lang w:val="en-US" w:eastAsia="zh-CN"/>
              </w:rPr>
              <w:t>8-4可知，</w:t>
            </w:r>
            <w:r>
              <w:rPr>
                <w:rFonts w:hint="default" w:ascii="Times New Roman" w:hAnsi="Times New Roman" w:eastAsia="宋体" w:cs="Times New Roman"/>
                <w:color w:val="auto"/>
                <w:kern w:val="0"/>
                <w:sz w:val="24"/>
                <w:szCs w:val="24"/>
              </w:rPr>
              <w:t>所有质控样结果均符合质控标准，能够达到质控目的。</w:t>
            </w:r>
          </w:p>
          <w:bookmarkEnd w:id="2"/>
          <w:p>
            <w:pPr>
              <w:pStyle w:val="17"/>
              <w:keepNext w:val="0"/>
              <w:keepLines w:val="0"/>
              <w:pageBreakBefore w:val="0"/>
              <w:kinsoku/>
              <w:wordWrap/>
              <w:overflowPunct/>
              <w:topLinePunct w:val="0"/>
              <w:autoSpaceDE/>
              <w:autoSpaceDN/>
              <w:bidi w:val="0"/>
              <w:adjustRightInd/>
              <w:snapToGrid/>
              <w:spacing w:before="0" w:beforeAutospacing="0" w:after="0" w:afterLines="0" w:afterAutospacing="0" w:line="360" w:lineRule="auto"/>
              <w:ind w:left="0" w:leftChars="0" w:right="0" w:rightChars="0" w:firstLine="0" w:firstLineChars="0"/>
              <w:textAlignment w:val="auto"/>
              <w:outlineLvl w:val="1"/>
              <w:rPr>
                <w:rFonts w:hint="default" w:ascii="Times New Roman" w:hAnsi="Times New Roman" w:eastAsia="宋体" w:cs="Times New Roman"/>
                <w:b/>
                <w:sz w:val="24"/>
                <w:szCs w:val="24"/>
              </w:rPr>
            </w:pPr>
            <w:bookmarkStart w:id="3" w:name="_Toc30567"/>
            <w:r>
              <w:rPr>
                <w:rFonts w:hint="default" w:ascii="Times New Roman" w:hAnsi="Times New Roman" w:eastAsia="宋体" w:cs="Times New Roman"/>
                <w:b/>
                <w:sz w:val="24"/>
                <w:szCs w:val="24"/>
                <w:lang w:val="en-US" w:eastAsia="zh-CN"/>
              </w:rPr>
              <w:t>6</w:t>
            </w:r>
            <w:r>
              <w:rPr>
                <w:rFonts w:hint="default" w:ascii="Times New Roman" w:hAnsi="Times New Roman" w:eastAsia="宋体" w:cs="Times New Roman"/>
                <w:b/>
                <w:sz w:val="24"/>
                <w:szCs w:val="24"/>
                <w:lang w:eastAsia="zh-CN"/>
              </w:rPr>
              <w:t>、</w:t>
            </w:r>
            <w:r>
              <w:rPr>
                <w:rFonts w:hint="default" w:ascii="Times New Roman" w:hAnsi="Times New Roman" w:eastAsia="宋体" w:cs="Times New Roman"/>
                <w:b/>
                <w:sz w:val="24"/>
                <w:szCs w:val="24"/>
              </w:rPr>
              <w:t>噪声监测分析过程中的质量保证和质量控制</w:t>
            </w:r>
            <w:bookmarkEnd w:id="3"/>
          </w:p>
          <w:p>
            <w:pPr>
              <w:pStyle w:val="3"/>
              <w:keepNext w:val="0"/>
              <w:keepLines w:val="0"/>
              <w:pageBreakBefore w:val="0"/>
              <w:kinsoku/>
              <w:wordWrap/>
              <w:overflowPunct/>
              <w:topLinePunct w:val="0"/>
              <w:autoSpaceDE/>
              <w:autoSpaceDN/>
              <w:bidi w:val="0"/>
              <w:adjustRightInd/>
              <w:snapToGrid/>
              <w:spacing w:after="0" w:afterLines="0" w:line="360" w:lineRule="auto"/>
              <w:ind w:left="0" w:leftChars="0" w:right="0" w:rightChars="0" w:firstLine="0" w:firstLineChars="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噪声监测点位的选择符合</w:t>
            </w:r>
            <w:r>
              <w:rPr>
                <w:rFonts w:hint="default" w:ascii="Times New Roman" w:hAnsi="Times New Roman" w:eastAsia="宋体" w:cs="Times New Roman"/>
                <w:color w:val="auto"/>
                <w:sz w:val="24"/>
                <w:szCs w:val="24"/>
              </w:rPr>
              <w:t>GB12348-2008《工业企业厂界环境噪声排放标准》的要求。</w:t>
            </w:r>
            <w:r>
              <w:rPr>
                <w:rFonts w:hint="default" w:ascii="Times New Roman" w:hAnsi="Times New Roman" w:eastAsia="宋体" w:cs="Times New Roman"/>
                <w:color w:val="auto"/>
                <w:kern w:val="0"/>
                <w:sz w:val="24"/>
                <w:szCs w:val="24"/>
              </w:rPr>
              <w:t>监测使用的声级计经计量部门检定、并在有效期内；声级计在测试前后用标准发生源进行校准，测量前后仪器的灵敏度相差不大于0.5dB。</w:t>
            </w:r>
          </w:p>
          <w:p>
            <w:pPr>
              <w:keepNext w:val="0"/>
              <w:keepLines w:val="0"/>
              <w:pageBreakBefore w:val="0"/>
              <w:widowControl w:val="0"/>
              <w:kinsoku/>
              <w:wordWrap/>
              <w:overflowPunct/>
              <w:topLinePunct w:val="0"/>
              <w:autoSpaceDE/>
              <w:autoSpaceDN/>
              <w:bidi w:val="0"/>
              <w:spacing w:after="0" w:afterLines="0"/>
              <w:ind w:firstLine="0" w:firstLineChars="0"/>
              <w:jc w:val="center"/>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5</w:t>
            </w:r>
            <w:r>
              <w:rPr>
                <w:rFonts w:hint="default" w:ascii="Times New Roman" w:hAnsi="Times New Roman" w:eastAsia="宋体" w:cs="Times New Roman"/>
                <w:b/>
                <w:color w:val="auto"/>
                <w:szCs w:val="21"/>
              </w:rPr>
              <w:t>-</w:t>
            </w:r>
            <w:r>
              <w:rPr>
                <w:rFonts w:hint="default" w:ascii="Times New Roman" w:hAnsi="Times New Roman" w:eastAsia="宋体" w:cs="Times New Roman"/>
                <w:b/>
                <w:color w:val="auto"/>
                <w:szCs w:val="21"/>
                <w:lang w:val="en-US" w:eastAsia="zh-CN"/>
              </w:rPr>
              <w:t>5</w:t>
            </w:r>
            <w:r>
              <w:rPr>
                <w:rFonts w:hint="default" w:ascii="Times New Roman" w:hAnsi="Times New Roman" w:eastAsia="宋体" w:cs="Times New Roman"/>
                <w:b/>
                <w:color w:val="auto"/>
                <w:szCs w:val="21"/>
                <w:lang w:eastAsia="zh-CN"/>
              </w:rPr>
              <w:t>噪声仪校准结果</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075"/>
              <w:gridCol w:w="1217"/>
              <w:gridCol w:w="1217"/>
              <w:gridCol w:w="1217"/>
              <w:gridCol w:w="1217"/>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5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仪器名称</w:t>
                  </w:r>
                </w:p>
              </w:tc>
              <w:tc>
                <w:tcPr>
                  <w:tcW w:w="107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型号</w:t>
                  </w:r>
                </w:p>
              </w:tc>
              <w:tc>
                <w:tcPr>
                  <w:tcW w:w="121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编号</w:t>
                  </w:r>
                </w:p>
              </w:tc>
              <w:tc>
                <w:tcPr>
                  <w:tcW w:w="121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日期</w:t>
                  </w:r>
                </w:p>
              </w:tc>
              <w:tc>
                <w:tcPr>
                  <w:tcW w:w="121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测量前</w:t>
                  </w:r>
                </w:p>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dB（A）</w:t>
                  </w:r>
                </w:p>
              </w:tc>
              <w:tc>
                <w:tcPr>
                  <w:tcW w:w="121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测量后</w:t>
                  </w:r>
                </w:p>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dB（A）</w:t>
                  </w:r>
                </w:p>
              </w:tc>
              <w:tc>
                <w:tcPr>
                  <w:tcW w:w="122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135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多功能噪声分析仪</w:t>
                  </w:r>
                </w:p>
              </w:tc>
              <w:tc>
                <w:tcPr>
                  <w:tcW w:w="107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HS6288E</w:t>
                  </w:r>
                </w:p>
              </w:tc>
              <w:tc>
                <w:tcPr>
                  <w:tcW w:w="121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YQ130</w:t>
                  </w:r>
                </w:p>
              </w:tc>
              <w:tc>
                <w:tcPr>
                  <w:tcW w:w="121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2020.01.08</w:t>
                  </w:r>
                </w:p>
              </w:tc>
              <w:tc>
                <w:tcPr>
                  <w:tcW w:w="121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93.8</w:t>
                  </w:r>
                </w:p>
              </w:tc>
              <w:tc>
                <w:tcPr>
                  <w:tcW w:w="121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93.8</w:t>
                  </w:r>
                </w:p>
              </w:tc>
              <w:tc>
                <w:tcPr>
                  <w:tcW w:w="122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5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多功能噪声分析仪</w:t>
                  </w:r>
                </w:p>
              </w:tc>
              <w:tc>
                <w:tcPr>
                  <w:tcW w:w="107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HS6288E</w:t>
                  </w:r>
                </w:p>
              </w:tc>
              <w:tc>
                <w:tcPr>
                  <w:tcW w:w="121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YQ130</w:t>
                  </w:r>
                </w:p>
              </w:tc>
              <w:tc>
                <w:tcPr>
                  <w:tcW w:w="121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2020.01.09</w:t>
                  </w:r>
                </w:p>
              </w:tc>
              <w:tc>
                <w:tcPr>
                  <w:tcW w:w="121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93.8</w:t>
                  </w:r>
                </w:p>
              </w:tc>
              <w:tc>
                <w:tcPr>
                  <w:tcW w:w="121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93.8</w:t>
                  </w:r>
                </w:p>
              </w:tc>
              <w:tc>
                <w:tcPr>
                  <w:tcW w:w="122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合格</w:t>
                  </w:r>
                </w:p>
              </w:tc>
            </w:tr>
          </w:tbl>
          <w:p>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both"/>
              <w:textAlignment w:val="auto"/>
              <w:outlineLvl w:val="9"/>
              <w:rPr>
                <w:rFonts w:hint="default" w:ascii="Times New Roman" w:hAnsi="Times New Roman" w:eastAsia="宋体" w:cs="Times New Roman"/>
                <w:color w:val="0000FF"/>
                <w:sz w:val="21"/>
                <w:szCs w:val="21"/>
                <w:vertAlign w:val="baseline"/>
                <w:lang w:val="en-US" w:eastAsia="zh-CN"/>
              </w:rPr>
            </w:pPr>
          </w:p>
        </w:tc>
      </w:tr>
    </w:tbl>
    <w:p>
      <w:pPr>
        <w:spacing w:line="360" w:lineRule="auto"/>
        <w:rPr>
          <w:rFonts w:hint="default" w:ascii="Times New Roman" w:hAnsi="Times New Roman" w:eastAsia="宋体" w:cs="Times New Roman"/>
          <w:color w:val="0000FF"/>
          <w:sz w:val="21"/>
          <w:szCs w:val="21"/>
        </w:rPr>
      </w:pPr>
    </w:p>
    <w:p>
      <w:pPr>
        <w:spacing w:line="360" w:lineRule="auto"/>
        <w:rPr>
          <w:rFonts w:hint="default" w:ascii="Times New Roman" w:hAnsi="Times New Roman" w:eastAsia="宋体" w:cs="Times New Roman"/>
          <w:color w:val="0000FF"/>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outlineLvl w:val="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表六</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9" w:hRule="atLeast"/>
        </w:trPr>
        <w:tc>
          <w:tcPr>
            <w:tcW w:w="8522" w:type="dxa"/>
          </w:tcPr>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验收监测内容：</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1"/>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pPr>
            <w:bookmarkStart w:id="4" w:name="_Toc4084"/>
            <w:bookmarkStart w:id="5" w:name="_Toc24246"/>
            <w:r>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t>1、环境保护设施调试效果</w:t>
            </w:r>
            <w:bookmarkEnd w:id="4"/>
            <w:bookmarkEnd w:id="5"/>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t>通过对各类污染物达标排放排放及各类污染治理设施去除效率的监测，来说明环境保护设施调试效果，具体监测内容如下：</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2"/>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t>（1） 废水</w:t>
            </w:r>
          </w:p>
          <w:p>
            <w:pPr>
              <w:pStyle w:val="9"/>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t>本次验收废水监测明细表见下表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9"/>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表6-1 废水监测内容明细</w:t>
            </w:r>
          </w:p>
          <w:tbl>
            <w:tblPr>
              <w:tblStyle w:val="20"/>
              <w:tblW w:w="7941"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6"/>
              <w:gridCol w:w="3235"/>
              <w:gridCol w:w="1370"/>
              <w:gridCol w:w="1680"/>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5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监测项目</w:t>
                  </w:r>
                </w:p>
              </w:tc>
              <w:tc>
                <w:tcPr>
                  <w:tcW w:w="32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监测点位</w:t>
                  </w:r>
                </w:p>
              </w:tc>
              <w:tc>
                <w:tcPr>
                  <w:tcW w:w="13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环保设施</w:t>
                  </w:r>
                </w:p>
              </w:tc>
              <w:tc>
                <w:tcPr>
                  <w:tcW w:w="168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监测频次</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16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废水</w:t>
                  </w:r>
                </w:p>
              </w:tc>
              <w:tc>
                <w:tcPr>
                  <w:tcW w:w="32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废水排放口</w:t>
                  </w:r>
                </w:p>
              </w:tc>
              <w:tc>
                <w:tcPr>
                  <w:tcW w:w="1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三级化粪池</w:t>
                  </w:r>
                </w:p>
              </w:tc>
              <w:tc>
                <w:tcPr>
                  <w:tcW w:w="16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3次/天，2天</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181" w:afterLines="50" w:line="360" w:lineRule="auto"/>
              <w:ind w:right="0" w:rightChars="0" w:firstLine="480" w:firstLineChars="200"/>
              <w:jc w:val="both"/>
              <w:textAlignment w:val="auto"/>
              <w:outlineLvl w:val="2"/>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t>（2）废气</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181" w:afterLines="50" w:line="360" w:lineRule="auto"/>
              <w:ind w:right="0" w:rightChars="0" w:firstLine="480" w:firstLineChars="200"/>
              <w:jc w:val="both"/>
              <w:textAlignment w:val="auto"/>
              <w:outlineLvl w:val="2"/>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t>本项目厨房油烟废气经吸排油烟机处理后，经竖向专用烟道引出个住宅楼屋顶集中排放，废气产生量小，且经过处理后对空气环境影响极小；垃圾收集点的垃圾由环卫部门每天及时收集外运，产生的恶臭气味可得到及时处理，对小区居民影响不大。故本次验收不对废气进行监测。</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181" w:afterLines="50" w:line="360" w:lineRule="auto"/>
              <w:ind w:right="0" w:rightChars="0" w:firstLine="480" w:firstLineChars="200"/>
              <w:jc w:val="both"/>
              <w:textAlignment w:val="auto"/>
              <w:outlineLvl w:val="2"/>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t>（3）噪声</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t>本次验收场界噪声监测明细表见下表。</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0" w:line="240" w:lineRule="auto"/>
              <w:ind w:right="0" w:right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表6-2 厂界噪声监测内容明细</w:t>
            </w:r>
          </w:p>
          <w:tbl>
            <w:tblPr>
              <w:tblStyle w:val="20"/>
              <w:tblW w:w="7990"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1963"/>
              <w:gridCol w:w="1421"/>
              <w:gridCol w:w="283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监测项目</w:t>
                  </w:r>
                </w:p>
              </w:tc>
              <w:tc>
                <w:tcPr>
                  <w:tcW w:w="1963"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监测点位</w:t>
                  </w:r>
                </w:p>
              </w:tc>
              <w:tc>
                <w:tcPr>
                  <w:tcW w:w="142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环保设施</w:t>
                  </w:r>
                </w:p>
              </w:tc>
              <w:tc>
                <w:tcPr>
                  <w:tcW w:w="283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8"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场界噪声</w:t>
                  </w:r>
                </w:p>
              </w:tc>
              <w:tc>
                <w:tcPr>
                  <w:tcW w:w="1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厂界1</w:t>
                  </w:r>
                </w:p>
              </w:tc>
              <w:tc>
                <w:tcPr>
                  <w:tcW w:w="1421"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绿化</w:t>
                  </w:r>
                </w:p>
              </w:tc>
              <w:tc>
                <w:tcPr>
                  <w:tcW w:w="2838"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昼夜1次/天，2天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p>
              </w:tc>
              <w:tc>
                <w:tcPr>
                  <w:tcW w:w="1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厂界2</w:t>
                  </w:r>
                </w:p>
              </w:tc>
              <w:tc>
                <w:tcPr>
                  <w:tcW w:w="142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p>
              </w:tc>
              <w:tc>
                <w:tcPr>
                  <w:tcW w:w="283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p>
              </w:tc>
              <w:tc>
                <w:tcPr>
                  <w:tcW w:w="1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厂界3</w:t>
                  </w:r>
                </w:p>
              </w:tc>
              <w:tc>
                <w:tcPr>
                  <w:tcW w:w="142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p>
              </w:tc>
              <w:tc>
                <w:tcPr>
                  <w:tcW w:w="283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p>
              </w:tc>
              <w:tc>
                <w:tcPr>
                  <w:tcW w:w="1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厂界4</w:t>
                  </w:r>
                </w:p>
              </w:tc>
              <w:tc>
                <w:tcPr>
                  <w:tcW w:w="142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p>
              </w:tc>
              <w:tc>
                <w:tcPr>
                  <w:tcW w:w="283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p>
              </w:tc>
            </w:tr>
          </w:tbl>
          <w:p>
            <w:pPr>
              <w:widowControl w:val="0"/>
              <w:spacing w:line="360" w:lineRule="auto"/>
              <w:jc w:val="both"/>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r>
    </w:tbl>
    <w:p>
      <w:pPr>
        <w:spacing w:after="0" w:afterLines="0" w:line="360" w:lineRule="auto"/>
        <w:outlineLvl w:val="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表七</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5" w:hRule="atLeast"/>
        </w:trPr>
        <w:tc>
          <w:tcPr>
            <w:tcW w:w="8522" w:type="dxa"/>
          </w:tcPr>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验收监测</w:t>
            </w:r>
            <w:r>
              <w:rPr>
                <w:rFonts w:hint="default" w:ascii="Times New Roman" w:hAnsi="Times New Roman" w:eastAsia="宋体" w:cs="Times New Roman"/>
                <w:b/>
                <w:bCs/>
                <w:color w:val="auto"/>
                <w:sz w:val="24"/>
                <w:szCs w:val="24"/>
                <w:lang w:val="en-US" w:eastAsia="zh-CN"/>
              </w:rPr>
              <w:t>结果</w:t>
            </w:r>
            <w:r>
              <w:rPr>
                <w:rFonts w:hint="default" w:ascii="Times New Roman" w:hAnsi="Times New Roman" w:eastAsia="宋体" w:cs="Times New Roman"/>
                <w:b/>
                <w:bCs/>
                <w:color w:val="auto"/>
                <w:sz w:val="24"/>
                <w:szCs w:val="24"/>
              </w:rPr>
              <w:t>：</w:t>
            </w:r>
          </w:p>
          <w:p>
            <w:pPr>
              <w:pStyle w:val="4"/>
              <w:keepNext/>
              <w:keepLines/>
              <w:pageBreakBefore w:val="0"/>
              <w:widowControl/>
              <w:numPr>
                <w:ilvl w:val="0"/>
                <w:numId w:val="0"/>
              </w:numPr>
              <w:kinsoku/>
              <w:wordWrap/>
              <w:overflowPunct/>
              <w:topLinePunct w:val="0"/>
              <w:autoSpaceDE/>
              <w:autoSpaceDN/>
              <w:bidi w:val="0"/>
              <w:adjustRightInd w:val="0"/>
              <w:snapToGrid w:val="0"/>
              <w:spacing w:before="0" w:beforeLines="0" w:after="0" w:afterLines="0" w:line="360" w:lineRule="auto"/>
              <w:ind w:firstLine="480" w:firstLineChars="200"/>
              <w:jc w:val="both"/>
              <w:textAlignment w:val="auto"/>
              <w:outlineLvl w:val="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（1）废水</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废水监测结果见下表。</w:t>
            </w:r>
          </w:p>
          <w:p>
            <w:pPr>
              <w:pStyle w:val="26"/>
              <w:spacing w:line="240" w:lineRule="auto"/>
              <w:ind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表7-2 废水监测结果</w:t>
            </w:r>
          </w:p>
          <w:tbl>
            <w:tblPr>
              <w:tblStyle w:val="20"/>
              <w:tblW w:w="820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94"/>
              <w:gridCol w:w="1219"/>
              <w:gridCol w:w="1152"/>
              <w:gridCol w:w="1140"/>
              <w:gridCol w:w="1140"/>
              <w:gridCol w:w="1173"/>
              <w:gridCol w:w="89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dxa"/>
                  <w:vMerge w:val="restart"/>
                  <w:tcBorders>
                    <w:tl2br w:val="nil"/>
                    <w:tr2bl w:val="nil"/>
                  </w:tcBorders>
                  <w:vAlign w:val="center"/>
                </w:tcPr>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794" w:type="dxa"/>
                  <w:vMerge w:val="restart"/>
                  <w:tcBorders>
                    <w:tl2br w:val="nil"/>
                    <w:tr2bl w:val="nil"/>
                  </w:tcBorders>
                  <w:vAlign w:val="center"/>
                </w:tcPr>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19" w:type="dxa"/>
                  <w:vMerge w:val="restart"/>
                  <w:tcBorders>
                    <w:tl2br w:val="nil"/>
                    <w:tr2bl w:val="nil"/>
                  </w:tcBorders>
                  <w:vAlign w:val="center"/>
                </w:tcPr>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w:t>
                  </w:r>
                </w:p>
              </w:tc>
              <w:tc>
                <w:tcPr>
                  <w:tcW w:w="4605" w:type="dxa"/>
                  <w:gridSpan w:val="4"/>
                  <w:tcBorders>
                    <w:tl2br w:val="nil"/>
                    <w:tr2bl w:val="nil"/>
                  </w:tcBorders>
                </w:tcPr>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监测结果（单位：mg/L，pH值除外）</w:t>
                  </w:r>
                </w:p>
              </w:tc>
              <w:tc>
                <w:tcPr>
                  <w:tcW w:w="897" w:type="dxa"/>
                  <w:tcBorders>
                    <w:tl2br w:val="nil"/>
                    <w:tr2bl w:val="nil"/>
                  </w:tcBorders>
                </w:tcPr>
                <w:p>
                  <w:pPr>
                    <w:pStyle w:val="26"/>
                    <w:jc w:val="center"/>
                    <w:rPr>
                      <w:rFonts w:hint="default" w:ascii="Times New Roman" w:hAnsi="Times New Roman" w:eastAsia="宋体" w:cs="Times New Roman"/>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94" w:type="dxa"/>
                  <w:vMerge w:val="continue"/>
                  <w:tcBorders>
                    <w:tl2br w:val="nil"/>
                    <w:tr2bl w:val="nil"/>
                  </w:tcBorders>
                </w:tcPr>
                <w:p>
                  <w:pPr>
                    <w:pStyle w:val="26"/>
                    <w:jc w:val="center"/>
                    <w:rPr>
                      <w:rFonts w:hint="default" w:ascii="Times New Roman" w:hAnsi="Times New Roman" w:eastAsia="宋体" w:cs="Times New Roman"/>
                      <w:b/>
                      <w:bCs/>
                      <w:color w:val="auto"/>
                      <w:sz w:val="21"/>
                      <w:szCs w:val="21"/>
                      <w:vertAlign w:val="baseline"/>
                      <w:lang w:val="en-US" w:eastAsia="zh-CN"/>
                    </w:rPr>
                  </w:pPr>
                </w:p>
              </w:tc>
              <w:tc>
                <w:tcPr>
                  <w:tcW w:w="794" w:type="dxa"/>
                  <w:vMerge w:val="continue"/>
                  <w:tcBorders>
                    <w:tl2br w:val="nil"/>
                    <w:tr2bl w:val="nil"/>
                  </w:tcBorders>
                </w:tcPr>
                <w:p>
                  <w:pPr>
                    <w:pStyle w:val="26"/>
                    <w:jc w:val="center"/>
                    <w:rPr>
                      <w:rFonts w:hint="default" w:ascii="Times New Roman" w:hAnsi="Times New Roman" w:eastAsia="宋体" w:cs="Times New Roman"/>
                      <w:b/>
                      <w:bCs/>
                      <w:color w:val="auto"/>
                      <w:sz w:val="21"/>
                      <w:szCs w:val="21"/>
                      <w:vertAlign w:val="baseline"/>
                      <w:lang w:val="en-US" w:eastAsia="zh-CN"/>
                    </w:rPr>
                  </w:pPr>
                </w:p>
              </w:tc>
              <w:tc>
                <w:tcPr>
                  <w:tcW w:w="1219" w:type="dxa"/>
                  <w:vMerge w:val="continue"/>
                  <w:tcBorders>
                    <w:tl2br w:val="nil"/>
                    <w:tr2bl w:val="nil"/>
                  </w:tcBorders>
                </w:tcPr>
                <w:p>
                  <w:pPr>
                    <w:pStyle w:val="26"/>
                    <w:jc w:val="center"/>
                    <w:rPr>
                      <w:rFonts w:hint="default" w:ascii="Times New Roman" w:hAnsi="Times New Roman" w:eastAsia="宋体" w:cs="Times New Roman"/>
                      <w:b/>
                      <w:bCs/>
                      <w:color w:val="auto"/>
                      <w:sz w:val="21"/>
                      <w:szCs w:val="21"/>
                      <w:vertAlign w:val="baseline"/>
                      <w:lang w:val="en-US" w:eastAsia="zh-CN"/>
                    </w:rPr>
                  </w:pPr>
                </w:p>
              </w:tc>
              <w:tc>
                <w:tcPr>
                  <w:tcW w:w="1152" w:type="dxa"/>
                  <w:tcBorders>
                    <w:tl2br w:val="nil"/>
                    <w:tr2bl w:val="nil"/>
                  </w:tcBorders>
                  <w:vAlign w:val="center"/>
                </w:tcPr>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第一次</w:t>
                  </w:r>
                </w:p>
              </w:tc>
              <w:tc>
                <w:tcPr>
                  <w:tcW w:w="1140" w:type="dxa"/>
                  <w:tcBorders>
                    <w:tl2br w:val="nil"/>
                    <w:tr2bl w:val="nil"/>
                  </w:tcBorders>
                  <w:vAlign w:val="center"/>
                </w:tcPr>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第二次</w:t>
                  </w:r>
                </w:p>
              </w:tc>
              <w:tc>
                <w:tcPr>
                  <w:tcW w:w="1140" w:type="dxa"/>
                  <w:tcBorders>
                    <w:tl2br w:val="nil"/>
                    <w:tr2bl w:val="nil"/>
                  </w:tcBorders>
                  <w:vAlign w:val="center"/>
                </w:tcPr>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第三次</w:t>
                  </w:r>
                </w:p>
              </w:tc>
              <w:tc>
                <w:tcPr>
                  <w:tcW w:w="1173" w:type="dxa"/>
                  <w:tcBorders>
                    <w:tl2br w:val="nil"/>
                    <w:tr2bl w:val="nil"/>
                  </w:tcBorders>
                </w:tcPr>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平均值</w:t>
                  </w:r>
                </w:p>
              </w:tc>
              <w:tc>
                <w:tcPr>
                  <w:tcW w:w="897" w:type="dxa"/>
                  <w:tcBorders>
                    <w:tl2br w:val="nil"/>
                    <w:tr2bl w:val="nil"/>
                  </w:tcBorders>
                </w:tcPr>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限值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restart"/>
                  <w:tcBorders>
                    <w:tl2br w:val="nil"/>
                    <w:tr2bl w:val="nil"/>
                  </w:tcBorders>
                  <w:vAlign w:val="center"/>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2020.1.8</w:t>
                  </w:r>
                </w:p>
              </w:tc>
              <w:tc>
                <w:tcPr>
                  <w:tcW w:w="794" w:type="dxa"/>
                  <w:vMerge w:val="restart"/>
                  <w:tcBorders>
                    <w:tl2br w:val="nil"/>
                    <w:tr2bl w:val="nil"/>
                  </w:tcBorders>
                  <w:vAlign w:val="center"/>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4"/>
                      <w:szCs w:val="24"/>
                      <w:lang w:val="en-US" w:eastAsia="zh-CN"/>
                    </w:rPr>
                    <w:t>废水总排口W1</w:t>
                  </w:r>
                </w:p>
              </w:tc>
              <w:tc>
                <w:tcPr>
                  <w:tcW w:w="1219" w:type="dxa"/>
                  <w:tcBorders>
                    <w:tl2br w:val="nil"/>
                    <w:tr2bl w:val="nil"/>
                  </w:tcBorders>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w:t>
                  </w:r>
                </w:p>
              </w:tc>
              <w:tc>
                <w:tcPr>
                  <w:tcW w:w="1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6.52</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6.49</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6.48</w:t>
                  </w:r>
                </w:p>
              </w:tc>
              <w:tc>
                <w:tcPr>
                  <w:tcW w:w="1173" w:type="dxa"/>
                  <w:tcBorders>
                    <w:tl2br w:val="nil"/>
                    <w:tr2bl w:val="nil"/>
                  </w:tcBorders>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fldChar w:fldCharType="begin"/>
                  </w:r>
                  <w:r>
                    <w:rPr>
                      <w:rFonts w:hint="default" w:ascii="Times New Roman" w:hAnsi="Times New Roman" w:eastAsia="宋体" w:cs="Times New Roman"/>
                      <w:color w:val="auto"/>
                      <w:sz w:val="21"/>
                      <w:szCs w:val="21"/>
                      <w:vertAlign w:val="baseline"/>
                      <w:lang w:val="en-US" w:eastAsia="zh-CN"/>
                    </w:rPr>
                    <w:instrText xml:space="preserve"> = average(D3:F3) \* MERGEFORMAT </w:instrText>
                  </w:r>
                  <w:r>
                    <w:rPr>
                      <w:rFonts w:hint="default" w:ascii="Times New Roman" w:hAnsi="Times New Roman" w:eastAsia="宋体" w:cs="Times New Roman"/>
                      <w:color w:val="auto"/>
                      <w:sz w:val="21"/>
                      <w:szCs w:val="21"/>
                      <w:vertAlign w:val="baseline"/>
                      <w:lang w:val="en-US" w:eastAsia="zh-CN"/>
                    </w:rPr>
                    <w:fldChar w:fldCharType="separate"/>
                  </w:r>
                  <w:r>
                    <w:rPr>
                      <w:rFonts w:hint="default" w:ascii="Times New Roman" w:hAnsi="Times New Roman" w:eastAsia="宋体" w:cs="Times New Roman"/>
                      <w:color w:val="auto"/>
                      <w:sz w:val="21"/>
                      <w:szCs w:val="21"/>
                      <w:vertAlign w:val="baseline"/>
                      <w:lang w:val="en-US" w:eastAsia="zh-CN"/>
                    </w:rPr>
                    <w:t>6.49</w:t>
                  </w:r>
                  <w:r>
                    <w:rPr>
                      <w:rFonts w:hint="default" w:ascii="Times New Roman" w:hAnsi="Times New Roman" w:eastAsia="宋体" w:cs="Times New Roman"/>
                      <w:color w:val="auto"/>
                      <w:sz w:val="21"/>
                      <w:szCs w:val="21"/>
                      <w:vertAlign w:val="baseline"/>
                      <w:lang w:val="en-US" w:eastAsia="zh-CN"/>
                    </w:rPr>
                    <w:fldChar w:fldCharType="end"/>
                  </w:r>
                </w:p>
              </w:tc>
              <w:tc>
                <w:tcPr>
                  <w:tcW w:w="897" w:type="dxa"/>
                  <w:tcBorders>
                    <w:tl2br w:val="nil"/>
                    <w:tr2bl w:val="nil"/>
                  </w:tcBorders>
                  <w:vAlign w:val="top"/>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tcBorders>
                    <w:tl2br w:val="nil"/>
                    <w:tr2bl w:val="nil"/>
                  </w:tcBorders>
                  <w:vAlign w:val="center"/>
                </w:tcPr>
                <w:p>
                  <w:pPr>
                    <w:pStyle w:val="26"/>
                    <w:jc w:val="center"/>
                    <w:rPr>
                      <w:rFonts w:hint="default" w:ascii="Times New Roman" w:hAnsi="Times New Roman" w:eastAsia="宋体" w:cs="Times New Roman"/>
                      <w:color w:val="auto"/>
                      <w:sz w:val="21"/>
                      <w:szCs w:val="21"/>
                      <w:vertAlign w:val="baseline"/>
                      <w:lang w:val="en-US" w:eastAsia="zh-CN"/>
                    </w:rPr>
                  </w:pPr>
                </w:p>
              </w:tc>
              <w:tc>
                <w:tcPr>
                  <w:tcW w:w="794" w:type="dxa"/>
                  <w:vMerge w:val="continue"/>
                  <w:tcBorders>
                    <w:tl2br w:val="nil"/>
                    <w:tr2bl w:val="nil"/>
                  </w:tcBorders>
                  <w:vAlign w:val="center"/>
                </w:tcPr>
                <w:p>
                  <w:pPr>
                    <w:pStyle w:val="26"/>
                    <w:jc w:val="center"/>
                    <w:rPr>
                      <w:rFonts w:hint="default" w:ascii="Times New Roman" w:hAnsi="Times New Roman" w:eastAsia="宋体" w:cs="Times New Roman"/>
                      <w:color w:val="auto"/>
                      <w:sz w:val="21"/>
                      <w:szCs w:val="21"/>
                      <w:vertAlign w:val="baseline"/>
                      <w:lang w:val="en-US" w:eastAsia="zh-CN"/>
                    </w:rPr>
                  </w:pPr>
                </w:p>
              </w:tc>
              <w:tc>
                <w:tcPr>
                  <w:tcW w:w="1219" w:type="dxa"/>
                  <w:tcBorders>
                    <w:tl2br w:val="nil"/>
                    <w:tr2bl w:val="nil"/>
                  </w:tcBorders>
                  <w:vAlign w:val="top"/>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p>
              </w:tc>
              <w:tc>
                <w:tcPr>
                  <w:tcW w:w="1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401</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407</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405</w:t>
                  </w:r>
                </w:p>
              </w:tc>
              <w:tc>
                <w:tcPr>
                  <w:tcW w:w="11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fldChar w:fldCharType="begin"/>
                  </w:r>
                  <w:r>
                    <w:rPr>
                      <w:rFonts w:hint="default" w:ascii="Times New Roman" w:hAnsi="Times New Roman" w:eastAsia="宋体" w:cs="Times New Roman"/>
                      <w:b w:val="0"/>
                      <w:bCs w:val="0"/>
                      <w:color w:val="auto"/>
                      <w:sz w:val="21"/>
                      <w:szCs w:val="21"/>
                      <w:vertAlign w:val="baseline"/>
                      <w:lang w:val="en-US" w:eastAsia="zh-CN"/>
                    </w:rPr>
                    <w:instrText xml:space="preserve"> = average(D4:F4) \* MERGEFORMAT </w:instrText>
                  </w:r>
                  <w:r>
                    <w:rPr>
                      <w:rFonts w:hint="default" w:ascii="Times New Roman" w:hAnsi="Times New Roman" w:eastAsia="宋体" w:cs="Times New Roman"/>
                      <w:b w:val="0"/>
                      <w:bCs w:val="0"/>
                      <w:color w:val="auto"/>
                      <w:sz w:val="21"/>
                      <w:szCs w:val="21"/>
                      <w:vertAlign w:val="baseline"/>
                      <w:lang w:val="en-US" w:eastAsia="zh-CN"/>
                    </w:rPr>
                    <w:fldChar w:fldCharType="separate"/>
                  </w:r>
                  <w:r>
                    <w:rPr>
                      <w:rFonts w:hint="default" w:ascii="Times New Roman" w:hAnsi="Times New Roman" w:eastAsia="宋体" w:cs="Times New Roman"/>
                      <w:b w:val="0"/>
                      <w:bCs w:val="0"/>
                      <w:color w:val="auto"/>
                      <w:sz w:val="21"/>
                      <w:szCs w:val="21"/>
                      <w:vertAlign w:val="baseline"/>
                      <w:lang w:val="en-US" w:eastAsia="zh-CN"/>
                    </w:rPr>
                    <w:t>404.3</w:t>
                  </w:r>
                  <w:r>
                    <w:rPr>
                      <w:rFonts w:hint="default" w:ascii="Times New Roman" w:hAnsi="Times New Roman" w:eastAsia="宋体" w:cs="Times New Roman"/>
                      <w:b w:val="0"/>
                      <w:bCs w:val="0"/>
                      <w:color w:val="auto"/>
                      <w:sz w:val="21"/>
                      <w:szCs w:val="21"/>
                      <w:vertAlign w:val="baseline"/>
                      <w:lang w:val="en-US" w:eastAsia="zh-CN"/>
                    </w:rPr>
                    <w:fldChar w:fldCharType="end"/>
                  </w:r>
                </w:p>
              </w:tc>
              <w:tc>
                <w:tcPr>
                  <w:tcW w:w="8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tcBorders>
                    <w:tl2br w:val="nil"/>
                    <w:tr2bl w:val="nil"/>
                  </w:tcBorders>
                  <w:vAlign w:val="center"/>
                </w:tcPr>
                <w:p>
                  <w:pPr>
                    <w:pStyle w:val="26"/>
                    <w:jc w:val="center"/>
                    <w:rPr>
                      <w:rFonts w:hint="default" w:ascii="Times New Roman" w:hAnsi="Times New Roman" w:eastAsia="宋体" w:cs="Times New Roman"/>
                      <w:color w:val="auto"/>
                      <w:sz w:val="21"/>
                      <w:szCs w:val="21"/>
                      <w:vertAlign w:val="baseline"/>
                      <w:lang w:val="en-US" w:eastAsia="zh-CN"/>
                    </w:rPr>
                  </w:pPr>
                </w:p>
              </w:tc>
              <w:tc>
                <w:tcPr>
                  <w:tcW w:w="794" w:type="dxa"/>
                  <w:vMerge w:val="continue"/>
                  <w:tcBorders>
                    <w:tl2br w:val="nil"/>
                    <w:tr2bl w:val="nil"/>
                  </w:tcBorders>
                  <w:vAlign w:val="center"/>
                </w:tcPr>
                <w:p>
                  <w:pPr>
                    <w:pStyle w:val="26"/>
                    <w:jc w:val="center"/>
                    <w:rPr>
                      <w:rFonts w:hint="default" w:ascii="Times New Roman" w:hAnsi="Times New Roman" w:eastAsia="宋体" w:cs="Times New Roman"/>
                      <w:color w:val="auto"/>
                      <w:sz w:val="21"/>
                      <w:szCs w:val="21"/>
                      <w:vertAlign w:val="baseline"/>
                      <w:lang w:val="en-US" w:eastAsia="zh-CN"/>
                    </w:rPr>
                  </w:pPr>
                </w:p>
              </w:tc>
              <w:tc>
                <w:tcPr>
                  <w:tcW w:w="1219" w:type="dxa"/>
                  <w:tcBorders>
                    <w:tl2br w:val="nil"/>
                    <w:tr2bl w:val="nil"/>
                  </w:tcBorders>
                  <w:vAlign w:val="top"/>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1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120</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123</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122</w:t>
                  </w:r>
                </w:p>
              </w:tc>
              <w:tc>
                <w:tcPr>
                  <w:tcW w:w="11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fldChar w:fldCharType="begin"/>
                  </w:r>
                  <w:r>
                    <w:rPr>
                      <w:rFonts w:hint="default" w:ascii="Times New Roman" w:hAnsi="Times New Roman" w:eastAsia="宋体" w:cs="Times New Roman"/>
                      <w:b w:val="0"/>
                      <w:bCs w:val="0"/>
                      <w:color w:val="auto"/>
                      <w:sz w:val="21"/>
                      <w:szCs w:val="21"/>
                      <w:vertAlign w:val="baseline"/>
                      <w:lang w:val="en-US" w:eastAsia="zh-CN"/>
                    </w:rPr>
                    <w:instrText xml:space="preserve"> = average(D5:F5) \* MERGEFORMAT </w:instrText>
                  </w:r>
                  <w:r>
                    <w:rPr>
                      <w:rFonts w:hint="default" w:ascii="Times New Roman" w:hAnsi="Times New Roman" w:eastAsia="宋体" w:cs="Times New Roman"/>
                      <w:b w:val="0"/>
                      <w:bCs w:val="0"/>
                      <w:color w:val="auto"/>
                      <w:sz w:val="21"/>
                      <w:szCs w:val="21"/>
                      <w:vertAlign w:val="baseline"/>
                      <w:lang w:val="en-US" w:eastAsia="zh-CN"/>
                    </w:rPr>
                    <w:fldChar w:fldCharType="separate"/>
                  </w:r>
                  <w:r>
                    <w:rPr>
                      <w:rFonts w:hint="default" w:ascii="Times New Roman" w:hAnsi="Times New Roman" w:eastAsia="宋体" w:cs="Times New Roman"/>
                      <w:b w:val="0"/>
                      <w:bCs w:val="0"/>
                      <w:color w:val="auto"/>
                      <w:sz w:val="21"/>
                      <w:szCs w:val="21"/>
                      <w:vertAlign w:val="baseline"/>
                      <w:lang w:val="en-US" w:eastAsia="zh-CN"/>
                    </w:rPr>
                    <w:t>121.7</w:t>
                  </w:r>
                  <w:r>
                    <w:rPr>
                      <w:rFonts w:hint="default" w:ascii="Times New Roman" w:hAnsi="Times New Roman" w:eastAsia="宋体" w:cs="Times New Roman"/>
                      <w:b w:val="0"/>
                      <w:bCs w:val="0"/>
                      <w:color w:val="auto"/>
                      <w:sz w:val="21"/>
                      <w:szCs w:val="21"/>
                      <w:vertAlign w:val="baseline"/>
                      <w:lang w:val="en-US" w:eastAsia="zh-CN"/>
                    </w:rPr>
                    <w:fldChar w:fldCharType="end"/>
                  </w:r>
                </w:p>
              </w:tc>
              <w:tc>
                <w:tcPr>
                  <w:tcW w:w="8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tcBorders>
                    <w:tl2br w:val="nil"/>
                    <w:tr2bl w:val="nil"/>
                  </w:tcBorders>
                  <w:vAlign w:val="center"/>
                </w:tcPr>
                <w:p>
                  <w:pPr>
                    <w:pStyle w:val="26"/>
                    <w:jc w:val="center"/>
                    <w:rPr>
                      <w:rFonts w:hint="default" w:ascii="Times New Roman" w:hAnsi="Times New Roman" w:eastAsia="宋体" w:cs="Times New Roman"/>
                      <w:color w:val="auto"/>
                      <w:sz w:val="21"/>
                      <w:szCs w:val="21"/>
                      <w:vertAlign w:val="baseline"/>
                      <w:lang w:val="en-US" w:eastAsia="zh-CN"/>
                    </w:rPr>
                  </w:pPr>
                </w:p>
              </w:tc>
              <w:tc>
                <w:tcPr>
                  <w:tcW w:w="794" w:type="dxa"/>
                  <w:vMerge w:val="continue"/>
                  <w:tcBorders>
                    <w:tl2br w:val="nil"/>
                    <w:tr2bl w:val="nil"/>
                  </w:tcBorders>
                  <w:vAlign w:val="center"/>
                </w:tcPr>
                <w:p>
                  <w:pPr>
                    <w:pStyle w:val="26"/>
                    <w:jc w:val="center"/>
                    <w:rPr>
                      <w:rFonts w:hint="default" w:ascii="Times New Roman" w:hAnsi="Times New Roman" w:eastAsia="宋体" w:cs="Times New Roman"/>
                      <w:color w:val="auto"/>
                      <w:sz w:val="21"/>
                      <w:szCs w:val="21"/>
                      <w:vertAlign w:val="baseline"/>
                      <w:lang w:val="en-US" w:eastAsia="zh-CN"/>
                    </w:rPr>
                  </w:pPr>
                </w:p>
              </w:tc>
              <w:tc>
                <w:tcPr>
                  <w:tcW w:w="1219" w:type="dxa"/>
                  <w:tcBorders>
                    <w:tl2br w:val="nil"/>
                    <w:tr2bl w:val="nil"/>
                  </w:tcBorders>
                  <w:vAlign w:val="top"/>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1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80</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85</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82</w:t>
                  </w:r>
                </w:p>
              </w:tc>
              <w:tc>
                <w:tcPr>
                  <w:tcW w:w="11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fldChar w:fldCharType="begin"/>
                  </w:r>
                  <w:r>
                    <w:rPr>
                      <w:rFonts w:hint="default" w:ascii="Times New Roman" w:hAnsi="Times New Roman" w:eastAsia="宋体" w:cs="Times New Roman"/>
                      <w:b w:val="0"/>
                      <w:bCs w:val="0"/>
                      <w:color w:val="auto"/>
                      <w:sz w:val="21"/>
                      <w:szCs w:val="21"/>
                      <w:vertAlign w:val="baseline"/>
                      <w:lang w:val="en-US" w:eastAsia="zh-CN"/>
                    </w:rPr>
                    <w:instrText xml:space="preserve"> = average(D6:F6) \* MERGEFORMAT </w:instrText>
                  </w:r>
                  <w:r>
                    <w:rPr>
                      <w:rFonts w:hint="default" w:ascii="Times New Roman" w:hAnsi="Times New Roman" w:eastAsia="宋体" w:cs="Times New Roman"/>
                      <w:b w:val="0"/>
                      <w:bCs w:val="0"/>
                      <w:color w:val="auto"/>
                      <w:sz w:val="21"/>
                      <w:szCs w:val="21"/>
                      <w:vertAlign w:val="baseline"/>
                      <w:lang w:val="en-US" w:eastAsia="zh-CN"/>
                    </w:rPr>
                    <w:fldChar w:fldCharType="separate"/>
                  </w:r>
                  <w:r>
                    <w:rPr>
                      <w:rFonts w:hint="default" w:ascii="Times New Roman" w:hAnsi="Times New Roman" w:eastAsia="宋体" w:cs="Times New Roman"/>
                      <w:b w:val="0"/>
                      <w:bCs w:val="0"/>
                      <w:color w:val="auto"/>
                      <w:sz w:val="21"/>
                      <w:szCs w:val="21"/>
                      <w:vertAlign w:val="baseline"/>
                      <w:lang w:val="en-US" w:eastAsia="zh-CN"/>
                    </w:rPr>
                    <w:t>82.3</w:t>
                  </w:r>
                  <w:r>
                    <w:rPr>
                      <w:rFonts w:hint="default" w:ascii="Times New Roman" w:hAnsi="Times New Roman" w:eastAsia="宋体" w:cs="Times New Roman"/>
                      <w:b w:val="0"/>
                      <w:bCs w:val="0"/>
                      <w:color w:val="auto"/>
                      <w:sz w:val="21"/>
                      <w:szCs w:val="21"/>
                      <w:vertAlign w:val="baseline"/>
                      <w:lang w:val="en-US" w:eastAsia="zh-CN"/>
                    </w:rPr>
                    <w:fldChar w:fldCharType="end"/>
                  </w:r>
                </w:p>
              </w:tc>
              <w:tc>
                <w:tcPr>
                  <w:tcW w:w="8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tcBorders>
                    <w:tl2br w:val="nil"/>
                    <w:tr2bl w:val="nil"/>
                  </w:tcBorders>
                  <w:vAlign w:val="center"/>
                </w:tcPr>
                <w:p>
                  <w:pPr>
                    <w:pStyle w:val="26"/>
                    <w:jc w:val="center"/>
                    <w:rPr>
                      <w:rFonts w:hint="default" w:ascii="Times New Roman" w:hAnsi="Times New Roman" w:eastAsia="宋体" w:cs="Times New Roman"/>
                      <w:color w:val="auto"/>
                      <w:sz w:val="21"/>
                      <w:szCs w:val="21"/>
                      <w:vertAlign w:val="baseline"/>
                      <w:lang w:val="en-US" w:eastAsia="zh-CN"/>
                    </w:rPr>
                  </w:pPr>
                </w:p>
              </w:tc>
              <w:tc>
                <w:tcPr>
                  <w:tcW w:w="794" w:type="dxa"/>
                  <w:vMerge w:val="continue"/>
                  <w:tcBorders>
                    <w:tl2br w:val="nil"/>
                    <w:tr2bl w:val="nil"/>
                  </w:tcBorders>
                  <w:vAlign w:val="center"/>
                </w:tcPr>
                <w:p>
                  <w:pPr>
                    <w:pStyle w:val="26"/>
                    <w:jc w:val="center"/>
                    <w:rPr>
                      <w:rFonts w:hint="default" w:ascii="Times New Roman" w:hAnsi="Times New Roman" w:eastAsia="宋体" w:cs="Times New Roman"/>
                      <w:color w:val="auto"/>
                      <w:sz w:val="21"/>
                      <w:szCs w:val="21"/>
                      <w:vertAlign w:val="baseline"/>
                      <w:lang w:val="en-US" w:eastAsia="zh-CN"/>
                    </w:rPr>
                  </w:pPr>
                </w:p>
              </w:tc>
              <w:tc>
                <w:tcPr>
                  <w:tcW w:w="1219" w:type="dxa"/>
                  <w:tcBorders>
                    <w:tl2br w:val="nil"/>
                    <w:tr2bl w:val="nil"/>
                  </w:tcBorders>
                  <w:vAlign w:val="top"/>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氨氮</w:t>
                  </w:r>
                </w:p>
              </w:tc>
              <w:tc>
                <w:tcPr>
                  <w:tcW w:w="1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64.2</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62.9</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66.7</w:t>
                  </w:r>
                </w:p>
              </w:tc>
              <w:tc>
                <w:tcPr>
                  <w:tcW w:w="11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fldChar w:fldCharType="begin"/>
                  </w:r>
                  <w:r>
                    <w:rPr>
                      <w:rFonts w:hint="default" w:ascii="Times New Roman" w:hAnsi="Times New Roman" w:eastAsia="宋体" w:cs="Times New Roman"/>
                      <w:b w:val="0"/>
                      <w:bCs w:val="0"/>
                      <w:color w:val="auto"/>
                      <w:sz w:val="21"/>
                      <w:szCs w:val="21"/>
                      <w:vertAlign w:val="baseline"/>
                      <w:lang w:val="en-US" w:eastAsia="zh-CN"/>
                    </w:rPr>
                    <w:instrText xml:space="preserve"> = average(D7:F7) \* MERGEFORMAT </w:instrText>
                  </w:r>
                  <w:r>
                    <w:rPr>
                      <w:rFonts w:hint="default" w:ascii="Times New Roman" w:hAnsi="Times New Roman" w:eastAsia="宋体" w:cs="Times New Roman"/>
                      <w:b w:val="0"/>
                      <w:bCs w:val="0"/>
                      <w:color w:val="auto"/>
                      <w:sz w:val="21"/>
                      <w:szCs w:val="21"/>
                      <w:vertAlign w:val="baseline"/>
                      <w:lang w:val="en-US" w:eastAsia="zh-CN"/>
                    </w:rPr>
                    <w:fldChar w:fldCharType="separate"/>
                  </w:r>
                  <w:r>
                    <w:rPr>
                      <w:rFonts w:hint="default" w:ascii="Times New Roman" w:hAnsi="Times New Roman" w:eastAsia="宋体" w:cs="Times New Roman"/>
                      <w:b w:val="0"/>
                      <w:bCs w:val="0"/>
                      <w:color w:val="auto"/>
                      <w:sz w:val="21"/>
                      <w:szCs w:val="21"/>
                      <w:vertAlign w:val="baseline"/>
                      <w:lang w:val="en-US" w:eastAsia="zh-CN"/>
                    </w:rPr>
                    <w:t>64.6</w:t>
                  </w:r>
                  <w:r>
                    <w:rPr>
                      <w:rFonts w:hint="default" w:ascii="Times New Roman" w:hAnsi="Times New Roman" w:eastAsia="宋体" w:cs="Times New Roman"/>
                      <w:b w:val="0"/>
                      <w:bCs w:val="0"/>
                      <w:color w:val="auto"/>
                      <w:sz w:val="21"/>
                      <w:szCs w:val="21"/>
                      <w:vertAlign w:val="baseline"/>
                      <w:lang w:val="en-US" w:eastAsia="zh-CN"/>
                    </w:rPr>
                    <w:fldChar w:fldCharType="end"/>
                  </w:r>
                </w:p>
              </w:tc>
              <w:tc>
                <w:tcPr>
                  <w:tcW w:w="8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tcBorders>
                    <w:tl2br w:val="nil"/>
                    <w:tr2bl w:val="nil"/>
                  </w:tcBorders>
                  <w:vAlign w:val="center"/>
                </w:tcPr>
                <w:p>
                  <w:pPr>
                    <w:pStyle w:val="26"/>
                    <w:jc w:val="center"/>
                    <w:rPr>
                      <w:rFonts w:hint="default" w:ascii="Times New Roman" w:hAnsi="Times New Roman" w:eastAsia="宋体" w:cs="Times New Roman"/>
                      <w:color w:val="auto"/>
                      <w:sz w:val="21"/>
                      <w:szCs w:val="21"/>
                      <w:vertAlign w:val="baseline"/>
                      <w:lang w:val="en-US" w:eastAsia="zh-CN"/>
                    </w:rPr>
                  </w:pPr>
                </w:p>
              </w:tc>
              <w:tc>
                <w:tcPr>
                  <w:tcW w:w="794" w:type="dxa"/>
                  <w:vMerge w:val="continue"/>
                  <w:tcBorders>
                    <w:tl2br w:val="nil"/>
                    <w:tr2bl w:val="nil"/>
                  </w:tcBorders>
                  <w:vAlign w:val="center"/>
                </w:tcPr>
                <w:p>
                  <w:pPr>
                    <w:pStyle w:val="26"/>
                    <w:jc w:val="center"/>
                    <w:rPr>
                      <w:rFonts w:hint="default" w:ascii="Times New Roman" w:hAnsi="Times New Roman" w:eastAsia="宋体" w:cs="Times New Roman"/>
                      <w:color w:val="auto"/>
                      <w:sz w:val="21"/>
                      <w:szCs w:val="21"/>
                      <w:vertAlign w:val="baseline"/>
                      <w:lang w:val="en-US" w:eastAsia="zh-CN"/>
                    </w:rPr>
                  </w:pPr>
                </w:p>
              </w:tc>
              <w:tc>
                <w:tcPr>
                  <w:tcW w:w="1219" w:type="dxa"/>
                  <w:tcBorders>
                    <w:tl2br w:val="nil"/>
                    <w:tr2bl w:val="nil"/>
                  </w:tcBorders>
                  <w:vAlign w:val="top"/>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动植物油</w:t>
                  </w:r>
                </w:p>
              </w:tc>
              <w:tc>
                <w:tcPr>
                  <w:tcW w:w="1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0.06</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0.08</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0.07</w:t>
                  </w:r>
                </w:p>
              </w:tc>
              <w:tc>
                <w:tcPr>
                  <w:tcW w:w="11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fldChar w:fldCharType="begin"/>
                  </w:r>
                  <w:r>
                    <w:rPr>
                      <w:rFonts w:hint="default" w:ascii="Times New Roman" w:hAnsi="Times New Roman" w:eastAsia="宋体" w:cs="Times New Roman"/>
                      <w:b w:val="0"/>
                      <w:bCs w:val="0"/>
                      <w:color w:val="auto"/>
                      <w:sz w:val="21"/>
                      <w:szCs w:val="21"/>
                      <w:vertAlign w:val="baseline"/>
                      <w:lang w:val="en-US" w:eastAsia="zh-CN"/>
                    </w:rPr>
                    <w:instrText xml:space="preserve"> = average(D8:F8) \* MERGEFORMAT </w:instrText>
                  </w:r>
                  <w:r>
                    <w:rPr>
                      <w:rFonts w:hint="default" w:ascii="Times New Roman" w:hAnsi="Times New Roman" w:eastAsia="宋体" w:cs="Times New Roman"/>
                      <w:b w:val="0"/>
                      <w:bCs w:val="0"/>
                      <w:color w:val="auto"/>
                      <w:sz w:val="21"/>
                      <w:szCs w:val="21"/>
                      <w:vertAlign w:val="baseline"/>
                      <w:lang w:val="en-US" w:eastAsia="zh-CN"/>
                    </w:rPr>
                    <w:fldChar w:fldCharType="separate"/>
                  </w:r>
                  <w:r>
                    <w:rPr>
                      <w:rFonts w:hint="default" w:ascii="Times New Roman" w:hAnsi="Times New Roman" w:eastAsia="宋体" w:cs="Times New Roman"/>
                      <w:b w:val="0"/>
                      <w:bCs w:val="0"/>
                      <w:color w:val="auto"/>
                      <w:sz w:val="21"/>
                      <w:szCs w:val="21"/>
                      <w:vertAlign w:val="baseline"/>
                      <w:lang w:val="en-US" w:eastAsia="zh-CN"/>
                    </w:rPr>
                    <w:t>0.07</w:t>
                  </w:r>
                  <w:r>
                    <w:rPr>
                      <w:rFonts w:hint="default" w:ascii="Times New Roman" w:hAnsi="Times New Roman" w:eastAsia="宋体" w:cs="Times New Roman"/>
                      <w:b w:val="0"/>
                      <w:bCs w:val="0"/>
                      <w:color w:val="auto"/>
                      <w:sz w:val="21"/>
                      <w:szCs w:val="21"/>
                      <w:vertAlign w:val="baseline"/>
                      <w:lang w:val="en-US" w:eastAsia="zh-CN"/>
                    </w:rPr>
                    <w:fldChar w:fldCharType="end"/>
                  </w:r>
                </w:p>
              </w:tc>
              <w:tc>
                <w:tcPr>
                  <w:tcW w:w="8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restart"/>
                  <w:tcBorders>
                    <w:tl2br w:val="nil"/>
                    <w:tr2bl w:val="nil"/>
                  </w:tcBorders>
                  <w:vAlign w:val="center"/>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2020.1.9</w:t>
                  </w:r>
                </w:p>
              </w:tc>
              <w:tc>
                <w:tcPr>
                  <w:tcW w:w="794" w:type="dxa"/>
                  <w:vMerge w:val="restart"/>
                  <w:tcBorders>
                    <w:tl2br w:val="nil"/>
                    <w:tr2bl w:val="nil"/>
                  </w:tcBorders>
                  <w:vAlign w:val="center"/>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4"/>
                      <w:szCs w:val="24"/>
                      <w:lang w:val="en-US" w:eastAsia="zh-CN"/>
                    </w:rPr>
                    <w:t>废水总排口W1</w:t>
                  </w:r>
                </w:p>
              </w:tc>
              <w:tc>
                <w:tcPr>
                  <w:tcW w:w="1219" w:type="dxa"/>
                  <w:tcBorders>
                    <w:tl2br w:val="nil"/>
                    <w:tr2bl w:val="nil"/>
                  </w:tcBorders>
                  <w:vAlign w:val="top"/>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w:t>
                  </w:r>
                </w:p>
              </w:tc>
              <w:tc>
                <w:tcPr>
                  <w:tcW w:w="1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6.46</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6.53</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6.48</w:t>
                  </w:r>
                </w:p>
              </w:tc>
              <w:tc>
                <w:tcPr>
                  <w:tcW w:w="11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fldChar w:fldCharType="begin"/>
                  </w:r>
                  <w:r>
                    <w:rPr>
                      <w:rFonts w:hint="default" w:ascii="Times New Roman" w:hAnsi="Times New Roman" w:eastAsia="宋体" w:cs="Times New Roman"/>
                      <w:b w:val="0"/>
                      <w:bCs w:val="0"/>
                      <w:color w:val="auto"/>
                      <w:sz w:val="21"/>
                      <w:szCs w:val="21"/>
                      <w:vertAlign w:val="baseline"/>
                      <w:lang w:val="en-US" w:eastAsia="zh-CN"/>
                    </w:rPr>
                    <w:instrText xml:space="preserve"> = average(D9:F9) \* MERGEFORMAT </w:instrText>
                  </w:r>
                  <w:r>
                    <w:rPr>
                      <w:rFonts w:hint="default" w:ascii="Times New Roman" w:hAnsi="Times New Roman" w:eastAsia="宋体" w:cs="Times New Roman"/>
                      <w:b w:val="0"/>
                      <w:bCs w:val="0"/>
                      <w:color w:val="auto"/>
                      <w:sz w:val="21"/>
                      <w:szCs w:val="21"/>
                      <w:vertAlign w:val="baseline"/>
                      <w:lang w:val="en-US" w:eastAsia="zh-CN"/>
                    </w:rPr>
                    <w:fldChar w:fldCharType="separate"/>
                  </w:r>
                  <w:r>
                    <w:rPr>
                      <w:rFonts w:hint="default" w:ascii="Times New Roman" w:hAnsi="Times New Roman" w:eastAsia="宋体" w:cs="Times New Roman"/>
                      <w:b w:val="0"/>
                      <w:bCs w:val="0"/>
                      <w:color w:val="auto"/>
                      <w:sz w:val="21"/>
                      <w:szCs w:val="21"/>
                      <w:vertAlign w:val="baseline"/>
                      <w:lang w:val="en-US" w:eastAsia="zh-CN"/>
                    </w:rPr>
                    <w:t>6.49</w:t>
                  </w:r>
                  <w:r>
                    <w:rPr>
                      <w:rFonts w:hint="default" w:ascii="Times New Roman" w:hAnsi="Times New Roman" w:eastAsia="宋体" w:cs="Times New Roman"/>
                      <w:b w:val="0"/>
                      <w:bCs w:val="0"/>
                      <w:color w:val="auto"/>
                      <w:sz w:val="21"/>
                      <w:szCs w:val="21"/>
                      <w:vertAlign w:val="baseline"/>
                      <w:lang w:val="en-US" w:eastAsia="zh-CN"/>
                    </w:rPr>
                    <w:fldChar w:fldCharType="end"/>
                  </w:r>
                </w:p>
              </w:tc>
              <w:tc>
                <w:tcPr>
                  <w:tcW w:w="8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tcBorders>
                    <w:tl2br w:val="nil"/>
                    <w:tr2bl w:val="nil"/>
                  </w:tcBorders>
                </w:tcPr>
                <w:p>
                  <w:pPr>
                    <w:pStyle w:val="26"/>
                    <w:jc w:val="center"/>
                    <w:rPr>
                      <w:rFonts w:hint="default" w:ascii="Times New Roman" w:hAnsi="Times New Roman" w:eastAsia="宋体" w:cs="Times New Roman"/>
                      <w:color w:val="auto"/>
                      <w:sz w:val="21"/>
                      <w:szCs w:val="21"/>
                      <w:vertAlign w:val="baseline"/>
                      <w:lang w:val="en-US" w:eastAsia="zh-CN"/>
                    </w:rPr>
                  </w:pPr>
                </w:p>
              </w:tc>
              <w:tc>
                <w:tcPr>
                  <w:tcW w:w="794" w:type="dxa"/>
                  <w:vMerge w:val="continue"/>
                  <w:tcBorders>
                    <w:tl2br w:val="nil"/>
                    <w:tr2bl w:val="nil"/>
                  </w:tcBorders>
                </w:tcPr>
                <w:p>
                  <w:pPr>
                    <w:pStyle w:val="26"/>
                    <w:jc w:val="center"/>
                    <w:rPr>
                      <w:rFonts w:hint="default" w:ascii="Times New Roman" w:hAnsi="Times New Roman" w:eastAsia="宋体" w:cs="Times New Roman"/>
                      <w:color w:val="auto"/>
                      <w:sz w:val="21"/>
                      <w:szCs w:val="21"/>
                      <w:vertAlign w:val="baseline"/>
                      <w:lang w:val="en-US" w:eastAsia="zh-CN"/>
                    </w:rPr>
                  </w:pPr>
                </w:p>
              </w:tc>
              <w:tc>
                <w:tcPr>
                  <w:tcW w:w="1219" w:type="dxa"/>
                  <w:tcBorders>
                    <w:tl2br w:val="nil"/>
                    <w:tr2bl w:val="nil"/>
                  </w:tcBorders>
                  <w:vAlign w:val="top"/>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p>
              </w:tc>
              <w:tc>
                <w:tcPr>
                  <w:tcW w:w="1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406</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398</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403</w:t>
                  </w:r>
                </w:p>
              </w:tc>
              <w:tc>
                <w:tcPr>
                  <w:tcW w:w="11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fldChar w:fldCharType="begin"/>
                  </w:r>
                  <w:r>
                    <w:rPr>
                      <w:rFonts w:hint="default" w:ascii="Times New Roman" w:hAnsi="Times New Roman" w:eastAsia="宋体" w:cs="Times New Roman"/>
                      <w:b w:val="0"/>
                      <w:bCs w:val="0"/>
                      <w:color w:val="auto"/>
                      <w:sz w:val="21"/>
                      <w:szCs w:val="21"/>
                      <w:vertAlign w:val="baseline"/>
                      <w:lang w:val="en-US" w:eastAsia="zh-CN"/>
                    </w:rPr>
                    <w:instrText xml:space="preserve"> = average(D10:F10) \* MERGEFORMAT </w:instrText>
                  </w:r>
                  <w:r>
                    <w:rPr>
                      <w:rFonts w:hint="default" w:ascii="Times New Roman" w:hAnsi="Times New Roman" w:eastAsia="宋体" w:cs="Times New Roman"/>
                      <w:b w:val="0"/>
                      <w:bCs w:val="0"/>
                      <w:color w:val="auto"/>
                      <w:sz w:val="21"/>
                      <w:szCs w:val="21"/>
                      <w:vertAlign w:val="baseline"/>
                      <w:lang w:val="en-US" w:eastAsia="zh-CN"/>
                    </w:rPr>
                    <w:fldChar w:fldCharType="separate"/>
                  </w:r>
                  <w:r>
                    <w:rPr>
                      <w:rFonts w:hint="default" w:ascii="Times New Roman" w:hAnsi="Times New Roman" w:eastAsia="宋体" w:cs="Times New Roman"/>
                      <w:b w:val="0"/>
                      <w:bCs w:val="0"/>
                      <w:color w:val="auto"/>
                      <w:sz w:val="21"/>
                      <w:szCs w:val="21"/>
                      <w:vertAlign w:val="baseline"/>
                      <w:lang w:val="en-US" w:eastAsia="zh-CN"/>
                    </w:rPr>
                    <w:t>402.3</w:t>
                  </w:r>
                  <w:r>
                    <w:rPr>
                      <w:rFonts w:hint="default" w:ascii="Times New Roman" w:hAnsi="Times New Roman" w:eastAsia="宋体" w:cs="Times New Roman"/>
                      <w:b w:val="0"/>
                      <w:bCs w:val="0"/>
                      <w:color w:val="auto"/>
                      <w:sz w:val="21"/>
                      <w:szCs w:val="21"/>
                      <w:vertAlign w:val="baseline"/>
                      <w:lang w:val="en-US" w:eastAsia="zh-CN"/>
                    </w:rPr>
                    <w:fldChar w:fldCharType="end"/>
                  </w:r>
                </w:p>
              </w:tc>
              <w:tc>
                <w:tcPr>
                  <w:tcW w:w="8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tcBorders>
                    <w:tl2br w:val="nil"/>
                    <w:tr2bl w:val="nil"/>
                  </w:tcBorders>
                </w:tcPr>
                <w:p>
                  <w:pPr>
                    <w:pStyle w:val="26"/>
                    <w:jc w:val="center"/>
                    <w:rPr>
                      <w:rFonts w:hint="default" w:ascii="Times New Roman" w:hAnsi="Times New Roman" w:eastAsia="宋体" w:cs="Times New Roman"/>
                      <w:color w:val="auto"/>
                      <w:sz w:val="21"/>
                      <w:szCs w:val="21"/>
                      <w:vertAlign w:val="baseline"/>
                      <w:lang w:val="en-US" w:eastAsia="zh-CN"/>
                    </w:rPr>
                  </w:pPr>
                </w:p>
              </w:tc>
              <w:tc>
                <w:tcPr>
                  <w:tcW w:w="794" w:type="dxa"/>
                  <w:vMerge w:val="continue"/>
                  <w:tcBorders>
                    <w:tl2br w:val="nil"/>
                    <w:tr2bl w:val="nil"/>
                  </w:tcBorders>
                </w:tcPr>
                <w:p>
                  <w:pPr>
                    <w:pStyle w:val="26"/>
                    <w:jc w:val="center"/>
                    <w:rPr>
                      <w:rFonts w:hint="default" w:ascii="Times New Roman" w:hAnsi="Times New Roman" w:eastAsia="宋体" w:cs="Times New Roman"/>
                      <w:color w:val="auto"/>
                      <w:sz w:val="21"/>
                      <w:szCs w:val="21"/>
                      <w:vertAlign w:val="baseline"/>
                      <w:lang w:val="en-US" w:eastAsia="zh-CN"/>
                    </w:rPr>
                  </w:pPr>
                </w:p>
              </w:tc>
              <w:tc>
                <w:tcPr>
                  <w:tcW w:w="1219" w:type="dxa"/>
                  <w:tcBorders>
                    <w:tl2br w:val="nil"/>
                    <w:tr2bl w:val="nil"/>
                  </w:tcBorders>
                  <w:vAlign w:val="top"/>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1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124</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121</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119</w:t>
                  </w:r>
                </w:p>
              </w:tc>
              <w:tc>
                <w:tcPr>
                  <w:tcW w:w="11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fldChar w:fldCharType="begin"/>
                  </w:r>
                  <w:r>
                    <w:rPr>
                      <w:rFonts w:hint="default" w:ascii="Times New Roman" w:hAnsi="Times New Roman" w:eastAsia="宋体" w:cs="Times New Roman"/>
                      <w:b w:val="0"/>
                      <w:bCs w:val="0"/>
                      <w:color w:val="auto"/>
                      <w:sz w:val="21"/>
                      <w:szCs w:val="21"/>
                      <w:vertAlign w:val="baseline"/>
                      <w:lang w:val="en-US" w:eastAsia="zh-CN"/>
                    </w:rPr>
                    <w:instrText xml:space="preserve"> = average(D11:F11) \* MERGEFORMAT </w:instrText>
                  </w:r>
                  <w:r>
                    <w:rPr>
                      <w:rFonts w:hint="default" w:ascii="Times New Roman" w:hAnsi="Times New Roman" w:eastAsia="宋体" w:cs="Times New Roman"/>
                      <w:b w:val="0"/>
                      <w:bCs w:val="0"/>
                      <w:color w:val="auto"/>
                      <w:sz w:val="21"/>
                      <w:szCs w:val="21"/>
                      <w:vertAlign w:val="baseline"/>
                      <w:lang w:val="en-US" w:eastAsia="zh-CN"/>
                    </w:rPr>
                    <w:fldChar w:fldCharType="separate"/>
                  </w:r>
                  <w:r>
                    <w:rPr>
                      <w:rFonts w:hint="default" w:ascii="Times New Roman" w:hAnsi="Times New Roman" w:eastAsia="宋体" w:cs="Times New Roman"/>
                      <w:b w:val="0"/>
                      <w:bCs w:val="0"/>
                      <w:color w:val="auto"/>
                      <w:sz w:val="21"/>
                      <w:szCs w:val="21"/>
                      <w:vertAlign w:val="baseline"/>
                      <w:lang w:val="en-US" w:eastAsia="zh-CN"/>
                    </w:rPr>
                    <w:t>121.3</w:t>
                  </w:r>
                  <w:r>
                    <w:rPr>
                      <w:rFonts w:hint="default" w:ascii="Times New Roman" w:hAnsi="Times New Roman" w:eastAsia="宋体" w:cs="Times New Roman"/>
                      <w:b w:val="0"/>
                      <w:bCs w:val="0"/>
                      <w:color w:val="auto"/>
                      <w:sz w:val="21"/>
                      <w:szCs w:val="21"/>
                      <w:vertAlign w:val="baseline"/>
                      <w:lang w:val="en-US" w:eastAsia="zh-CN"/>
                    </w:rPr>
                    <w:fldChar w:fldCharType="end"/>
                  </w:r>
                </w:p>
              </w:tc>
              <w:tc>
                <w:tcPr>
                  <w:tcW w:w="8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tcBorders>
                    <w:tl2br w:val="nil"/>
                    <w:tr2bl w:val="nil"/>
                  </w:tcBorders>
                </w:tcPr>
                <w:p>
                  <w:pPr>
                    <w:pStyle w:val="26"/>
                    <w:jc w:val="center"/>
                    <w:rPr>
                      <w:rFonts w:hint="default" w:ascii="Times New Roman" w:hAnsi="Times New Roman" w:eastAsia="宋体" w:cs="Times New Roman"/>
                      <w:color w:val="auto"/>
                      <w:sz w:val="21"/>
                      <w:szCs w:val="21"/>
                      <w:vertAlign w:val="baseline"/>
                      <w:lang w:val="en-US" w:eastAsia="zh-CN"/>
                    </w:rPr>
                  </w:pPr>
                </w:p>
              </w:tc>
              <w:tc>
                <w:tcPr>
                  <w:tcW w:w="794" w:type="dxa"/>
                  <w:vMerge w:val="continue"/>
                  <w:tcBorders>
                    <w:tl2br w:val="nil"/>
                    <w:tr2bl w:val="nil"/>
                  </w:tcBorders>
                </w:tcPr>
                <w:p>
                  <w:pPr>
                    <w:pStyle w:val="26"/>
                    <w:jc w:val="center"/>
                    <w:rPr>
                      <w:rFonts w:hint="default" w:ascii="Times New Roman" w:hAnsi="Times New Roman" w:eastAsia="宋体" w:cs="Times New Roman"/>
                      <w:color w:val="auto"/>
                      <w:sz w:val="21"/>
                      <w:szCs w:val="21"/>
                      <w:vertAlign w:val="baseline"/>
                      <w:lang w:val="en-US" w:eastAsia="zh-CN"/>
                    </w:rPr>
                  </w:pPr>
                </w:p>
              </w:tc>
              <w:tc>
                <w:tcPr>
                  <w:tcW w:w="1219" w:type="dxa"/>
                  <w:tcBorders>
                    <w:tl2br w:val="nil"/>
                    <w:tr2bl w:val="nil"/>
                  </w:tcBorders>
                  <w:vAlign w:val="top"/>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1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81</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83</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82</w:t>
                  </w:r>
                </w:p>
              </w:tc>
              <w:tc>
                <w:tcPr>
                  <w:tcW w:w="11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fldChar w:fldCharType="begin"/>
                  </w:r>
                  <w:r>
                    <w:rPr>
                      <w:rFonts w:hint="default" w:ascii="Times New Roman" w:hAnsi="Times New Roman" w:eastAsia="宋体" w:cs="Times New Roman"/>
                      <w:b w:val="0"/>
                      <w:bCs w:val="0"/>
                      <w:color w:val="auto"/>
                      <w:sz w:val="21"/>
                      <w:szCs w:val="21"/>
                      <w:vertAlign w:val="baseline"/>
                      <w:lang w:val="en-US" w:eastAsia="zh-CN"/>
                    </w:rPr>
                    <w:instrText xml:space="preserve"> = average(D12:F12) \* MERGEFORMAT </w:instrText>
                  </w:r>
                  <w:r>
                    <w:rPr>
                      <w:rFonts w:hint="default" w:ascii="Times New Roman" w:hAnsi="Times New Roman" w:eastAsia="宋体" w:cs="Times New Roman"/>
                      <w:b w:val="0"/>
                      <w:bCs w:val="0"/>
                      <w:color w:val="auto"/>
                      <w:sz w:val="21"/>
                      <w:szCs w:val="21"/>
                      <w:vertAlign w:val="baseline"/>
                      <w:lang w:val="en-US" w:eastAsia="zh-CN"/>
                    </w:rPr>
                    <w:fldChar w:fldCharType="separate"/>
                  </w:r>
                  <w:r>
                    <w:rPr>
                      <w:rFonts w:hint="default" w:ascii="Times New Roman" w:hAnsi="Times New Roman" w:eastAsia="宋体" w:cs="Times New Roman"/>
                      <w:b w:val="0"/>
                      <w:bCs w:val="0"/>
                      <w:color w:val="auto"/>
                      <w:sz w:val="21"/>
                      <w:szCs w:val="21"/>
                      <w:vertAlign w:val="baseline"/>
                      <w:lang w:val="en-US" w:eastAsia="zh-CN"/>
                    </w:rPr>
                    <w:t>82</w:t>
                  </w:r>
                  <w:r>
                    <w:rPr>
                      <w:rFonts w:hint="default" w:ascii="Times New Roman" w:hAnsi="Times New Roman" w:eastAsia="宋体" w:cs="Times New Roman"/>
                      <w:b w:val="0"/>
                      <w:bCs w:val="0"/>
                      <w:color w:val="auto"/>
                      <w:sz w:val="21"/>
                      <w:szCs w:val="21"/>
                      <w:vertAlign w:val="baseline"/>
                      <w:lang w:val="en-US" w:eastAsia="zh-CN"/>
                    </w:rPr>
                    <w:fldChar w:fldCharType="end"/>
                  </w:r>
                </w:p>
              </w:tc>
              <w:tc>
                <w:tcPr>
                  <w:tcW w:w="8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tcBorders>
                    <w:tl2br w:val="nil"/>
                    <w:tr2bl w:val="nil"/>
                  </w:tcBorders>
                </w:tcPr>
                <w:p>
                  <w:pPr>
                    <w:pStyle w:val="26"/>
                    <w:jc w:val="center"/>
                    <w:rPr>
                      <w:rFonts w:hint="default" w:ascii="Times New Roman" w:hAnsi="Times New Roman" w:eastAsia="宋体" w:cs="Times New Roman"/>
                      <w:color w:val="auto"/>
                      <w:sz w:val="21"/>
                      <w:szCs w:val="21"/>
                      <w:vertAlign w:val="baseline"/>
                      <w:lang w:val="en-US" w:eastAsia="zh-CN"/>
                    </w:rPr>
                  </w:pPr>
                </w:p>
              </w:tc>
              <w:tc>
                <w:tcPr>
                  <w:tcW w:w="794" w:type="dxa"/>
                  <w:vMerge w:val="continue"/>
                  <w:tcBorders>
                    <w:tl2br w:val="nil"/>
                    <w:tr2bl w:val="nil"/>
                  </w:tcBorders>
                </w:tcPr>
                <w:p>
                  <w:pPr>
                    <w:pStyle w:val="26"/>
                    <w:jc w:val="center"/>
                    <w:rPr>
                      <w:rFonts w:hint="default" w:ascii="Times New Roman" w:hAnsi="Times New Roman" w:eastAsia="宋体" w:cs="Times New Roman"/>
                      <w:color w:val="auto"/>
                      <w:sz w:val="21"/>
                      <w:szCs w:val="21"/>
                      <w:vertAlign w:val="baseline"/>
                      <w:lang w:val="en-US" w:eastAsia="zh-CN"/>
                    </w:rPr>
                  </w:pPr>
                </w:p>
              </w:tc>
              <w:tc>
                <w:tcPr>
                  <w:tcW w:w="1219" w:type="dxa"/>
                  <w:tcBorders>
                    <w:tl2br w:val="nil"/>
                    <w:tr2bl w:val="nil"/>
                  </w:tcBorders>
                  <w:vAlign w:val="top"/>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氨氮</w:t>
                  </w:r>
                </w:p>
              </w:tc>
              <w:tc>
                <w:tcPr>
                  <w:tcW w:w="1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61.8</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68.8</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66.0</w:t>
                  </w:r>
                </w:p>
              </w:tc>
              <w:tc>
                <w:tcPr>
                  <w:tcW w:w="11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fldChar w:fldCharType="begin"/>
                  </w:r>
                  <w:r>
                    <w:rPr>
                      <w:rFonts w:hint="default" w:ascii="Times New Roman" w:hAnsi="Times New Roman" w:eastAsia="宋体" w:cs="Times New Roman"/>
                      <w:b w:val="0"/>
                      <w:bCs w:val="0"/>
                      <w:color w:val="auto"/>
                      <w:sz w:val="21"/>
                      <w:szCs w:val="21"/>
                      <w:vertAlign w:val="baseline"/>
                      <w:lang w:val="en-US" w:eastAsia="zh-CN"/>
                    </w:rPr>
                    <w:instrText xml:space="preserve"> = average(D13:F13) \* MERGEFORMAT </w:instrText>
                  </w:r>
                  <w:r>
                    <w:rPr>
                      <w:rFonts w:hint="default" w:ascii="Times New Roman" w:hAnsi="Times New Roman" w:eastAsia="宋体" w:cs="Times New Roman"/>
                      <w:b w:val="0"/>
                      <w:bCs w:val="0"/>
                      <w:color w:val="auto"/>
                      <w:sz w:val="21"/>
                      <w:szCs w:val="21"/>
                      <w:vertAlign w:val="baseline"/>
                      <w:lang w:val="en-US" w:eastAsia="zh-CN"/>
                    </w:rPr>
                    <w:fldChar w:fldCharType="separate"/>
                  </w:r>
                  <w:r>
                    <w:rPr>
                      <w:rFonts w:hint="default" w:ascii="Times New Roman" w:hAnsi="Times New Roman" w:eastAsia="宋体" w:cs="Times New Roman"/>
                      <w:b w:val="0"/>
                      <w:bCs w:val="0"/>
                      <w:color w:val="auto"/>
                      <w:sz w:val="21"/>
                      <w:szCs w:val="21"/>
                      <w:vertAlign w:val="baseline"/>
                      <w:lang w:val="en-US" w:eastAsia="zh-CN"/>
                    </w:rPr>
                    <w:t>65.53</w:t>
                  </w:r>
                  <w:r>
                    <w:rPr>
                      <w:rFonts w:hint="default" w:ascii="Times New Roman" w:hAnsi="Times New Roman" w:eastAsia="宋体" w:cs="Times New Roman"/>
                      <w:b w:val="0"/>
                      <w:bCs w:val="0"/>
                      <w:color w:val="auto"/>
                      <w:sz w:val="21"/>
                      <w:szCs w:val="21"/>
                      <w:vertAlign w:val="baseline"/>
                      <w:lang w:val="en-US" w:eastAsia="zh-CN"/>
                    </w:rPr>
                    <w:fldChar w:fldCharType="end"/>
                  </w:r>
                </w:p>
              </w:tc>
              <w:tc>
                <w:tcPr>
                  <w:tcW w:w="8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tcBorders>
                    <w:tl2br w:val="nil"/>
                    <w:tr2bl w:val="nil"/>
                  </w:tcBorders>
                </w:tcPr>
                <w:p>
                  <w:pPr>
                    <w:pStyle w:val="26"/>
                    <w:jc w:val="center"/>
                    <w:rPr>
                      <w:rFonts w:hint="default" w:ascii="Times New Roman" w:hAnsi="Times New Roman" w:eastAsia="宋体" w:cs="Times New Roman"/>
                      <w:color w:val="auto"/>
                      <w:sz w:val="21"/>
                      <w:szCs w:val="21"/>
                      <w:vertAlign w:val="baseline"/>
                      <w:lang w:val="en-US" w:eastAsia="zh-CN"/>
                    </w:rPr>
                  </w:pPr>
                </w:p>
              </w:tc>
              <w:tc>
                <w:tcPr>
                  <w:tcW w:w="794" w:type="dxa"/>
                  <w:vMerge w:val="continue"/>
                  <w:tcBorders>
                    <w:tl2br w:val="nil"/>
                    <w:tr2bl w:val="nil"/>
                  </w:tcBorders>
                </w:tcPr>
                <w:p>
                  <w:pPr>
                    <w:pStyle w:val="26"/>
                    <w:jc w:val="center"/>
                    <w:rPr>
                      <w:rFonts w:hint="default" w:ascii="Times New Roman" w:hAnsi="Times New Roman" w:eastAsia="宋体" w:cs="Times New Roman"/>
                      <w:color w:val="auto"/>
                      <w:sz w:val="21"/>
                      <w:szCs w:val="21"/>
                      <w:vertAlign w:val="baseline"/>
                      <w:lang w:val="en-US" w:eastAsia="zh-CN"/>
                    </w:rPr>
                  </w:pPr>
                </w:p>
              </w:tc>
              <w:tc>
                <w:tcPr>
                  <w:tcW w:w="1219" w:type="dxa"/>
                  <w:tcBorders>
                    <w:tl2br w:val="nil"/>
                    <w:tr2bl w:val="nil"/>
                  </w:tcBorders>
                  <w:vAlign w:val="top"/>
                </w:tcPr>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动植物油</w:t>
                  </w:r>
                </w:p>
              </w:tc>
              <w:tc>
                <w:tcPr>
                  <w:tcW w:w="1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0.07</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0.10</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0.06L</w:t>
                  </w:r>
                </w:p>
              </w:tc>
              <w:tc>
                <w:tcPr>
                  <w:tcW w:w="11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0.85</w:t>
                  </w:r>
                </w:p>
              </w:tc>
              <w:tc>
                <w:tcPr>
                  <w:tcW w:w="8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由上表7-2监测结果可知，环保竣工验收期间废水处理设施排放口个各污染物排放浓度为：</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pH值：pH范围值为6.46~6.53；</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COD：排放浓度范围398~407mg/L，平均值为404.3mg/L和402.3mg/L；</w:t>
            </w:r>
          </w:p>
          <w:p>
            <w:pPr>
              <w:pStyle w:val="2"/>
              <w:ind w:left="0" w:leftChars="0"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color w:val="auto"/>
                <w:sz w:val="24"/>
                <w:szCs w:val="24"/>
                <w:lang w:val="en-US" w:eastAsia="zh-CN"/>
              </w:rPr>
              <w:t>BOD</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lang w:val="en-US" w:eastAsia="zh-CN"/>
              </w:rPr>
              <w:t>：排放浓度范围119~124mg/L，平均值为121.7mg/L和121.3mg/L；</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SS</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lang w:val="en-US" w:eastAsia="zh-CN"/>
              </w:rPr>
              <w:t>排放浓度范围80</w:t>
            </w:r>
            <w:r>
              <w:rPr>
                <w:rFonts w:hint="default" w:ascii="Times New Roman" w:hAnsi="Times New Roman" w:eastAsia="宋体" w:cs="Times New Roman"/>
                <w:color w:val="auto"/>
                <w:sz w:val="24"/>
                <w:szCs w:val="24"/>
                <w:vertAlign w:val="baseline"/>
                <w:lang w:val="en-US" w:eastAsia="zh-CN"/>
              </w:rPr>
              <w:t>~85</w:t>
            </w:r>
            <w:r>
              <w:rPr>
                <w:rFonts w:hint="default" w:ascii="Times New Roman" w:hAnsi="Times New Roman" w:eastAsia="宋体" w:cs="Times New Roman"/>
                <w:color w:val="auto"/>
                <w:sz w:val="24"/>
                <w:szCs w:val="24"/>
                <w:lang w:val="en-US" w:eastAsia="zh-CN"/>
              </w:rPr>
              <w:t>mg/L，平均值为82.3mg/L和82mg/L</w:t>
            </w:r>
            <w:r>
              <w:rPr>
                <w:rFonts w:hint="default" w:ascii="Times New Roman" w:hAnsi="Times New Roman" w:eastAsia="宋体" w:cs="Times New Roman"/>
                <w:color w:val="auto"/>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氨氮：</w:t>
            </w:r>
            <w:r>
              <w:rPr>
                <w:rFonts w:hint="default" w:ascii="Times New Roman" w:hAnsi="Times New Roman" w:eastAsia="宋体" w:cs="Times New Roman"/>
                <w:color w:val="auto"/>
                <w:sz w:val="24"/>
                <w:szCs w:val="24"/>
                <w:lang w:val="en-US" w:eastAsia="zh-CN"/>
              </w:rPr>
              <w:t>排放浓度范围</w:t>
            </w:r>
            <w:r>
              <w:rPr>
                <w:rFonts w:hint="default" w:ascii="Times New Roman" w:hAnsi="Times New Roman" w:eastAsia="宋体" w:cs="Times New Roman"/>
                <w:color w:val="auto"/>
                <w:sz w:val="24"/>
                <w:szCs w:val="24"/>
                <w:vertAlign w:val="baseline"/>
                <w:lang w:val="en-US" w:eastAsia="zh-CN"/>
              </w:rPr>
              <w:t>61.8~68.8</w:t>
            </w:r>
            <w:r>
              <w:rPr>
                <w:rFonts w:hint="default" w:ascii="Times New Roman" w:hAnsi="Times New Roman" w:eastAsia="宋体" w:cs="Times New Roman"/>
                <w:color w:val="auto"/>
                <w:sz w:val="24"/>
                <w:szCs w:val="24"/>
                <w:lang w:val="en-US" w:eastAsia="zh-CN"/>
              </w:rPr>
              <w:t>mg/L，平均值为64.6mg/L和65.53mg/L</w:t>
            </w:r>
            <w:r>
              <w:rPr>
                <w:rFonts w:hint="default" w:ascii="Times New Roman" w:hAnsi="Times New Roman" w:eastAsia="宋体" w:cs="Times New Roman"/>
                <w:color w:val="auto"/>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动植物油：</w:t>
            </w:r>
            <w:r>
              <w:rPr>
                <w:rFonts w:hint="default" w:ascii="Times New Roman" w:hAnsi="Times New Roman" w:eastAsia="宋体" w:cs="Times New Roman"/>
                <w:color w:val="auto"/>
                <w:sz w:val="24"/>
                <w:szCs w:val="24"/>
                <w:lang w:val="en-US" w:eastAsia="zh-CN"/>
              </w:rPr>
              <w:t>排放浓度范围0.06</w:t>
            </w:r>
            <w:r>
              <w:rPr>
                <w:rFonts w:hint="default" w:ascii="Times New Roman" w:hAnsi="Times New Roman" w:eastAsia="宋体" w:cs="Times New Roman"/>
                <w:color w:val="auto"/>
                <w:sz w:val="24"/>
                <w:szCs w:val="24"/>
                <w:vertAlign w:val="baseline"/>
                <w:lang w:val="en-US" w:eastAsia="zh-CN"/>
              </w:rPr>
              <w:t>~0.10</w:t>
            </w:r>
            <w:r>
              <w:rPr>
                <w:rFonts w:hint="default" w:ascii="Times New Roman" w:hAnsi="Times New Roman" w:eastAsia="宋体" w:cs="Times New Roman"/>
                <w:color w:val="auto"/>
                <w:sz w:val="24"/>
                <w:szCs w:val="24"/>
                <w:lang w:val="en-US" w:eastAsia="zh-CN"/>
              </w:rPr>
              <w:t>mg/L，平均值为0.07mg/L和0.85mg/L</w:t>
            </w:r>
            <w:r>
              <w:rPr>
                <w:rFonts w:hint="default" w:ascii="Times New Roman" w:hAnsi="Times New Roman" w:eastAsia="宋体" w:cs="Times New Roman"/>
                <w:color w:val="auto"/>
                <w:sz w:val="24"/>
                <w:szCs w:val="24"/>
                <w:vertAlign w:val="baseline"/>
                <w:lang w:val="en-US" w:eastAsia="zh-CN"/>
              </w:rPr>
              <w:t>；</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综上，本项目废水处理设施排放口pH、SS、COD、BOD</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vertAlign w:val="baseline"/>
                <w:lang w:val="en-US" w:eastAsia="zh-CN"/>
              </w:rPr>
              <w:t>动植物油</w:t>
            </w:r>
            <w:r>
              <w:rPr>
                <w:rFonts w:hint="default" w:ascii="Times New Roman" w:hAnsi="Times New Roman" w:eastAsia="宋体" w:cs="Times New Roman"/>
                <w:color w:val="auto"/>
                <w:sz w:val="24"/>
                <w:szCs w:val="24"/>
                <w:lang w:val="en-US" w:eastAsia="zh-CN"/>
              </w:rPr>
              <w:t>排放浓度满足GB8978-1996《污水综合排放标准》表4三级排放标准。</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480" w:firstLineChars="200"/>
              <w:jc w:val="both"/>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噪声</w:t>
            </w:r>
          </w:p>
          <w:p>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480" w:firstLineChars="200"/>
              <w:jc w:val="both"/>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厂界噪声监测结果见下表。</w:t>
            </w:r>
          </w:p>
          <w:p>
            <w:pPr>
              <w:pStyle w:val="26"/>
              <w:spacing w:line="240" w:lineRule="auto"/>
              <w:ind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表7-3 噪声监测结果</w:t>
            </w:r>
          </w:p>
          <w:tbl>
            <w:tblPr>
              <w:tblStyle w:val="20"/>
              <w:tblW w:w="8394" w:type="dxa"/>
              <w:jc w:val="center"/>
              <w:tblBorders>
                <w:top w:val="double" w:color="auto" w:sz="4" w:space="0"/>
                <w:left w:val="none" w:color="auto" w:sz="0" w:space="0"/>
                <w:bottom w:val="double" w:color="auto" w:sz="4" w:space="0"/>
                <w:right w:val="none" w:color="auto" w:sz="0" w:space="0"/>
                <w:insideH w:val="single" w:color="auto" w:sz="4" w:space="0"/>
                <w:insideV w:val="single" w:color="auto" w:sz="8" w:space="0"/>
              </w:tblBorders>
              <w:tblLayout w:type="fixed"/>
              <w:tblCellMar>
                <w:top w:w="0" w:type="dxa"/>
                <w:left w:w="108" w:type="dxa"/>
                <w:bottom w:w="0" w:type="dxa"/>
                <w:right w:w="108" w:type="dxa"/>
              </w:tblCellMar>
            </w:tblPr>
            <w:tblGrid>
              <w:gridCol w:w="1400"/>
              <w:gridCol w:w="1110"/>
              <w:gridCol w:w="990"/>
              <w:gridCol w:w="855"/>
              <w:gridCol w:w="906"/>
              <w:gridCol w:w="927"/>
              <w:gridCol w:w="1186"/>
              <w:gridCol w:w="1020"/>
            </w:tblGrid>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restart"/>
                  <w:tcBorders>
                    <w:tl2br w:val="nil"/>
                    <w:tr2bl w:val="nil"/>
                  </w:tcBorders>
                  <w:vAlign w:val="center"/>
                </w:tcPr>
                <w:p>
                  <w:pPr>
                    <w:pStyle w:val="30"/>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监测日期</w:t>
                  </w: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监测</w:t>
                  </w:r>
                  <w:r>
                    <w:rPr>
                      <w:rFonts w:hint="default" w:ascii="Times New Roman" w:hAnsi="Times New Roman" w:eastAsia="宋体" w:cs="Times New Roman"/>
                      <w:color w:val="auto"/>
                      <w:sz w:val="21"/>
                      <w:szCs w:val="21"/>
                      <w:lang w:eastAsia="zh-CN"/>
                    </w:rPr>
                    <w:t>点位</w:t>
                  </w:r>
                </w:p>
              </w:tc>
              <w:tc>
                <w:tcPr>
                  <w:tcW w:w="990"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w:t>
                  </w:r>
                </w:p>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时段</w:t>
                  </w:r>
                </w:p>
              </w:tc>
              <w:tc>
                <w:tcPr>
                  <w:tcW w:w="2688" w:type="dxa"/>
                  <w:gridSpan w:val="3"/>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检测结果dB(A)</w:t>
                  </w:r>
                </w:p>
              </w:tc>
              <w:tc>
                <w:tcPr>
                  <w:tcW w:w="1186"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w:t>
                  </w:r>
                </w:p>
                <w:p>
                  <w:pPr>
                    <w:keepNext w:val="0"/>
                    <w:keepLines w:val="0"/>
                    <w:pageBreakBefore w:val="0"/>
                    <w:widowControl/>
                    <w:tabs>
                      <w:tab w:val="left" w:pos="0"/>
                    </w:tabs>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w:t>
                  </w:r>
                </w:p>
              </w:tc>
              <w:tc>
                <w:tcPr>
                  <w:tcW w:w="1020" w:type="dxa"/>
                  <w:vMerge w:val="restart"/>
                  <w:tcBorders>
                    <w:tl2br w:val="nil"/>
                    <w:tr2bl w:val="nil"/>
                  </w:tcBorders>
                  <w:vAlign w:val="center"/>
                </w:tcPr>
                <w:p>
                  <w:pPr>
                    <w:pStyle w:val="2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气象</w:t>
                  </w:r>
                </w:p>
                <w:p>
                  <w:pPr>
                    <w:pStyle w:val="26"/>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eastAsia="zh-CN"/>
                    </w:rPr>
                    <w:t>条件</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pStyle w:val="30"/>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99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测量值</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背景值</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实际值</w:t>
                  </w:r>
                </w:p>
              </w:tc>
              <w:tc>
                <w:tcPr>
                  <w:tcW w:w="1186" w:type="dxa"/>
                  <w:vMerge w:val="continue"/>
                  <w:tcBorders>
                    <w:tl2br w:val="nil"/>
                    <w:tr2bl w:val="nil"/>
                  </w:tcBorders>
                  <w:vAlign w:val="center"/>
                </w:tcPr>
                <w:p>
                  <w:pPr>
                    <w:keepNext w:val="0"/>
                    <w:keepLines w:val="0"/>
                    <w:pageBreakBefore w:val="0"/>
                    <w:widowControl/>
                    <w:tabs>
                      <w:tab w:val="left" w:pos="0"/>
                    </w:tabs>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1020" w:type="dxa"/>
                  <w:vMerge w:val="continue"/>
                  <w:tcBorders>
                    <w:tl2br w:val="nil"/>
                    <w:tr2bl w:val="nil"/>
                  </w:tcBorders>
                  <w:vAlign w:val="center"/>
                </w:tcPr>
                <w:p>
                  <w:pPr>
                    <w:keepNext w:val="0"/>
                    <w:keepLines w:val="0"/>
                    <w:pageBreakBefore w:val="0"/>
                    <w:widowControl/>
                    <w:tabs>
                      <w:tab w:val="left" w:pos="0"/>
                    </w:tabs>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202" w:hRule="atLeast"/>
                <w:jc w:val="center"/>
              </w:trPr>
              <w:tc>
                <w:tcPr>
                  <w:tcW w:w="1400" w:type="dxa"/>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2020.1.8</w:t>
                  </w: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N1</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13:10</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57.8</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tc>
              <w:tc>
                <w:tcPr>
                  <w:tcW w:w="1020"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晴</w:t>
                  </w:r>
                </w:p>
                <w:p>
                  <w:pPr>
                    <w:pStyle w:val="2"/>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风速1.4m/s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202" w:hRule="atLeast"/>
                <w:jc w:val="center"/>
              </w:trPr>
              <w:tc>
                <w:tcPr>
                  <w:tcW w:w="1400" w:type="dxa"/>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22:00</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47.1</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tc>
              <w:tc>
                <w:tcPr>
                  <w:tcW w:w="1020"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sz w:val="21"/>
                      <w:szCs w:val="21"/>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N2</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13:23</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56.7</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22:13</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48.2</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N3</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13:36</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58.2</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22:26</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47.3</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N4</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13:49</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58.7</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22:39</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47.9</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2020.1.9</w:t>
                  </w: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N1</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13:15</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57.2</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tc>
              <w:tc>
                <w:tcPr>
                  <w:tcW w:w="1020"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晴</w:t>
                  </w:r>
                </w:p>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风速1.4m/s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22:05</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48.1</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N2</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13:28</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56.3</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22:18</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47.2</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default" w:ascii="Times New Roman" w:hAnsi="Times New Roman" w:eastAsia="宋体" w:cs="Times New Roman"/>
                      <w:color w:val="auto"/>
                      <w:sz w:val="21"/>
                      <w:szCs w:val="21"/>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N3</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13:41</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57.4</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22:31</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48.1</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N4</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13:54</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58.3</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22:44</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47.1</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default" w:ascii="Times New Roman" w:hAnsi="Times New Roman" w:eastAsia="宋体" w:cs="Times New Roman"/>
                      <w:color w:val="auto"/>
                      <w:sz w:val="21"/>
                      <w:szCs w:val="21"/>
                      <w:lang w:val="en-US" w:eastAsia="zh-CN"/>
                    </w:rPr>
                  </w:pPr>
                </w:p>
              </w:tc>
            </w:tr>
          </w:tbl>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auto"/>
                <w:sz w:val="24"/>
                <w:szCs w:val="24"/>
                <w:lang w:val="en-US" w:eastAsia="zh-CN"/>
              </w:rPr>
              <w:t>由7-3噪声监测结果可知，本项目噪声排放符合《工业企业厂界环境噪声排放标准》（GB12348-2008)中的3类标准，即：昼间噪声≤65，夜间噪声≤55。</w:t>
            </w:r>
          </w:p>
          <w:p>
            <w:pPr>
              <w:pStyle w:val="4"/>
              <w:widowControl w:val="0"/>
              <w:jc w:val="both"/>
              <w:rPr>
                <w:rFonts w:hint="default" w:ascii="Times New Roman" w:hAnsi="Times New Roman" w:eastAsia="宋体" w:cs="Times New Roman"/>
                <w:color w:val="0000FF"/>
                <w:vertAlign w:val="baseline"/>
              </w:rPr>
            </w:pPr>
          </w:p>
        </w:tc>
      </w:tr>
    </w:tbl>
    <w:p>
      <w:pPr>
        <w:pStyle w:val="4"/>
        <w:rPr>
          <w:rFonts w:hint="default" w:ascii="Times New Roman" w:hAnsi="Times New Roman" w:eastAsia="宋体" w:cs="Times New Roman"/>
          <w:color w:val="0000FF"/>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outlineLvl w:val="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表八</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6" w:hRule="atLeast"/>
        </w:trPr>
        <w:tc>
          <w:tcPr>
            <w:tcW w:w="8522" w:type="dxa"/>
          </w:tcPr>
          <w:p>
            <w:pPr>
              <w:keepNext w:val="0"/>
              <w:keepLines w:val="0"/>
              <w:pageBreakBefore w:val="0"/>
              <w:widowControl w:val="0"/>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验收监测结论：</w:t>
            </w: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本次验收针对</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福建万宏置业有限公司“万宏国际”建设项目进行验收。验收期间本项目的性质、规模、地点、生产工艺等均未发生重大改变。故本次验收结论如下：</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jc w:val="both"/>
              <w:textAlignment w:val="auto"/>
              <w:outlineLvl w:val="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（1）废水</w:t>
            </w:r>
          </w:p>
          <w:p>
            <w:pPr>
              <w:pStyle w:val="8"/>
              <w:keepNext w:val="0"/>
              <w:keepLines w:val="0"/>
              <w:pageBreakBefore w:val="0"/>
              <w:widowControl w:val="0"/>
              <w:kinsoku/>
              <w:wordWrap/>
              <w:overflowPunct/>
              <w:topLinePunct w:val="0"/>
              <w:autoSpaceDE/>
              <w:autoSpaceDN/>
              <w:bidi w:val="0"/>
              <w:adjustRightInd w:val="0"/>
              <w:snapToGrid w:val="0"/>
              <w:spacing w:before="0" w:beforeLines="0" w:after="0"/>
              <w:ind w:firstLine="480"/>
              <w:textAlignment w:val="auto"/>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本项目产生的废水主要有生活污水。生活污水经化粪池处理后通过市政污水管网纳入云霄县城区污水处理厂处理。经监测，本项目生活废水排放符合</w:t>
            </w:r>
            <w:r>
              <w:rPr>
                <w:rFonts w:hint="default" w:ascii="Times New Roman" w:hAnsi="Times New Roman" w:eastAsia="宋体" w:cs="Times New Roman"/>
                <w:color w:val="auto"/>
                <w:sz w:val="24"/>
                <w:szCs w:val="24"/>
                <w:lang w:val="en-US" w:eastAsia="zh-CN"/>
              </w:rPr>
              <w:t>GB8978-1996《污水综合排放标准》表4三级排放标准。</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jc w:val="both"/>
              <w:textAlignment w:val="auto"/>
              <w:outlineLvl w:val="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b/>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14:textFill>
                  <w14:solidFill>
                    <w14:schemeClr w14:val="tx1"/>
                  </w14:solidFill>
                </w14:textFill>
              </w:rPr>
              <w:t>项目废气主要</w:t>
            </w:r>
            <w:r>
              <w:rPr>
                <w:rFonts w:hint="default" w:ascii="Times New Roman" w:hAnsi="Times New Roman" w:eastAsia="宋体" w:cs="Times New Roman"/>
                <w:color w:val="000000" w:themeColor="text1"/>
                <w:sz w:val="24"/>
                <w:lang w:val="en-US" w:eastAsia="zh-CN"/>
                <w14:textFill>
                  <w14:solidFill>
                    <w14:schemeClr w14:val="tx1"/>
                  </w14:solidFill>
                </w14:textFill>
              </w:rPr>
              <w:t>有厨房油烟废气、地下室汽车尾气、垃圾集中点臭气。厨房油烟经抽油烟机处理后，经竖向专用烟道引出各住宅楼屋顶集中排放；地下停车场装机械排风系统；加强小区外围的绿化；垃圾桶均加盖，且每天由环卫部门及时收集外运，</w:t>
            </w:r>
            <w:r>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t>产生的恶臭气味可得到及时处理，对小区居民影响不大</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t>故本次验收不对废气进行监测。</w:t>
            </w:r>
            <w:r>
              <w:rPr>
                <w:rFonts w:hint="default" w:ascii="Times New Roman" w:hAnsi="Times New Roman" w:eastAsia="宋体" w:cs="Times New Roman"/>
                <w:color w:val="000000" w:themeColor="text1"/>
                <w:sz w:val="24"/>
                <w:lang w:val="en-US" w:eastAsia="zh-CN"/>
                <w14:textFill>
                  <w14:solidFill>
                    <w14:schemeClr w14:val="tx1"/>
                  </w14:solidFill>
                </w14:textFill>
              </w:rPr>
              <w:t>本项目商业店面未预留的油烟排气管道，且商业店面不引入饮食行业</w:t>
            </w:r>
            <w:r>
              <w:rPr>
                <w:rFonts w:hint="default" w:ascii="Times New Roman" w:hAnsi="Times New Roman" w:eastAsia="宋体"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（3）噪声</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本</w:t>
            </w:r>
            <w:r>
              <w:rPr>
                <w:rFonts w:hint="default" w:ascii="Times New Roman" w:hAnsi="Times New Roman" w:eastAsia="宋体" w:cs="Times New Roman"/>
                <w:bCs/>
                <w:color w:val="000000" w:themeColor="text1"/>
                <w:sz w:val="24"/>
                <w14:textFill>
                  <w14:solidFill>
                    <w14:schemeClr w14:val="tx1"/>
                  </w14:solidFill>
                </w14:textFill>
              </w:rPr>
              <w:t>项目主要噪声污染源主要来自各机械设备运营时产生的噪声</w:t>
            </w:r>
            <w:r>
              <w:rPr>
                <w:rFonts w:hint="default" w:ascii="Times New Roman" w:hAnsi="Times New Roman" w:eastAsia="宋体" w:cs="Times New Roman"/>
                <w:bCs/>
                <w:color w:val="000000" w:themeColor="text1"/>
                <w:sz w:val="24"/>
                <w:lang w:val="en-US" w:eastAsia="zh-CN"/>
                <w14:textFill>
                  <w14:solidFill>
                    <w14:schemeClr w14:val="tx1"/>
                  </w14:solidFill>
                </w14:textFill>
              </w:rPr>
              <w:t>及汽车行驶产生的噪声。主要通过设备减振，设备房隔声，风机消声；对店面的经营活动加以限制，对经营行业进行规范：进出的小区车辆减速、禁鸣：合理安排房间的使用功能，项目临规划路一侧选用吸声、隔声的建筑材料或采用隔声窗以此降低噪声污染。经监测，</w:t>
            </w:r>
            <w:r>
              <w:rPr>
                <w:rFonts w:hint="default" w:ascii="Times New Roman" w:hAnsi="Times New Roman" w:eastAsia="宋体" w:cs="Times New Roman"/>
                <w:color w:val="auto"/>
                <w:sz w:val="24"/>
                <w:szCs w:val="24"/>
                <w:lang w:val="en-US" w:eastAsia="zh-CN"/>
              </w:rPr>
              <w:t>本项目噪声排放符合《工业企业厂界环境噪声排放标准》（GB12348-2008)中的3类标准，即：昼间噪声≤65，夜间噪声≤55。</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jc w:val="both"/>
              <w:textAlignment w:val="auto"/>
              <w:outlineLvl w:val="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（4）固废</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firstLine="480" w:firstLineChars="200"/>
              <w:jc w:val="both"/>
              <w:textAlignment w:val="auto"/>
              <w:outlineLvl w:val="2"/>
              <w:rPr>
                <w:rFonts w:hint="default" w:ascii="Times New Roman" w:hAnsi="Times New Roman" w:eastAsia="宋体" w:cs="Times New Roman"/>
                <w:color w:val="000000" w:themeColor="text1"/>
                <w:sz w:val="24"/>
                <w:lang w:eastAsia="zh-CN"/>
                <w14:textFill>
                  <w14:solidFill>
                    <w14:schemeClr w14:val="tx1"/>
                  </w14:solidFill>
                </w14:textFill>
              </w:rPr>
            </w:pPr>
            <w:bookmarkStart w:id="6" w:name="_Toc9522"/>
            <w:r>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t>本项目主要固体废物为小区居民产生的生活垃圾、商业店面产生的垃圾。生活垃圾经集中收集后，由环卫部门于每日清晨统一运往垃圾填埋场进行无害化处理。对物业、商业垃圾进行分类收集，回收其中有价值的材料重新加工利用，其余部分应分类袋装，由环卫部门及时清运。</w:t>
            </w:r>
          </w:p>
          <w:bookmarkEnd w:id="6"/>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firstLine="480" w:firstLineChars="200"/>
              <w:jc w:val="both"/>
              <w:textAlignment w:val="auto"/>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firstLine="480" w:firstLineChars="200"/>
              <w:jc w:val="both"/>
              <w:textAlignment w:val="auto"/>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后续要求：</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（1）严格执行环保“三同时”政策，建立健全环保工作责任制度；</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（2）对高噪设备的降噪措施及厂区布局进行优化。</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（3）定期维护各项环保设施，确保设施均能够正常运行，使处理效率达到最大化。</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综合以上各类污染物监测结果及环境管理检查情况表明，福建万宏置业有限公司“万宏国际”建设项目符合竣工环境保护验收要求，建议向环保审批部门申请对固体废物污染防治设施进行环境保护竣工验收。其中废水、废气、噪声等污染防治设施环境保护竣工验收由建设单位按程序自主开展。完成后上报备案。</w:t>
            </w:r>
          </w:p>
          <w:p>
            <w:pPr>
              <w:pStyle w:val="26"/>
              <w:keepNext w:val="0"/>
              <w:keepLines w:val="0"/>
              <w:pageBreakBefore w:val="0"/>
              <w:widowControl w:val="0"/>
              <w:kinsoku/>
              <w:wordWrap/>
              <w:overflowPunct/>
              <w:topLinePunct w:val="0"/>
              <w:bidi w:val="0"/>
              <w:spacing w:line="360" w:lineRule="auto"/>
              <w:jc w:val="right"/>
              <w:textAlignment w:val="auto"/>
              <w:rPr>
                <w:rFonts w:hint="default" w:ascii="Times New Roman" w:hAnsi="Times New Roman" w:eastAsia="宋体" w:cs="Times New Roman"/>
                <w:color w:val="0000FF"/>
                <w:sz w:val="21"/>
                <w:szCs w:val="21"/>
                <w:lang w:eastAsia="zh-CN"/>
              </w:rPr>
            </w:pPr>
          </w:p>
          <w:p>
            <w:pPr>
              <w:pStyle w:val="26"/>
              <w:keepNext w:val="0"/>
              <w:keepLines w:val="0"/>
              <w:pageBreakBefore w:val="0"/>
              <w:widowControl w:val="0"/>
              <w:kinsoku/>
              <w:wordWrap/>
              <w:overflowPunct/>
              <w:topLinePunct w:val="0"/>
              <w:bidi w:val="0"/>
              <w:spacing w:line="360" w:lineRule="auto"/>
              <w:jc w:val="right"/>
              <w:textAlignment w:val="auto"/>
              <w:rPr>
                <w:rFonts w:hint="default" w:ascii="Times New Roman" w:hAnsi="Times New Roman" w:eastAsia="宋体" w:cs="Times New Roman"/>
                <w:color w:val="0000FF"/>
                <w:sz w:val="21"/>
                <w:szCs w:val="21"/>
                <w:lang w:val="en-US" w:eastAsia="zh-CN"/>
              </w:rPr>
            </w:pPr>
          </w:p>
        </w:tc>
      </w:tr>
    </w:tbl>
    <w:p>
      <w:pPr>
        <w:pStyle w:val="26"/>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color w:val="0000FF"/>
          <w:sz w:val="21"/>
          <w:szCs w:val="21"/>
        </w:rPr>
      </w:pPr>
    </w:p>
    <w:p>
      <w:pPr>
        <w:pStyle w:val="26"/>
        <w:rPr>
          <w:rFonts w:hint="default" w:ascii="Times New Roman" w:hAnsi="Times New Roman" w:eastAsia="宋体" w:cs="Times New Roman"/>
          <w:color w:val="0000FF"/>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pPr w:leftFromText="180" w:rightFromText="180" w:vertAnchor="page" w:horzAnchor="page" w:tblpX="597" w:tblpY="843"/>
        <w:tblW w:w="16019" w:type="dxa"/>
        <w:jc w:val="center"/>
        <w:shd w:val="solid" w:color="FFFFFF" w:themeColor="background1" w:fill="FFFFFF" w:themeFill="background1"/>
        <w:tblLayout w:type="fixed"/>
        <w:tblCellMar>
          <w:top w:w="0" w:type="dxa"/>
          <w:left w:w="108" w:type="dxa"/>
          <w:bottom w:w="0" w:type="dxa"/>
          <w:right w:w="108" w:type="dxa"/>
        </w:tblCellMar>
      </w:tblPr>
      <w:tblGrid>
        <w:gridCol w:w="392"/>
        <w:gridCol w:w="453"/>
        <w:gridCol w:w="1544"/>
        <w:gridCol w:w="327"/>
        <w:gridCol w:w="467"/>
        <w:gridCol w:w="608"/>
        <w:gridCol w:w="424"/>
        <w:gridCol w:w="653"/>
        <w:gridCol w:w="285"/>
        <w:gridCol w:w="177"/>
        <w:gridCol w:w="405"/>
        <w:gridCol w:w="430"/>
        <w:gridCol w:w="665"/>
        <w:gridCol w:w="525"/>
        <w:gridCol w:w="1087"/>
        <w:gridCol w:w="968"/>
        <w:gridCol w:w="2265"/>
        <w:gridCol w:w="1132"/>
        <w:gridCol w:w="758"/>
        <w:gridCol w:w="567"/>
        <w:gridCol w:w="653"/>
        <w:gridCol w:w="307"/>
        <w:gridCol w:w="927"/>
      </w:tblGrid>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16019" w:type="dxa"/>
            <w:gridSpan w:val="23"/>
            <w:shd w:val="solid" w:color="FFFFFF" w:themeColor="background1" w:fill="FFFFFF" w:themeFill="background1"/>
            <w:vAlign w:val="center"/>
          </w:tcPr>
          <w:p>
            <w:pPr>
              <w:autoSpaceDN w:val="0"/>
              <w:jc w:val="center"/>
              <w:textAlignment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建设项目工程竣工环境保护“三同时”验收登记表</w:t>
            </w:r>
          </w:p>
          <w:p>
            <w:pPr>
              <w:keepNext w:val="0"/>
              <w:keepLines w:val="0"/>
              <w:pageBreakBefore w:val="0"/>
              <w:widowControl/>
              <w:kinsoku/>
              <w:wordWrap/>
              <w:overflowPunct/>
              <w:topLinePunct w:val="0"/>
              <w:autoSpaceDE/>
              <w:autoSpaceDN w:val="0"/>
              <w:bidi w:val="0"/>
              <w:adjustRightInd w:val="0"/>
              <w:snapToGrid w:val="0"/>
              <w:spacing w:after="0" w:line="240" w:lineRule="auto"/>
              <w:ind w:firstLine="720" w:firstLineChars="400"/>
              <w:jc w:val="both"/>
              <w:textAlignment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color w:val="auto"/>
                <w:sz w:val="18"/>
                <w:szCs w:val="18"/>
                <w:lang w:val="en-US" w:eastAsia="zh-CN"/>
              </w:rPr>
              <w:t>填表单位（盖章）：</w:t>
            </w:r>
            <w:r>
              <w:rPr>
                <w:rFonts w:hint="default" w:ascii="Times New Roman" w:hAnsi="Times New Roman" w:eastAsia="宋体" w:cs="Times New Roman"/>
                <w:color w:val="auto"/>
                <w:sz w:val="18"/>
                <w:szCs w:val="18"/>
                <w:lang w:val="en-US" w:eastAsia="zh-CN" w:bidi="ar-SA"/>
              </w:rPr>
              <w:t xml:space="preserve">福建万宏置业有限公司 </w:t>
            </w:r>
            <w:r>
              <w:rPr>
                <w:rFonts w:hint="default" w:ascii="Times New Roman" w:hAnsi="Times New Roman" w:eastAsia="宋体" w:cs="Times New Roman"/>
                <w:color w:val="auto"/>
                <w:sz w:val="18"/>
                <w:szCs w:val="18"/>
                <w:lang w:val="en-US" w:eastAsia="zh-CN"/>
              </w:rPr>
              <w:t xml:space="preserve">          填表人（签字）：                               项目经办人（签字）：</w:t>
            </w:r>
          </w:p>
        </w:tc>
      </w:tr>
      <w:tr>
        <w:tblPrEx>
          <w:tblCellMar>
            <w:top w:w="0" w:type="dxa"/>
            <w:left w:w="108" w:type="dxa"/>
            <w:bottom w:w="0" w:type="dxa"/>
            <w:right w:w="108" w:type="dxa"/>
          </w:tblCellMar>
        </w:tblPrEx>
        <w:trPr>
          <w:trHeight w:val="239" w:hRule="atLeast"/>
          <w:jc w:val="center"/>
        </w:trPr>
        <w:tc>
          <w:tcPr>
            <w:tcW w:w="392"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jc w:val="center"/>
              <w:textAlignment w:val="center"/>
              <w:outlineLvl w:val="9"/>
              <w:rPr>
                <w:rFonts w:hint="default" w:ascii="Times New Roman" w:hAnsi="Times New Roman" w:eastAsia="宋体" w:cs="Times New Roman"/>
                <w:color w:val="auto"/>
                <w:sz w:val="18"/>
                <w:szCs w:val="18"/>
                <w:shd w:val="clear" w:color="auto" w:fill="C0C0C0"/>
              </w:rPr>
            </w:pPr>
            <w:r>
              <w:rPr>
                <w:rFonts w:hint="default" w:ascii="Times New Roman" w:hAnsi="Times New Roman" w:eastAsia="宋体" w:cs="Times New Roman"/>
                <w:color w:val="auto"/>
                <w:sz w:val="18"/>
                <w:szCs w:val="18"/>
                <w:shd w:val="solid" w:color="FFFFFF" w:themeColor="background1" w:fill="FFFFFF" w:themeFill="background1"/>
              </w:rPr>
              <w:t>建 设 项 目</w:t>
            </w: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项目名称</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bidi="ar-SA"/>
              </w:rPr>
              <w:t>“万宏国际”建设项目</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项目代码</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建设地点</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bidi="ar-SA"/>
              </w:rPr>
              <w:t>云霄县金霞路东北侧自来水厂南侧</w:t>
            </w:r>
          </w:p>
        </w:tc>
      </w:tr>
      <w:tr>
        <w:tblPrEx>
          <w:tblCellMar>
            <w:top w:w="0" w:type="dxa"/>
            <w:left w:w="108" w:type="dxa"/>
            <w:bottom w:w="0" w:type="dxa"/>
            <w:right w:w="108" w:type="dxa"/>
          </w:tblCellMar>
        </w:tblPrEx>
        <w:trPr>
          <w:trHeight w:val="249"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行业类别</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分类管理名录</w:t>
            </w:r>
            <w:r>
              <w:rPr>
                <w:rFonts w:hint="default" w:ascii="Times New Roman" w:hAnsi="Times New Roman" w:eastAsia="宋体" w:cs="Times New Roman"/>
                <w:color w:val="auto"/>
                <w:sz w:val="18"/>
                <w:szCs w:val="18"/>
                <w:highlight w:val="none"/>
                <w:lang w:eastAsia="zh-CN"/>
              </w:rPr>
              <w:t>）</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建设性质</w:t>
            </w:r>
          </w:p>
        </w:tc>
        <w:tc>
          <w:tcPr>
            <w:tcW w:w="6609" w:type="dxa"/>
            <w:gridSpan w:val="7"/>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  新建√   改扩建    技术改造    </w:t>
            </w:r>
          </w:p>
        </w:tc>
      </w:tr>
      <w:tr>
        <w:tblPrEx>
          <w:tblCellMar>
            <w:top w:w="0" w:type="dxa"/>
            <w:left w:w="108" w:type="dxa"/>
            <w:bottom w:w="0" w:type="dxa"/>
            <w:right w:w="108" w:type="dxa"/>
          </w:tblCellMar>
        </w:tblPrEx>
        <w:trPr>
          <w:trHeight w:val="405"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lang w:val="en-US" w:eastAsia="zh-CN"/>
              </w:rPr>
              <w:t>建设规模</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pStyle w:val="4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bidi="ar-SA"/>
              </w:rPr>
              <w:t>总占地面积11031.67m</w:t>
            </w:r>
            <w:r>
              <w:rPr>
                <w:rFonts w:hint="default" w:ascii="Times New Roman" w:hAnsi="Times New Roman" w:eastAsia="宋体" w:cs="Times New Roman"/>
                <w:color w:val="auto"/>
                <w:sz w:val="18"/>
                <w:szCs w:val="18"/>
                <w:vertAlign w:val="superscript"/>
                <w:lang w:val="en-US" w:eastAsia="zh-CN" w:bidi="ar-SA"/>
              </w:rPr>
              <w:t>2</w:t>
            </w:r>
            <w:r>
              <w:rPr>
                <w:rFonts w:hint="default" w:ascii="Times New Roman" w:hAnsi="Times New Roman" w:eastAsia="宋体" w:cs="Times New Roman"/>
                <w:color w:val="auto"/>
                <w:sz w:val="18"/>
                <w:szCs w:val="18"/>
                <w:lang w:val="en-US" w:eastAsia="zh-CN" w:bidi="ar-SA"/>
              </w:rPr>
              <w:t>，建筑面积31090.38m</w:t>
            </w:r>
            <w:r>
              <w:rPr>
                <w:rFonts w:hint="default" w:ascii="Times New Roman" w:hAnsi="Times New Roman" w:eastAsia="宋体" w:cs="Times New Roman"/>
                <w:color w:val="auto"/>
                <w:sz w:val="18"/>
                <w:szCs w:val="18"/>
                <w:vertAlign w:val="superscript"/>
                <w:lang w:val="en-US" w:eastAsia="zh-CN" w:bidi="ar-SA"/>
              </w:rPr>
              <w:t>2</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总规模</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pStyle w:val="4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bidi="ar-SA"/>
              </w:rPr>
              <w:t>总占地面积11031.67m</w:t>
            </w:r>
            <w:r>
              <w:rPr>
                <w:rFonts w:hint="default" w:ascii="Times New Roman" w:hAnsi="Times New Roman" w:eastAsia="宋体" w:cs="Times New Roman"/>
                <w:color w:val="auto"/>
                <w:sz w:val="18"/>
                <w:szCs w:val="18"/>
                <w:vertAlign w:val="superscript"/>
                <w:lang w:val="en-US" w:eastAsia="zh-CN" w:bidi="ar-SA"/>
              </w:rPr>
              <w:t>2</w:t>
            </w:r>
            <w:r>
              <w:rPr>
                <w:rFonts w:hint="default" w:ascii="Times New Roman" w:hAnsi="Times New Roman" w:eastAsia="宋体" w:cs="Times New Roman"/>
                <w:color w:val="auto"/>
                <w:sz w:val="18"/>
                <w:szCs w:val="18"/>
                <w:lang w:val="en-US" w:eastAsia="zh-CN" w:bidi="ar-SA"/>
              </w:rPr>
              <w:t>，建筑面积31981.53m</w:t>
            </w:r>
            <w:r>
              <w:rPr>
                <w:rFonts w:hint="default" w:ascii="Times New Roman" w:hAnsi="Times New Roman" w:eastAsia="宋体" w:cs="Times New Roman"/>
                <w:color w:val="auto"/>
                <w:sz w:val="18"/>
                <w:szCs w:val="18"/>
                <w:vertAlign w:val="superscript"/>
                <w:lang w:val="en-US" w:eastAsia="zh-CN" w:bidi="ar-SA"/>
              </w:rPr>
              <w:t>2</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环评单位</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厦门新绿色环境发展有限公司</w:t>
            </w:r>
          </w:p>
        </w:tc>
      </w:tr>
      <w:tr>
        <w:tblPrEx>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环评文件审批机关</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云霄县环境保护局</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审批文号</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vertAlign w:val="baseline"/>
                <w:lang w:val="en-US" w:eastAsia="zh-CN"/>
              </w:rPr>
              <w:t>云环审【2013】71号</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环评文件类型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报告表</w:t>
            </w:r>
          </w:p>
        </w:tc>
      </w:tr>
      <w:tr>
        <w:tblPrEx>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开工日期</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bidi="ar-SA"/>
              </w:rPr>
              <w:t>2014.03.01</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竣工日期</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bidi="ar-SA"/>
              </w:rPr>
              <w:t>2017.03.31</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排污许可证申领时间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环保设施设计单位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bidi="ar-SA"/>
              </w:rPr>
              <w:t>福建万宏置业有限公司</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环保设施施工单位</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bidi="ar-SA"/>
              </w:rPr>
              <w:t>福建万宏置业有限公司</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本工程排污许可证编号</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rPr>
            </w:pP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验收单位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bidi="ar-SA"/>
              </w:rPr>
              <w:t>福建万宏置业有限公司</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环保设施监测单位</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厦门科仪检测技术有限公司</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验收监测时工况</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≥75%</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投资总概算（万元）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环保投资总概算（万元）</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422.58</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4.2%</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实际总投资（万元）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实际环保投资（万元）</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422.58</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4.2%</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废水治理（万元）</w:t>
            </w:r>
          </w:p>
        </w:tc>
        <w:tc>
          <w:tcPr>
            <w:tcW w:w="107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tabs>
                <w:tab w:val="left" w:pos="270"/>
                <w:tab w:val="center" w:pos="489"/>
              </w:tabs>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w:t>
            </w:r>
          </w:p>
        </w:tc>
        <w:tc>
          <w:tcPr>
            <w:tcW w:w="1077"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废气治理（万元）</w:t>
            </w:r>
          </w:p>
        </w:tc>
        <w:tc>
          <w:tcPr>
            <w:tcW w:w="867"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w:t>
            </w:r>
          </w:p>
        </w:tc>
        <w:tc>
          <w:tcPr>
            <w:tcW w:w="109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噪声治理（万元）</w:t>
            </w:r>
          </w:p>
        </w:tc>
        <w:tc>
          <w:tcPr>
            <w:tcW w:w="52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固体废物治理（万元）</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绿化及生态（万元）</w:t>
            </w:r>
          </w:p>
        </w:tc>
        <w:tc>
          <w:tcPr>
            <w:tcW w:w="56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120</w:t>
            </w:r>
          </w:p>
        </w:tc>
        <w:tc>
          <w:tcPr>
            <w:tcW w:w="96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其它（万元）</w:t>
            </w:r>
          </w:p>
        </w:tc>
        <w:tc>
          <w:tcPr>
            <w:tcW w:w="92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72.58</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新增废水处理设施能力</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新增废气处理设施能力</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年平均工作时</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tblPrEx>
          <w:tblCellMar>
            <w:top w:w="0" w:type="dxa"/>
            <w:left w:w="108" w:type="dxa"/>
            <w:bottom w:w="0" w:type="dxa"/>
            <w:right w:w="108" w:type="dxa"/>
          </w:tblCellMar>
        </w:tblPrEx>
        <w:trPr>
          <w:trHeight w:val="249" w:hRule="atLeast"/>
          <w:jc w:val="center"/>
        </w:trPr>
        <w:tc>
          <w:tcPr>
            <w:tcW w:w="271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运营单位</w:t>
            </w:r>
          </w:p>
        </w:tc>
        <w:tc>
          <w:tcPr>
            <w:tcW w:w="2614"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lang w:val="en-US" w:eastAsia="zh-CN" w:bidi="ar-SA"/>
              </w:rPr>
              <w:t>福建万宏置业有限公司</w:t>
            </w:r>
          </w:p>
        </w:tc>
        <w:tc>
          <w:tcPr>
            <w:tcW w:w="4080"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运营单位社会统一信用代码（或组织机构代码）</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tbl>
            <w:tblPr>
              <w:tblStyle w:val="19"/>
              <w:tblW w:w="12660" w:type="dxa"/>
              <w:tblInd w:w="-21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26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750" w:type="dxa"/>
                  <w:tcBorders>
                    <w:top w:val="single" w:color="E5EBF5" w:sz="6" w:space="0"/>
                    <w:left w:val="single" w:color="E5EBF5" w:sz="6" w:space="0"/>
                    <w:bottom w:val="single" w:color="E5EBF5" w:sz="6" w:space="0"/>
                    <w:right w:val="single" w:color="E5EBF5" w:sz="6" w:space="0"/>
                  </w:tcBorders>
                  <w:shd w:val="clear" w:color="auto" w:fill="FFFFFF"/>
                  <w:tcMar>
                    <w:top w:w="165" w:type="dxa"/>
                    <w:left w:w="210" w:type="dxa"/>
                    <w:bottom w:w="165" w:type="dxa"/>
                    <w:right w:w="21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left"/>
                    <w:textAlignment w:val="center"/>
                    <w:rPr>
                      <w:rFonts w:hint="default" w:ascii="Times New Roman" w:hAnsi="Times New Roman" w:eastAsia="宋体" w:cs="Times New Roman"/>
                      <w:b w:val="0"/>
                      <w:i w:val="0"/>
                      <w:caps w:val="0"/>
                      <w:color w:val="auto"/>
                      <w:spacing w:val="0"/>
                      <w:sz w:val="18"/>
                      <w:szCs w:val="18"/>
                    </w:rPr>
                  </w:pPr>
                  <w:r>
                    <w:rPr>
                      <w:rFonts w:hint="default" w:ascii="Times New Roman" w:hAnsi="Times New Roman" w:eastAsia="宋体" w:cs="Times New Roman"/>
                      <w:b w:val="0"/>
                      <w:i w:val="0"/>
                      <w:caps w:val="0"/>
                      <w:color w:val="auto"/>
                      <w:spacing w:val="0"/>
                      <w:kern w:val="0"/>
                      <w:sz w:val="18"/>
                      <w:szCs w:val="18"/>
                      <w:lang w:val="en-US" w:eastAsia="zh-CN" w:bidi="ar"/>
                    </w:rPr>
                    <w:t>9135062207321240X4</w:t>
                  </w:r>
                </w:p>
              </w:tc>
            </w:tr>
          </w:tbl>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验收时间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line="280" w:lineRule="exact"/>
              <w:jc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2020.3.21</w:t>
            </w:r>
          </w:p>
        </w:tc>
      </w:tr>
      <w:tr>
        <w:tblPrEx>
          <w:tblCellMar>
            <w:top w:w="0" w:type="dxa"/>
            <w:left w:w="108" w:type="dxa"/>
            <w:bottom w:w="0" w:type="dxa"/>
            <w:right w:w="108" w:type="dxa"/>
          </w:tblCellMar>
        </w:tblPrEx>
        <w:trPr>
          <w:trHeight w:val="992" w:hRule="atLeast"/>
          <w:jc w:val="center"/>
        </w:trPr>
        <w:tc>
          <w:tcPr>
            <w:tcW w:w="845" w:type="dxa"/>
            <w:gridSpan w:val="2"/>
            <w:vMerge w:val="restart"/>
            <w:tcBorders>
              <w:top w:val="single" w:color="000000" w:sz="4" w:space="0"/>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adjustRightInd/>
              <w:snapToGrid/>
              <w:spacing w:after="0" w:line="240" w:lineRule="exact"/>
              <w:ind w:left="0" w:leftChars="0" w:right="0" w:rightChars="0" w:firstLine="0" w:firstLineChars="0"/>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污染</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物排</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放达</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标与</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总量</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控制</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（工</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业建</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设项</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目详</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填）</w:t>
            </w: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污染物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原有排放量</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（1）</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本期工程实际排放浓度</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（2）</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本期工程允许排放浓度</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（3）</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本期工程产生量</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（4）</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本期工程自身削减量</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（5）</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本期工程实际排放量</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（6）</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本期工程核定排放总量</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（7）</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本期工程“以新带老”削减量</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（8）</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全厂实际排放总量</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（9）</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全厂核定排放总量</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（10）</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区域平衡替代削减量</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（11）</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排放增</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减量</w:t>
            </w:r>
            <w:r>
              <w:rPr>
                <w:rFonts w:hint="default" w:ascii="Times New Roman" w:hAnsi="Times New Roman" w:eastAsia="宋体" w:cs="Times New Roman"/>
                <w:color w:val="auto"/>
                <w:sz w:val="18"/>
                <w:szCs w:val="18"/>
                <w:shd w:val="solid" w:color="FFFFFF" w:themeColor="background1" w:fill="FFFFFF" w:themeFill="background1"/>
              </w:rPr>
              <w:br w:type="textWrapping"/>
            </w:r>
            <w:r>
              <w:rPr>
                <w:rFonts w:hint="default" w:ascii="Times New Roman" w:hAnsi="Times New Roman" w:eastAsia="宋体" w:cs="Times New Roman"/>
                <w:color w:val="auto"/>
                <w:sz w:val="18"/>
                <w:szCs w:val="18"/>
                <w:shd w:val="solid" w:color="FFFFFF" w:themeColor="background1" w:fill="FFFFFF" w:themeFill="background1"/>
              </w:rPr>
              <w:t>（12）</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废水</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 xml:space="preserve">化学需氧量 </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rPr>
              <w:t>氨氮</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278"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石油类</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废气</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甲醛</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非甲烷总烃</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245"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颗粒物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氮氧化物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color w:val="0000FF"/>
          <w:sz w:val="18"/>
          <w:lang w:val="en-US" w:eastAsia="zh-CN"/>
        </w:rPr>
        <w:sectPr>
          <w:pgSz w:w="16838" w:h="11906" w:orient="landscape"/>
          <w:pgMar w:top="1179" w:right="1440" w:bottom="1179"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ascii="Times New Roman" w:hAnsi="Times New Roman" w:eastAsia="宋体" w:cs="Times New Roman"/>
          <w:color w:val="auto"/>
          <w:sz w:val="18"/>
        </w:rPr>
        <w:t>注：1、排放增减量：（+）表示增加，（-）表示减少</w:t>
      </w:r>
      <w:r>
        <w:rPr>
          <w:rFonts w:hint="default" w:ascii="Times New Roman" w:hAnsi="Times New Roman" w:eastAsia="宋体" w:cs="Times New Roman"/>
          <w:color w:val="auto"/>
          <w:sz w:val="18"/>
          <w:lang w:eastAsia="zh-CN"/>
        </w:rPr>
        <w:t>。</w:t>
      </w:r>
      <w:r>
        <w:rPr>
          <w:rFonts w:hint="default" w:ascii="Times New Roman" w:hAnsi="Times New Roman" w:eastAsia="宋体" w:cs="Times New Roman"/>
          <w:color w:val="auto"/>
          <w:sz w:val="18"/>
        </w:rPr>
        <w:t>2、(12)=(6)-(8)-(11)，（9）= (4)-(5)-(8)-(11)+（1）</w:t>
      </w:r>
      <w:r>
        <w:rPr>
          <w:rFonts w:hint="default" w:ascii="Times New Roman" w:hAnsi="Times New Roman" w:eastAsia="宋体" w:cs="Times New Roman"/>
          <w:color w:val="auto"/>
          <w:sz w:val="18"/>
          <w:lang w:eastAsia="zh-CN"/>
        </w:rPr>
        <w:t>。</w:t>
      </w:r>
      <w:r>
        <w:rPr>
          <w:rFonts w:hint="default" w:ascii="Times New Roman" w:hAnsi="Times New Roman" w:eastAsia="宋体" w:cs="Times New Roman"/>
          <w:color w:val="auto"/>
          <w:sz w:val="18"/>
        </w:rPr>
        <w:t>3、计量单位：废水排放量——万吨/年；废气排放量——万标立方米/年；工业固体废物排放量——万吨/年； 水污染物排放浓度——毫克/升；大气污染物排放浓度——毫克/立方米；水污染排放量——吨/年；大气污染物排放量——吨/年</w:t>
      </w:r>
      <w:r>
        <w:rPr>
          <w:rFonts w:hint="default" w:ascii="Times New Roman" w:hAnsi="Times New Roman" w:eastAsia="宋体" w:cs="Times New Roman"/>
          <w:color w:val="auto"/>
          <w:sz w:val="18"/>
          <w:lang w:val="en-US" w:eastAsia="zh-CN"/>
        </w:rPr>
        <w:t>附图</w:t>
      </w:r>
    </w:p>
    <w:p>
      <w:pPr>
        <w:pStyle w:val="2"/>
        <w:ind w:left="0" w:leftChars="0" w:firstLine="0" w:firstLineChars="0"/>
        <w:jc w:val="both"/>
        <w:rPr>
          <w:rFonts w:hint="default" w:ascii="Times New Roman" w:hAnsi="Times New Roman" w:eastAsia="宋体" w:cs="Times New Roman"/>
          <w:color w:val="000000" w:themeColor="text1"/>
          <w:sz w:val="28"/>
          <w:szCs w:val="24"/>
          <w:lang w:val="en-US" w:eastAsia="zh-CN"/>
          <w14:textFill>
            <w14:solidFill>
              <w14:schemeClr w14:val="tx1"/>
            </w14:solidFill>
          </w14:textFill>
        </w:rPr>
      </w:pPr>
      <w:r>
        <w:rPr>
          <w:rFonts w:hint="default" w:ascii="Times New Roman" w:hAnsi="Times New Roman" w:eastAsia="宋体" w:cs="Times New Roman"/>
          <w:color w:val="000000" w:themeColor="text1"/>
          <w:sz w:val="28"/>
          <w:szCs w:val="24"/>
          <w:lang w:val="en-US" w:eastAsia="zh-CN"/>
          <w14:textFill>
            <w14:solidFill>
              <w14:schemeClr w14:val="tx1"/>
            </w14:solidFill>
          </w14:textFill>
        </w:rPr>
        <w:t>附图1：项目地理位置图</w:t>
      </w:r>
    </w:p>
    <w:p>
      <w:pPr>
        <w:pStyle w:val="2"/>
        <w:ind w:left="0" w:leftChars="0" w:firstLine="0" w:firstLineChars="0"/>
        <w:jc w:val="center"/>
        <w:rPr>
          <w:rFonts w:hint="default" w:ascii="Times New Roman" w:hAnsi="Times New Roman" w:eastAsia="宋体" w:cs="Times New Roman"/>
          <w:color w:val="0000FF"/>
          <w:lang w:val="en-US" w:eastAsia="zh-CN"/>
        </w:rPr>
        <w:sectPr>
          <w:headerReference r:id="rId7" w:type="default"/>
          <w:footerReference r:id="rId8" w:type="default"/>
          <w:pgSz w:w="11906" w:h="16838"/>
          <w:pgMar w:top="1588" w:right="1474" w:bottom="1713" w:left="1474" w:header="851" w:footer="992" w:gutter="0"/>
          <w:cols w:space="720" w:num="1"/>
          <w:docGrid w:linePitch="312" w:charSpace="0"/>
        </w:sectPr>
      </w:pPr>
      <w:r>
        <w:rPr>
          <w:rFonts w:hint="default" w:ascii="Times New Roman" w:hAnsi="Times New Roman" w:eastAsia="宋体" w:cs="Times New Roman"/>
          <w:sz w:val="24"/>
        </w:rPr>
        <mc:AlternateContent>
          <mc:Choice Requires="wps">
            <w:drawing>
              <wp:anchor distT="0" distB="0" distL="114300" distR="114300" simplePos="0" relativeHeight="3300073472" behindDoc="0" locked="0" layoutInCell="1" allowOverlap="1">
                <wp:simplePos x="0" y="0"/>
                <wp:positionH relativeFrom="column">
                  <wp:posOffset>2687320</wp:posOffset>
                </wp:positionH>
                <wp:positionV relativeFrom="paragraph">
                  <wp:posOffset>3422650</wp:posOffset>
                </wp:positionV>
                <wp:extent cx="924560" cy="314325"/>
                <wp:effectExtent l="6350" t="6350" r="21590" b="365125"/>
                <wp:wrapNone/>
                <wp:docPr id="61" name="圆角矩形标注 61"/>
                <wp:cNvGraphicFramePr/>
                <a:graphic xmlns:a="http://schemas.openxmlformats.org/drawingml/2006/main">
                  <a:graphicData uri="http://schemas.microsoft.com/office/word/2010/wordprocessingShape">
                    <wps:wsp>
                      <wps:cNvSpPr/>
                      <wps:spPr>
                        <a:xfrm>
                          <a:off x="2013585" y="3864610"/>
                          <a:ext cx="924560" cy="314325"/>
                        </a:xfrm>
                        <a:prstGeom prst="wedgeRoundRectCallout">
                          <a:avLst>
                            <a:gd name="adj1" fmla="val -42445"/>
                            <a:gd name="adj2" fmla="val 153434"/>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11.6pt;margin-top:269.5pt;height:24.75pt;width:72.8pt;z-index:-994893824;v-text-anchor:middle;mso-width-relative:page;mso-height-relative:page;" fillcolor="#FFFFFF [3212]" filled="t" stroked="t" coordsize="21600,21600" o:gfxdata="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SNaxg&#10;2wAAAAsBAAAPAAAAAAAAAAEAIAAAACIAAABkcnMvZG93bnJldi54bWxQSwECFAAUAAAACACHTuJA&#10;Ks6Yf8kCAABzBQAADgAAAAAAAAABACAAAAAqAQAAZHJzL2Uyb0RvYy54bWxQSwUGAAAAAAYABgBZ&#10;AQAAZQYAAAAA&#10;" adj="1632,43942,14400">
                <v:fill on="t" focussize="0,0"/>
                <v:stroke weight="1pt" color="#41719C [3204]" miterlimit="8" joinstyle="miter"/>
                <v:imagedata o:title=""/>
                <o:lock v:ext="edit" aspectratio="f"/>
                <v:textbox>
                  <w:txbxContent>
                    <w:p>
                      <w:pPr>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p>
                  </w:txbxContent>
                </v:textbox>
              </v:shape>
            </w:pict>
          </mc:Fallback>
        </mc:AlternateContent>
      </w:r>
      <w:r>
        <w:rPr>
          <w:rFonts w:hint="default" w:ascii="Times New Roman" w:hAnsi="Times New Roman" w:eastAsia="宋体" w:cs="Times New Roman"/>
          <w:color w:val="0000FF"/>
          <w:lang w:val="en-US" w:eastAsia="zh-CN"/>
        </w:rPr>
        <w:drawing>
          <wp:inline distT="0" distB="0" distL="114300" distR="114300">
            <wp:extent cx="4864735" cy="7369810"/>
            <wp:effectExtent l="0" t="0" r="12065" b="2540"/>
            <wp:docPr id="60" name="图片 60" descr="5d86410e0c4e6e3e7028dc397a3f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d86410e0c4e6e3e7028dc397a3f583"/>
                    <pic:cNvPicPr>
                      <a:picLocks noChangeAspect="1"/>
                    </pic:cNvPicPr>
                  </pic:nvPicPr>
                  <pic:blipFill>
                    <a:blip r:embed="rId13"/>
                    <a:stretch>
                      <a:fillRect/>
                    </a:stretch>
                  </pic:blipFill>
                  <pic:spPr>
                    <a:xfrm>
                      <a:off x="0" y="0"/>
                      <a:ext cx="4864735" cy="7369810"/>
                    </a:xfrm>
                    <a:prstGeom prst="rect">
                      <a:avLst/>
                    </a:prstGeom>
                  </pic:spPr>
                </pic:pic>
              </a:graphicData>
            </a:graphic>
          </wp:inline>
        </w:drawing>
      </w:r>
    </w:p>
    <w:p>
      <w:pPr>
        <w:pStyle w:val="2"/>
        <w:ind w:left="0" w:leftChars="0" w:firstLine="0" w:firstLineChars="0"/>
        <w:jc w:val="both"/>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color w:val="auto"/>
          <w:sz w:val="28"/>
          <w:szCs w:val="24"/>
          <w:lang w:val="en-US" w:eastAsia="zh-CN"/>
        </w:rPr>
        <w:t>附图2：周边环境示意图</w:t>
      </w:r>
    </w:p>
    <w:p>
      <w:pPr>
        <w:pStyle w:val="2"/>
        <w:ind w:left="0" w:leftChars="0" w:firstLine="0" w:firstLineChars="0"/>
        <w:jc w:val="both"/>
        <w:rPr>
          <w:rFonts w:hint="default" w:ascii="Times New Roman" w:hAnsi="Times New Roman" w:eastAsia="宋体" w:cs="Times New Roman"/>
        </w:rPr>
        <w:sectPr>
          <w:pgSz w:w="16838" w:h="11906" w:orient="landscape"/>
          <w:pgMar w:top="1474" w:right="1588" w:bottom="1474" w:left="1713" w:header="851" w:footer="992" w:gutter="0"/>
          <w:cols w:space="720" w:num="1"/>
          <w:docGrid w:linePitch="312" w:charSpace="0"/>
        </w:sectPr>
      </w:pPr>
      <w:r>
        <w:rPr>
          <w:rFonts w:hint="default" w:ascii="Times New Roman" w:hAnsi="Times New Roman" w:eastAsia="宋体" w:cs="Times New Roman"/>
          <w:sz w:val="24"/>
        </w:rPr>
        <mc:AlternateContent>
          <mc:Choice Requires="wps">
            <w:drawing>
              <wp:anchor distT="0" distB="0" distL="114300" distR="114300" simplePos="0" relativeHeight="3300072448" behindDoc="0" locked="0" layoutInCell="1" allowOverlap="1">
                <wp:simplePos x="0" y="0"/>
                <wp:positionH relativeFrom="column">
                  <wp:posOffset>5253990</wp:posOffset>
                </wp:positionH>
                <wp:positionV relativeFrom="paragraph">
                  <wp:posOffset>2093595</wp:posOffset>
                </wp:positionV>
                <wp:extent cx="1057275" cy="344170"/>
                <wp:effectExtent l="0" t="0" r="0" b="0"/>
                <wp:wrapNone/>
                <wp:docPr id="9" name="矩形 9"/>
                <wp:cNvGraphicFramePr/>
                <a:graphic xmlns:a="http://schemas.openxmlformats.org/drawingml/2006/main">
                  <a:graphicData uri="http://schemas.microsoft.com/office/word/2010/wordprocessingShape">
                    <wps:wsp>
                      <wps:cNvSpPr/>
                      <wps:spPr>
                        <a:xfrm>
                          <a:off x="0" y="0"/>
                          <a:ext cx="105727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商住小区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3.7pt;margin-top:164.85pt;height:27.1pt;width:83.25pt;z-index:-994894848;v-text-anchor:middle;mso-width-relative:page;mso-height-relative:page;" filled="f" stroked="f" coordsize="21600,21600" o:gfxdata="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2Ea4y2QAAAAsBAAAPAAAAAAAAAAEAIAAA&#10;ACIAAABkcnMvZG93bnJldi54bWxQSwECFAAUAAAACACHTuJAMhfipkQCAABfBAAADgAAAAAAAAAB&#10;ACAAAAAoAQAAZHJzL2Uyb0RvYy54bWxQSwUGAAAAAAYABgBZAQAA3gUAAAAA&#10;">
                <v:fill on="f" focussize="0,0"/>
                <v:stroke on="f" weight="1pt" miterlimit="8" joinstyle="miter"/>
                <v:imagedata o:title=""/>
                <o:lock v:ext="edit" aspectratio="f"/>
                <v:textbo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商住小区</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3300072448" behindDoc="0" locked="0" layoutInCell="1" allowOverlap="1">
                <wp:simplePos x="0" y="0"/>
                <wp:positionH relativeFrom="column">
                  <wp:posOffset>5215890</wp:posOffset>
                </wp:positionH>
                <wp:positionV relativeFrom="paragraph">
                  <wp:posOffset>3360420</wp:posOffset>
                </wp:positionV>
                <wp:extent cx="1057275" cy="344170"/>
                <wp:effectExtent l="0" t="0" r="0" b="0"/>
                <wp:wrapNone/>
                <wp:docPr id="7" name="矩形 7"/>
                <wp:cNvGraphicFramePr/>
                <a:graphic xmlns:a="http://schemas.openxmlformats.org/drawingml/2006/main">
                  <a:graphicData uri="http://schemas.microsoft.com/office/word/2010/wordprocessingShape">
                    <wps:wsp>
                      <wps:cNvSpPr/>
                      <wps:spPr>
                        <a:xfrm>
                          <a:off x="0" y="0"/>
                          <a:ext cx="105727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居民区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0.7pt;margin-top:264.6pt;height:27.1pt;width:83.25pt;z-index:-994894848;v-text-anchor:middle;mso-width-relative:page;mso-height-relative:page;" filled="f" stroked="f" coordsize="21600,21600" o:gfxdata="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R8cL2QAAAAsBAAAPAAAAAAAAAAEAIAAA&#10;ACIAAABkcnMvZG93bnJldi54bWxQSwECFAAUAAAACACHTuJAIRAMSkQCAABfBAAADgAAAAAAAAAB&#10;ACAAAAAoAQAAZHJzL2Uyb0RvYy54bWxQSwUGAAAAAAYABgBZAQAA3gUAAAAA&#10;">
                <v:fill on="f" focussize="0,0"/>
                <v:stroke on="f" weight="1pt" miterlimit="8" joinstyle="miter"/>
                <v:imagedata o:title=""/>
                <o:lock v:ext="edit" aspectratio="f"/>
                <v:textbo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居民区</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3300072448" behindDoc="0" locked="0" layoutInCell="1" allowOverlap="1">
                <wp:simplePos x="0" y="0"/>
                <wp:positionH relativeFrom="column">
                  <wp:posOffset>3768090</wp:posOffset>
                </wp:positionH>
                <wp:positionV relativeFrom="paragraph">
                  <wp:posOffset>3636645</wp:posOffset>
                </wp:positionV>
                <wp:extent cx="1057275" cy="344170"/>
                <wp:effectExtent l="0" t="0" r="0" b="0"/>
                <wp:wrapNone/>
                <wp:docPr id="6" name="矩形 6"/>
                <wp:cNvGraphicFramePr/>
                <a:graphic xmlns:a="http://schemas.openxmlformats.org/drawingml/2006/main">
                  <a:graphicData uri="http://schemas.microsoft.com/office/word/2010/wordprocessingShape">
                    <wps:wsp>
                      <wps:cNvSpPr/>
                      <wps:spPr>
                        <a:xfrm>
                          <a:off x="0" y="0"/>
                          <a:ext cx="105727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居民区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6.7pt;margin-top:286.35pt;height:27.1pt;width:83.25pt;z-index:-994894848;v-text-anchor:middle;mso-width-relative:page;mso-height-relative:page;" filled="f" stroked="f" coordsize="21600,21600" o:gfxdata="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N0LE9oAAAALAQAADwAAAAAAAAABACAA&#10;AAAiAAAAZHJzL2Rvd25yZXYueG1sUEsBAhQAFAAAAAgAh07iQNn86DxEAgAAXwQAAA4AAAAAAAAA&#10;AQAgAAAAKQEAAGRycy9lMm9Eb2MueG1sUEsFBgAAAAAGAAYAWQEAAN8FAAAAAA==&#10;">
                <v:fill on="f" focussize="0,0"/>
                <v:stroke on="f" weight="1pt" miterlimit="8" joinstyle="miter"/>
                <v:imagedata o:title=""/>
                <o:lock v:ext="edit" aspectratio="f"/>
                <v:textbo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居民区</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3300070400" behindDoc="0" locked="0" layoutInCell="1" allowOverlap="1">
                <wp:simplePos x="0" y="0"/>
                <wp:positionH relativeFrom="column">
                  <wp:posOffset>4196715</wp:posOffset>
                </wp:positionH>
                <wp:positionV relativeFrom="paragraph">
                  <wp:posOffset>2436495</wp:posOffset>
                </wp:positionV>
                <wp:extent cx="1057275" cy="323850"/>
                <wp:effectExtent l="0" t="0" r="0" b="0"/>
                <wp:wrapNone/>
                <wp:docPr id="4" name="矩形 4"/>
                <wp:cNvGraphicFramePr/>
                <a:graphic xmlns:a="http://schemas.openxmlformats.org/drawingml/2006/main">
                  <a:graphicData uri="http://schemas.microsoft.com/office/word/2010/wordprocessingShape">
                    <wps:wsp>
                      <wps:cNvSpPr/>
                      <wps:spPr>
                        <a:xfrm>
                          <a:off x="4760595" y="3949065"/>
                          <a:ext cx="10572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45pt;margin-top:191.85pt;height:25.5pt;width:83.25pt;z-index:-994896896;v-text-anchor:middle;mso-width-relative:page;mso-height-relative:page;" filled="f" stroked="f" coordsize="21600,21600" o:gfxdata="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CbFtNkAAAALAQAA&#10;DwAAAAAAAAABACAAAAAiAAAAZHJzL2Rvd25yZXYueG1sUEsBAhQAFAAAAAgAh07iQN+Z2bZRAgAA&#10;awQAAA4AAAAAAAAAAQAgAAAAKAEAAGRycy9lMm9Eb2MueG1sUEsFBgAAAAAGAAYAWQEAAOsFAAAA&#10;AA==&#10;">
                <v:fill on="f" focussize="0,0"/>
                <v:stroke on="f" weight="1pt" miterlimit="8" joinstyle="miter"/>
                <v:imagedata o:title=""/>
                <o:lock v:ext="edit" aspectratio="f"/>
                <v:textbox>
                  <w:txbxContent>
                    <w:p>
                      <w:pPr>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本项目</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3300071424" behindDoc="0" locked="0" layoutInCell="1" allowOverlap="1">
                <wp:simplePos x="0" y="0"/>
                <wp:positionH relativeFrom="column">
                  <wp:posOffset>3406140</wp:posOffset>
                </wp:positionH>
                <wp:positionV relativeFrom="paragraph">
                  <wp:posOffset>1998345</wp:posOffset>
                </wp:positionV>
                <wp:extent cx="1057275" cy="344170"/>
                <wp:effectExtent l="0" t="0" r="0" b="0"/>
                <wp:wrapNone/>
                <wp:docPr id="5" name="矩形 5"/>
                <wp:cNvGraphicFramePr/>
                <a:graphic xmlns:a="http://schemas.openxmlformats.org/drawingml/2006/main">
                  <a:graphicData uri="http://schemas.microsoft.com/office/word/2010/wordprocessingShape">
                    <wps:wsp>
                      <wps:cNvSpPr/>
                      <wps:spPr>
                        <a:xfrm>
                          <a:off x="0" y="0"/>
                          <a:ext cx="105727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居民区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8.2pt;margin-top:157.35pt;height:27.1pt;width:83.25pt;z-index:-994895872;v-text-anchor:middle;mso-width-relative:page;mso-height-relative:page;" filled="f" stroked="f" coordsize="21600,21600" o:gfxdata="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CYyt92gAAAAsBAAAPAAAAAAAAAAEAIAAA&#10;ACIAAABkcnMvZG93bnJldi54bWxQSwECFAAUAAAACACHTuJA0cnFp0MCAABfBAAADgAAAAAAAAAB&#10;ACAAAAApAQAAZHJzL2Uyb0RvYy54bWxQSwUGAAAAAAYABgBZAQAA3gUAAAAA&#10;">
                <v:fill on="f" focussize="0,0"/>
                <v:stroke on="f" weight="1pt" miterlimit="8" joinstyle="miter"/>
                <v:imagedata o:title=""/>
                <o:lock v:ext="edit" aspectratio="f"/>
                <v:textbo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居民区</w:t>
                      </w:r>
                    </w:p>
                  </w:txbxContent>
                </v:textbox>
              </v:rect>
            </w:pict>
          </mc:Fallback>
        </mc:AlternateContent>
      </w:r>
      <w:r>
        <w:rPr>
          <w:rFonts w:hint="default" w:ascii="Times New Roman" w:hAnsi="Times New Roman" w:eastAsia="宋体" w:cs="Times New Roman"/>
        </w:rPr>
        <w:drawing>
          <wp:inline distT="0" distB="0" distL="114300" distR="114300">
            <wp:extent cx="8495030" cy="4919980"/>
            <wp:effectExtent l="0" t="0" r="127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8495030" cy="4919980"/>
                    </a:xfrm>
                    <a:prstGeom prst="rect">
                      <a:avLst/>
                    </a:prstGeom>
                    <a:noFill/>
                    <a:ln>
                      <a:noFill/>
                    </a:ln>
                  </pic:spPr>
                </pic:pic>
              </a:graphicData>
            </a:graphic>
          </wp:inline>
        </w:drawing>
      </w:r>
    </w:p>
    <w:p>
      <w:pPr>
        <w:pStyle w:val="2"/>
        <w:ind w:left="0" w:leftChars="0" w:firstLine="0" w:firstLineChars="0"/>
        <w:jc w:val="both"/>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color w:val="auto"/>
          <w:sz w:val="28"/>
          <w:szCs w:val="24"/>
          <w:lang w:val="en-US" w:eastAsia="zh-CN"/>
        </w:rPr>
        <w:t>附图3：监测点位图</w:t>
      </w:r>
    </w:p>
    <w:p>
      <w:pPr>
        <w:pStyle w:val="2"/>
        <w:ind w:left="0" w:leftChars="0" w:firstLine="0" w:firstLineChars="0"/>
        <w:jc w:val="center"/>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rPr>
        <w:drawing>
          <wp:inline distT="0" distB="0" distL="114300" distR="114300">
            <wp:extent cx="5461635" cy="6696075"/>
            <wp:effectExtent l="0" t="0" r="5715" b="9525"/>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15"/>
                    <a:stretch>
                      <a:fillRect/>
                    </a:stretch>
                  </pic:blipFill>
                  <pic:spPr>
                    <a:xfrm>
                      <a:off x="0" y="0"/>
                      <a:ext cx="5461635" cy="6696075"/>
                    </a:xfrm>
                    <a:prstGeom prst="rect">
                      <a:avLst/>
                    </a:prstGeom>
                    <a:noFill/>
                    <a:ln>
                      <a:noFill/>
                    </a:ln>
                  </pic:spPr>
                </pic:pic>
              </a:graphicData>
            </a:graphic>
          </wp:inline>
        </w:drawing>
      </w:r>
    </w:p>
    <w:p>
      <w:pPr>
        <w:pStyle w:val="2"/>
        <w:ind w:left="0" w:leftChars="0" w:firstLine="0" w:firstLineChars="0"/>
        <w:jc w:val="both"/>
        <w:rPr>
          <w:rFonts w:hint="default" w:ascii="Times New Roman" w:hAnsi="Times New Roman" w:eastAsia="宋体" w:cs="Times New Roman"/>
          <w:color w:val="auto"/>
          <w:sz w:val="28"/>
          <w:szCs w:val="24"/>
          <w:lang w:val="en-US" w:eastAsia="zh-CN"/>
        </w:rPr>
      </w:pPr>
    </w:p>
    <w:p>
      <w:pPr>
        <w:pStyle w:val="2"/>
        <w:ind w:left="0" w:leftChars="0" w:firstLine="0" w:firstLineChars="0"/>
        <w:jc w:val="both"/>
        <w:rPr>
          <w:rFonts w:hint="default" w:ascii="Times New Roman" w:hAnsi="Times New Roman" w:eastAsia="宋体" w:cs="Times New Roman"/>
          <w:color w:val="auto"/>
          <w:sz w:val="28"/>
          <w:szCs w:val="24"/>
          <w:lang w:val="en-US" w:eastAsia="zh-CN"/>
        </w:rPr>
      </w:pPr>
    </w:p>
    <w:p>
      <w:pPr>
        <w:pStyle w:val="2"/>
        <w:ind w:left="0" w:leftChars="0" w:firstLine="0" w:firstLineChars="0"/>
        <w:jc w:val="both"/>
        <w:rPr>
          <w:rFonts w:hint="default" w:ascii="Times New Roman" w:hAnsi="Times New Roman" w:eastAsia="宋体" w:cs="Times New Roman"/>
          <w:color w:val="auto"/>
          <w:sz w:val="28"/>
          <w:szCs w:val="24"/>
          <w:lang w:val="en-US" w:eastAsia="zh-CN"/>
        </w:rPr>
      </w:pPr>
    </w:p>
    <w:p>
      <w:pPr>
        <w:pStyle w:val="2"/>
        <w:ind w:left="0" w:leftChars="0" w:firstLine="0" w:firstLineChars="0"/>
        <w:jc w:val="both"/>
        <w:rPr>
          <w:rFonts w:hint="default" w:ascii="Times New Roman" w:hAnsi="Times New Roman" w:eastAsia="宋体" w:cs="Times New Roman"/>
          <w:color w:val="auto"/>
          <w:sz w:val="28"/>
          <w:szCs w:val="24"/>
          <w:lang w:val="en-US" w:eastAsia="zh-CN"/>
        </w:rPr>
      </w:pPr>
    </w:p>
    <w:p>
      <w:pPr>
        <w:pStyle w:val="2"/>
        <w:ind w:left="0" w:leftChars="0" w:firstLine="0" w:firstLineChars="0"/>
        <w:jc w:val="both"/>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color w:val="auto"/>
          <w:sz w:val="28"/>
          <w:szCs w:val="24"/>
          <w:lang w:val="en-US" w:eastAsia="zh-CN"/>
        </w:rPr>
        <w:t>附图4：现场采样照片</w:t>
      </w:r>
    </w:p>
    <w:p>
      <w:pPr>
        <w:pStyle w:val="2"/>
        <w:ind w:left="0" w:leftChars="0" w:firstLine="0" w:firstLineChars="0"/>
        <w:jc w:val="center"/>
        <w:rPr>
          <w:rFonts w:hint="default" w:ascii="Times New Roman" w:hAnsi="Times New Roman" w:eastAsia="宋体" w:cs="Times New Roman"/>
          <w:sz w:val="28"/>
        </w:rPr>
        <w:sectPr>
          <w:pgSz w:w="11906" w:h="16838"/>
          <w:pgMar w:top="1588" w:right="1474" w:bottom="1713" w:left="1474" w:header="851" w:footer="992" w:gutter="0"/>
          <w:cols w:space="720" w:num="1"/>
          <w:docGrid w:linePitch="312" w:charSpace="0"/>
        </w:sectPr>
      </w:pPr>
      <w:r>
        <w:rPr>
          <w:rFonts w:hint="default" w:ascii="Times New Roman" w:hAnsi="Times New Roman" w:eastAsia="宋体" w:cs="Times New Roman"/>
        </w:rPr>
        <w:drawing>
          <wp:inline distT="0" distB="0" distL="114300" distR="114300">
            <wp:extent cx="5683885" cy="6816725"/>
            <wp:effectExtent l="0" t="0" r="12065" b="3175"/>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16"/>
                    <a:stretch>
                      <a:fillRect/>
                    </a:stretch>
                  </pic:blipFill>
                  <pic:spPr>
                    <a:xfrm>
                      <a:off x="0" y="0"/>
                      <a:ext cx="5683885" cy="6816725"/>
                    </a:xfrm>
                    <a:prstGeom prst="rect">
                      <a:avLst/>
                    </a:prstGeom>
                    <a:noFill/>
                    <a:ln>
                      <a:noFill/>
                    </a:ln>
                  </pic:spPr>
                </pic:pic>
              </a:graphicData>
            </a:graphic>
          </wp:inline>
        </w:drawing>
      </w:r>
    </w:p>
    <w:p>
      <w:pPr>
        <w:pStyle w:val="2"/>
        <w:ind w:left="0" w:leftChars="0" w:firstLine="0" w:firstLineChars="0"/>
        <w:jc w:val="both"/>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color w:val="auto"/>
          <w:sz w:val="28"/>
          <w:szCs w:val="24"/>
          <w:lang w:val="en-US" w:eastAsia="zh-CN"/>
        </w:rPr>
        <w:t>附件1：环评批复</w:t>
      </w:r>
    </w:p>
    <w:p>
      <w:pPr>
        <w:pStyle w:val="2"/>
        <w:ind w:left="0" w:leftChars="0" w:firstLine="0" w:firstLineChars="0"/>
        <w:jc w:val="both"/>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sz w:val="28"/>
          <w:lang w:val="en-US" w:eastAsia="zh-CN"/>
        </w:rPr>
        <w:drawing>
          <wp:inline distT="0" distB="0" distL="114300" distR="114300">
            <wp:extent cx="5681345" cy="7814310"/>
            <wp:effectExtent l="0" t="0" r="14605" b="15240"/>
            <wp:docPr id="26" name="图片 26" descr="fdb435b66ad070971521aab05d08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db435b66ad070971521aab05d08db5"/>
                    <pic:cNvPicPr>
                      <a:picLocks noChangeAspect="1"/>
                    </pic:cNvPicPr>
                  </pic:nvPicPr>
                  <pic:blipFill>
                    <a:blip r:embed="rId17"/>
                    <a:stretch>
                      <a:fillRect/>
                    </a:stretch>
                  </pic:blipFill>
                  <pic:spPr>
                    <a:xfrm>
                      <a:off x="0" y="0"/>
                      <a:ext cx="5681345" cy="7814310"/>
                    </a:xfrm>
                    <a:prstGeom prst="rect">
                      <a:avLst/>
                    </a:prstGeom>
                  </pic:spPr>
                </pic:pic>
              </a:graphicData>
            </a:graphic>
          </wp:inline>
        </w:drawing>
      </w:r>
    </w:p>
    <w:p>
      <w:pPr>
        <w:pStyle w:val="2"/>
        <w:ind w:left="0" w:leftChars="0" w:firstLine="0" w:firstLineChars="0"/>
        <w:jc w:val="both"/>
        <w:rPr>
          <w:rFonts w:hint="default" w:ascii="Times New Roman" w:hAnsi="Times New Roman" w:eastAsia="宋体" w:cs="Times New Roman"/>
          <w:sz w:val="28"/>
          <w:lang w:val="en-US" w:eastAsia="zh-CN"/>
        </w:rPr>
        <w:sectPr>
          <w:pgSz w:w="11906" w:h="16838"/>
          <w:pgMar w:top="1588" w:right="1474" w:bottom="1713" w:left="1474" w:header="851" w:footer="992" w:gutter="0"/>
          <w:cols w:space="720" w:num="1"/>
          <w:docGrid w:linePitch="312" w:charSpace="0"/>
        </w:sectPr>
      </w:pPr>
      <w:r>
        <w:rPr>
          <w:rFonts w:hint="default" w:ascii="Times New Roman" w:hAnsi="Times New Roman" w:eastAsia="宋体" w:cs="Times New Roman"/>
          <w:sz w:val="28"/>
          <w:lang w:val="en-US" w:eastAsia="zh-CN"/>
        </w:rPr>
        <w:drawing>
          <wp:inline distT="0" distB="0" distL="114300" distR="114300">
            <wp:extent cx="5681345" cy="7814310"/>
            <wp:effectExtent l="0" t="0" r="14605" b="15240"/>
            <wp:docPr id="27" name="图片 27" descr="702183fd009c549366a26921ce73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02183fd009c549366a26921ce73b2d"/>
                    <pic:cNvPicPr>
                      <a:picLocks noChangeAspect="1"/>
                    </pic:cNvPicPr>
                  </pic:nvPicPr>
                  <pic:blipFill>
                    <a:blip r:embed="rId18"/>
                    <a:stretch>
                      <a:fillRect/>
                    </a:stretch>
                  </pic:blipFill>
                  <pic:spPr>
                    <a:xfrm rot="10800000">
                      <a:off x="0" y="0"/>
                      <a:ext cx="5681345" cy="7814310"/>
                    </a:xfrm>
                    <a:prstGeom prst="rect">
                      <a:avLst/>
                    </a:prstGeom>
                  </pic:spPr>
                </pic:pic>
              </a:graphicData>
            </a:graphic>
          </wp:inline>
        </w:drawing>
      </w:r>
    </w:p>
    <w:p>
      <w:pPr>
        <w:pStyle w:val="2"/>
        <w:ind w:left="0" w:leftChars="0" w:firstLine="0" w:firstLineChars="0"/>
        <w:jc w:val="both"/>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color w:val="auto"/>
          <w:sz w:val="28"/>
          <w:szCs w:val="24"/>
          <w:lang w:val="en-US" w:eastAsia="zh-CN"/>
        </w:rPr>
        <w:t>附件2：万宏国际面积表</w:t>
      </w:r>
    </w:p>
    <w:p>
      <w:pPr>
        <w:pStyle w:val="2"/>
        <w:ind w:left="0" w:leftChars="0" w:firstLine="0" w:firstLineChars="0"/>
        <w:jc w:val="both"/>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color w:val="auto"/>
          <w:sz w:val="28"/>
          <w:szCs w:val="24"/>
          <w:lang w:val="en-US" w:eastAsia="zh-CN"/>
        </w:rPr>
        <w:drawing>
          <wp:inline distT="0" distB="0" distL="114300" distR="114300">
            <wp:extent cx="5681345" cy="7814310"/>
            <wp:effectExtent l="0" t="0" r="14605" b="15240"/>
            <wp:docPr id="33" name="图片 33" descr="bb0f572f29b4a23285fbeb12528a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b0f572f29b4a23285fbeb12528a1dd"/>
                    <pic:cNvPicPr>
                      <a:picLocks noChangeAspect="1"/>
                    </pic:cNvPicPr>
                  </pic:nvPicPr>
                  <pic:blipFill>
                    <a:blip r:embed="rId19"/>
                    <a:stretch>
                      <a:fillRect/>
                    </a:stretch>
                  </pic:blipFill>
                  <pic:spPr>
                    <a:xfrm rot="10800000">
                      <a:off x="0" y="0"/>
                      <a:ext cx="5681345" cy="7814310"/>
                    </a:xfrm>
                    <a:prstGeom prst="rect">
                      <a:avLst/>
                    </a:prstGeom>
                  </pic:spPr>
                </pic:pic>
              </a:graphicData>
            </a:graphic>
          </wp:inline>
        </w:drawing>
      </w:r>
    </w:p>
    <w:p>
      <w:pPr>
        <w:pStyle w:val="2"/>
        <w:ind w:left="0" w:leftChars="0" w:firstLine="0" w:firstLineChars="0"/>
        <w:jc w:val="both"/>
        <w:rPr>
          <w:rFonts w:hint="default" w:ascii="Times New Roman" w:hAnsi="Times New Roman" w:eastAsia="宋体" w:cs="Times New Roman"/>
          <w:color w:val="auto"/>
          <w:sz w:val="28"/>
          <w:szCs w:val="24"/>
          <w:lang w:val="en-US" w:eastAsia="zh-CN"/>
        </w:rPr>
      </w:pPr>
    </w:p>
    <w:p>
      <w:pPr>
        <w:pStyle w:val="2"/>
        <w:ind w:left="0" w:leftChars="0" w:firstLine="0" w:firstLineChars="0"/>
        <w:jc w:val="both"/>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color w:val="auto"/>
          <w:sz w:val="28"/>
          <w:szCs w:val="24"/>
          <w:lang w:val="en-US" w:eastAsia="zh-CN"/>
        </w:rPr>
        <w:t>附件3：万宏国际地下管线竣工证明</w:t>
      </w:r>
    </w:p>
    <w:p>
      <w:pPr>
        <w:pStyle w:val="2"/>
        <w:ind w:left="0" w:leftChars="0" w:firstLine="0" w:firstLineChars="0"/>
        <w:jc w:val="both"/>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color w:val="auto"/>
          <w:sz w:val="28"/>
          <w:szCs w:val="24"/>
          <w:lang w:val="en-US" w:eastAsia="zh-CN"/>
        </w:rPr>
        <w:drawing>
          <wp:inline distT="0" distB="0" distL="114300" distR="114300">
            <wp:extent cx="5681345" cy="7814310"/>
            <wp:effectExtent l="0" t="0" r="14605" b="15240"/>
            <wp:docPr id="31" name="图片 31" descr="11cefc8478e7f31d638092e3fe1d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1cefc8478e7f31d638092e3fe1d3ba"/>
                    <pic:cNvPicPr>
                      <a:picLocks noChangeAspect="1"/>
                    </pic:cNvPicPr>
                  </pic:nvPicPr>
                  <pic:blipFill>
                    <a:blip r:embed="rId20"/>
                    <a:stretch>
                      <a:fillRect/>
                    </a:stretch>
                  </pic:blipFill>
                  <pic:spPr>
                    <a:xfrm>
                      <a:off x="0" y="0"/>
                      <a:ext cx="5681345" cy="7814310"/>
                    </a:xfrm>
                    <a:prstGeom prst="rect">
                      <a:avLst/>
                    </a:prstGeom>
                  </pic:spPr>
                </pic:pic>
              </a:graphicData>
            </a:graphic>
          </wp:inline>
        </w:drawing>
      </w:r>
    </w:p>
    <w:p>
      <w:pPr>
        <w:pStyle w:val="2"/>
        <w:ind w:left="0" w:leftChars="0" w:firstLine="0" w:firstLineChars="0"/>
        <w:jc w:val="both"/>
        <w:rPr>
          <w:rFonts w:hint="default" w:ascii="Times New Roman" w:hAnsi="Times New Roman" w:eastAsia="宋体" w:cs="Times New Roman"/>
          <w:color w:val="auto"/>
          <w:sz w:val="28"/>
          <w:szCs w:val="24"/>
          <w:lang w:val="en-US" w:eastAsia="zh-CN"/>
        </w:rPr>
      </w:pPr>
    </w:p>
    <w:p>
      <w:pPr>
        <w:pStyle w:val="2"/>
        <w:ind w:left="0" w:leftChars="0" w:firstLine="0" w:firstLineChars="0"/>
        <w:jc w:val="both"/>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color w:val="auto"/>
          <w:sz w:val="28"/>
          <w:szCs w:val="24"/>
          <w:lang w:val="en-US" w:eastAsia="zh-CN"/>
        </w:rPr>
        <w:t>附件4：万宏国际工程竣工证明</w:t>
      </w:r>
    </w:p>
    <w:p>
      <w:pPr>
        <w:pStyle w:val="2"/>
        <w:ind w:left="0" w:leftChars="0" w:firstLine="0" w:firstLineChars="0"/>
        <w:jc w:val="both"/>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sz w:val="28"/>
          <w:lang w:val="en-US" w:eastAsia="zh-CN"/>
        </w:rPr>
        <w:drawing>
          <wp:inline distT="0" distB="0" distL="114300" distR="114300">
            <wp:extent cx="5678170" cy="7571105"/>
            <wp:effectExtent l="0" t="0" r="17780" b="10795"/>
            <wp:docPr id="36" name="图片 36" descr="cd9141efc6baafec7d4cdac2329c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d9141efc6baafec7d4cdac2329c3dc"/>
                    <pic:cNvPicPr>
                      <a:picLocks noChangeAspect="1"/>
                    </pic:cNvPicPr>
                  </pic:nvPicPr>
                  <pic:blipFill>
                    <a:blip r:embed="rId21"/>
                    <a:stretch>
                      <a:fillRect/>
                    </a:stretch>
                  </pic:blipFill>
                  <pic:spPr>
                    <a:xfrm>
                      <a:off x="0" y="0"/>
                      <a:ext cx="5678170" cy="7571105"/>
                    </a:xfrm>
                    <a:prstGeom prst="rect">
                      <a:avLst/>
                    </a:prstGeom>
                  </pic:spPr>
                </pic:pic>
              </a:graphicData>
            </a:graphic>
          </wp:inline>
        </w:drawing>
      </w:r>
    </w:p>
    <w:p>
      <w:pPr>
        <w:pStyle w:val="2"/>
        <w:ind w:left="0" w:leftChars="0" w:firstLine="0" w:firstLineChars="0"/>
        <w:jc w:val="both"/>
        <w:rPr>
          <w:rFonts w:hint="default" w:ascii="Times New Roman" w:hAnsi="Times New Roman" w:eastAsia="宋体" w:cs="Times New Roman"/>
          <w:sz w:val="28"/>
          <w:lang w:val="en-US" w:eastAsia="zh-CN"/>
        </w:rPr>
        <w:sectPr>
          <w:pgSz w:w="11906" w:h="16838"/>
          <w:pgMar w:top="1588" w:right="1474" w:bottom="1713" w:left="1474" w:header="851" w:footer="992" w:gutter="0"/>
          <w:cols w:space="720" w:num="1"/>
          <w:docGrid w:linePitch="312" w:charSpace="0"/>
        </w:sectPr>
      </w:pPr>
      <w:r>
        <w:rPr>
          <w:rFonts w:hint="default" w:ascii="Times New Roman" w:hAnsi="Times New Roman" w:eastAsia="宋体" w:cs="Times New Roman"/>
          <w:sz w:val="28"/>
          <w:lang w:val="en-US" w:eastAsia="zh-CN"/>
        </w:rPr>
        <w:drawing>
          <wp:inline distT="0" distB="0" distL="114300" distR="114300">
            <wp:extent cx="5678170" cy="7571105"/>
            <wp:effectExtent l="0" t="0" r="17780" b="10795"/>
            <wp:docPr id="37" name="图片 37" descr="0cbb38c73db61b40036d364e228b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cbb38c73db61b40036d364e228ba39"/>
                    <pic:cNvPicPr>
                      <a:picLocks noChangeAspect="1"/>
                    </pic:cNvPicPr>
                  </pic:nvPicPr>
                  <pic:blipFill>
                    <a:blip r:embed="rId22"/>
                    <a:stretch>
                      <a:fillRect/>
                    </a:stretch>
                  </pic:blipFill>
                  <pic:spPr>
                    <a:xfrm>
                      <a:off x="0" y="0"/>
                      <a:ext cx="5678170" cy="7571105"/>
                    </a:xfrm>
                    <a:prstGeom prst="rect">
                      <a:avLst/>
                    </a:prstGeom>
                  </pic:spPr>
                </pic:pic>
              </a:graphicData>
            </a:graphic>
          </wp:inline>
        </w:drawing>
      </w:r>
    </w:p>
    <w:p>
      <w:pPr>
        <w:pStyle w:val="2"/>
        <w:ind w:left="0" w:leftChars="0" w:firstLine="0" w:firstLineChars="0"/>
        <w:jc w:val="both"/>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color w:val="auto"/>
          <w:sz w:val="28"/>
          <w:szCs w:val="24"/>
          <w:lang w:val="en-US" w:eastAsia="zh-CN"/>
        </w:rPr>
        <w:t>附件5：检测报告</w:t>
      </w:r>
    </w:p>
    <w:p>
      <w:pPr>
        <w:pStyle w:val="2"/>
        <w:ind w:left="0" w:leftChars="0" w:firstLine="0" w:firstLineChars="0"/>
        <w:jc w:val="both"/>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color w:val="auto"/>
          <w:sz w:val="28"/>
          <w:szCs w:val="24"/>
          <w:lang w:val="en-US" w:eastAsia="zh-CN"/>
        </w:rPr>
        <w:drawing>
          <wp:inline distT="0" distB="0" distL="114300" distR="114300">
            <wp:extent cx="5681980" cy="7889240"/>
            <wp:effectExtent l="0" t="0" r="13970" b="16510"/>
            <wp:docPr id="69" name="图片 69" descr="KYJCJB20200108B福建万宏置业有限公司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KYJCJB20200108B福建万宏置业有限公司0000"/>
                    <pic:cNvPicPr>
                      <a:picLocks noChangeAspect="1"/>
                    </pic:cNvPicPr>
                  </pic:nvPicPr>
                  <pic:blipFill>
                    <a:blip r:embed="rId23"/>
                    <a:stretch>
                      <a:fillRect/>
                    </a:stretch>
                  </pic:blipFill>
                  <pic:spPr>
                    <a:xfrm>
                      <a:off x="0" y="0"/>
                      <a:ext cx="5681980" cy="7889240"/>
                    </a:xfrm>
                    <a:prstGeom prst="rect">
                      <a:avLst/>
                    </a:prstGeom>
                  </pic:spPr>
                </pic:pic>
              </a:graphicData>
            </a:graphic>
          </wp:inline>
        </w:drawing>
      </w:r>
    </w:p>
    <w:p>
      <w:pPr>
        <w:pStyle w:val="2"/>
        <w:ind w:left="0" w:leftChars="0" w:firstLine="0" w:firstLineChars="0"/>
        <w:jc w:val="both"/>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color w:val="auto"/>
          <w:sz w:val="28"/>
          <w:szCs w:val="24"/>
          <w:lang w:val="en-US" w:eastAsia="zh-CN"/>
        </w:rPr>
        <w:drawing>
          <wp:inline distT="0" distB="0" distL="114300" distR="114300">
            <wp:extent cx="5681980" cy="8031480"/>
            <wp:effectExtent l="0" t="0" r="13970" b="7620"/>
            <wp:docPr id="68" name="图片 68" descr="KYJCJB20200108B福建万宏置业有限公司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KYJCJB20200108B福建万宏置业有限公司0001"/>
                    <pic:cNvPicPr>
                      <a:picLocks noChangeAspect="1"/>
                    </pic:cNvPicPr>
                  </pic:nvPicPr>
                  <pic:blipFill>
                    <a:blip r:embed="rId24"/>
                    <a:stretch>
                      <a:fillRect/>
                    </a:stretch>
                  </pic:blipFill>
                  <pic:spPr>
                    <a:xfrm>
                      <a:off x="0" y="0"/>
                      <a:ext cx="5681980" cy="8031480"/>
                    </a:xfrm>
                    <a:prstGeom prst="rect">
                      <a:avLst/>
                    </a:prstGeom>
                  </pic:spPr>
                </pic:pic>
              </a:graphicData>
            </a:graphic>
          </wp:inline>
        </w:drawing>
      </w:r>
      <w:r>
        <w:rPr>
          <w:rFonts w:hint="default" w:ascii="Times New Roman" w:hAnsi="Times New Roman" w:eastAsia="宋体" w:cs="Times New Roman"/>
          <w:color w:val="auto"/>
          <w:sz w:val="28"/>
          <w:szCs w:val="24"/>
          <w:lang w:val="en-US" w:eastAsia="zh-CN"/>
        </w:rPr>
        <w:drawing>
          <wp:inline distT="0" distB="0" distL="114300" distR="114300">
            <wp:extent cx="5681980" cy="8031480"/>
            <wp:effectExtent l="0" t="0" r="13970" b="7620"/>
            <wp:docPr id="67" name="图片 67" descr="KYJCJB20200108B福建万宏置业有限公司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KYJCJB20200108B福建万宏置业有限公司0002"/>
                    <pic:cNvPicPr>
                      <a:picLocks noChangeAspect="1"/>
                    </pic:cNvPicPr>
                  </pic:nvPicPr>
                  <pic:blipFill>
                    <a:blip r:embed="rId25"/>
                    <a:stretch>
                      <a:fillRect/>
                    </a:stretch>
                  </pic:blipFill>
                  <pic:spPr>
                    <a:xfrm>
                      <a:off x="0" y="0"/>
                      <a:ext cx="5681980" cy="8031480"/>
                    </a:xfrm>
                    <a:prstGeom prst="rect">
                      <a:avLst/>
                    </a:prstGeom>
                  </pic:spPr>
                </pic:pic>
              </a:graphicData>
            </a:graphic>
          </wp:inline>
        </w:drawing>
      </w:r>
      <w:r>
        <w:rPr>
          <w:rFonts w:hint="default" w:ascii="Times New Roman" w:hAnsi="Times New Roman" w:eastAsia="宋体" w:cs="Times New Roman"/>
          <w:color w:val="auto"/>
          <w:sz w:val="28"/>
          <w:szCs w:val="24"/>
          <w:lang w:val="en-US" w:eastAsia="zh-CN"/>
        </w:rPr>
        <w:drawing>
          <wp:inline distT="0" distB="0" distL="114300" distR="114300">
            <wp:extent cx="5681980" cy="8031480"/>
            <wp:effectExtent l="0" t="0" r="13970" b="7620"/>
            <wp:docPr id="66" name="图片 66" descr="KYJCJB20200108B福建万宏置业有限公司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KYJCJB20200108B福建万宏置业有限公司0003"/>
                    <pic:cNvPicPr>
                      <a:picLocks noChangeAspect="1"/>
                    </pic:cNvPicPr>
                  </pic:nvPicPr>
                  <pic:blipFill>
                    <a:blip r:embed="rId26"/>
                    <a:stretch>
                      <a:fillRect/>
                    </a:stretch>
                  </pic:blipFill>
                  <pic:spPr>
                    <a:xfrm>
                      <a:off x="0" y="0"/>
                      <a:ext cx="5681980" cy="8031480"/>
                    </a:xfrm>
                    <a:prstGeom prst="rect">
                      <a:avLst/>
                    </a:prstGeom>
                  </pic:spPr>
                </pic:pic>
              </a:graphicData>
            </a:graphic>
          </wp:inline>
        </w:drawing>
      </w:r>
      <w:r>
        <w:rPr>
          <w:rFonts w:hint="default" w:ascii="Times New Roman" w:hAnsi="Times New Roman" w:eastAsia="宋体" w:cs="Times New Roman"/>
          <w:color w:val="auto"/>
          <w:sz w:val="28"/>
          <w:szCs w:val="24"/>
          <w:lang w:val="en-US" w:eastAsia="zh-CN"/>
        </w:rPr>
        <w:drawing>
          <wp:inline distT="0" distB="0" distL="114300" distR="114300">
            <wp:extent cx="5681980" cy="8031480"/>
            <wp:effectExtent l="0" t="0" r="13970" b="7620"/>
            <wp:docPr id="65" name="图片 65" descr="KYJCJB20200108B福建万宏置业有限公司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KYJCJB20200108B福建万宏置业有限公司0004"/>
                    <pic:cNvPicPr>
                      <a:picLocks noChangeAspect="1"/>
                    </pic:cNvPicPr>
                  </pic:nvPicPr>
                  <pic:blipFill>
                    <a:blip r:embed="rId27"/>
                    <a:stretch>
                      <a:fillRect/>
                    </a:stretch>
                  </pic:blipFill>
                  <pic:spPr>
                    <a:xfrm>
                      <a:off x="0" y="0"/>
                      <a:ext cx="5681980" cy="8031480"/>
                    </a:xfrm>
                    <a:prstGeom prst="rect">
                      <a:avLst/>
                    </a:prstGeom>
                  </pic:spPr>
                </pic:pic>
              </a:graphicData>
            </a:graphic>
          </wp:inline>
        </w:drawing>
      </w:r>
      <w:r>
        <w:rPr>
          <w:rFonts w:hint="default" w:ascii="Times New Roman" w:hAnsi="Times New Roman" w:eastAsia="宋体" w:cs="Times New Roman"/>
          <w:color w:val="auto"/>
          <w:sz w:val="28"/>
          <w:szCs w:val="24"/>
          <w:lang w:val="en-US" w:eastAsia="zh-CN"/>
        </w:rPr>
        <w:drawing>
          <wp:inline distT="0" distB="0" distL="114300" distR="114300">
            <wp:extent cx="5681980" cy="8031480"/>
            <wp:effectExtent l="0" t="0" r="13970" b="7620"/>
            <wp:docPr id="64" name="图片 64" descr="KYJCJB20200108B福建万宏置业有限公司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KYJCJB20200108B福建万宏置业有限公司0005"/>
                    <pic:cNvPicPr>
                      <a:picLocks noChangeAspect="1"/>
                    </pic:cNvPicPr>
                  </pic:nvPicPr>
                  <pic:blipFill>
                    <a:blip r:embed="rId28"/>
                    <a:stretch>
                      <a:fillRect/>
                    </a:stretch>
                  </pic:blipFill>
                  <pic:spPr>
                    <a:xfrm>
                      <a:off x="0" y="0"/>
                      <a:ext cx="5681980" cy="8031480"/>
                    </a:xfrm>
                    <a:prstGeom prst="rect">
                      <a:avLst/>
                    </a:prstGeom>
                  </pic:spPr>
                </pic:pic>
              </a:graphicData>
            </a:graphic>
          </wp:inline>
        </w:drawing>
      </w:r>
      <w:r>
        <w:rPr>
          <w:rFonts w:hint="default" w:ascii="Times New Roman" w:hAnsi="Times New Roman" w:eastAsia="宋体" w:cs="Times New Roman"/>
          <w:color w:val="auto"/>
          <w:sz w:val="28"/>
          <w:szCs w:val="24"/>
          <w:lang w:val="en-US" w:eastAsia="zh-CN"/>
        </w:rPr>
        <w:drawing>
          <wp:inline distT="0" distB="0" distL="114300" distR="114300">
            <wp:extent cx="5681980" cy="8031480"/>
            <wp:effectExtent l="0" t="0" r="13970" b="7620"/>
            <wp:docPr id="51" name="图片 51" descr="KYJCJB20200108B福建万宏置业有限公司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KYJCJB20200108B福建万宏置业有限公司0006"/>
                    <pic:cNvPicPr>
                      <a:picLocks noChangeAspect="1"/>
                    </pic:cNvPicPr>
                  </pic:nvPicPr>
                  <pic:blipFill>
                    <a:blip r:embed="rId29"/>
                    <a:stretch>
                      <a:fillRect/>
                    </a:stretch>
                  </pic:blipFill>
                  <pic:spPr>
                    <a:xfrm>
                      <a:off x="0" y="0"/>
                      <a:ext cx="5681980" cy="8031480"/>
                    </a:xfrm>
                    <a:prstGeom prst="rect">
                      <a:avLst/>
                    </a:prstGeom>
                  </pic:spPr>
                </pic:pic>
              </a:graphicData>
            </a:graphic>
          </wp:inline>
        </w:drawing>
      </w:r>
      <w:r>
        <w:rPr>
          <w:rFonts w:hint="default" w:ascii="Times New Roman" w:hAnsi="Times New Roman" w:eastAsia="宋体" w:cs="Times New Roman"/>
          <w:color w:val="auto"/>
          <w:sz w:val="28"/>
          <w:szCs w:val="24"/>
          <w:lang w:val="en-US" w:eastAsia="zh-CN"/>
        </w:rPr>
        <w:drawing>
          <wp:inline distT="0" distB="0" distL="114300" distR="114300">
            <wp:extent cx="5681980" cy="8031480"/>
            <wp:effectExtent l="0" t="0" r="13970" b="7620"/>
            <wp:docPr id="49" name="图片 49" descr="KYJCJB20200108B福建万宏置业有限公司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KYJCJB20200108B福建万宏置业有限公司0007"/>
                    <pic:cNvPicPr>
                      <a:picLocks noChangeAspect="1"/>
                    </pic:cNvPicPr>
                  </pic:nvPicPr>
                  <pic:blipFill>
                    <a:blip r:embed="rId30"/>
                    <a:stretch>
                      <a:fillRect/>
                    </a:stretch>
                  </pic:blipFill>
                  <pic:spPr>
                    <a:xfrm>
                      <a:off x="0" y="0"/>
                      <a:ext cx="5681980" cy="8031480"/>
                    </a:xfrm>
                    <a:prstGeom prst="rect">
                      <a:avLst/>
                    </a:prstGeom>
                  </pic:spPr>
                </pic:pic>
              </a:graphicData>
            </a:graphic>
          </wp:inline>
        </w:drawing>
      </w:r>
    </w:p>
    <w:p>
      <w:pPr>
        <w:pStyle w:val="2"/>
        <w:ind w:left="0" w:leftChars="0" w:firstLine="0" w:firstLineChars="0"/>
        <w:jc w:val="both"/>
        <w:rPr>
          <w:rFonts w:hint="default" w:ascii="Times New Roman" w:hAnsi="Times New Roman" w:eastAsia="宋体" w:cs="Times New Roman"/>
          <w:sz w:val="28"/>
          <w:lang w:val="en-US" w:eastAsia="zh-CN"/>
        </w:rPr>
      </w:pPr>
    </w:p>
    <w:sectPr>
      <w:pgSz w:w="11906" w:h="16838"/>
      <w:pgMar w:top="1588" w:right="1474" w:bottom="1713" w:left="147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afterLines="0"/>
      <w:ind w:right="360" w:firstLine="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afterLines="0"/>
      <w:ind w:right="360" w:firstLine="360"/>
      <w:jc w:val="cen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afterLines="0"/>
      <w:ind w:right="360" w:firstLine="360"/>
      <w:jc w:val="center"/>
      <w:rPr>
        <w:rFonts w:hint="eastAsia"/>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13"/>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afterLines="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13"/>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afterLines="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9D03BE"/>
    <w:multiLevelType w:val="singleLevel"/>
    <w:tmpl w:val="B19D03BE"/>
    <w:lvl w:ilvl="0" w:tentative="0">
      <w:start w:val="1"/>
      <w:numFmt w:val="decimal"/>
      <w:suff w:val="nothing"/>
      <w:lvlText w:val="%1、"/>
      <w:lvlJc w:val="left"/>
    </w:lvl>
  </w:abstractNum>
  <w:abstractNum w:abstractNumId="1">
    <w:nsid w:val="C781A2C1"/>
    <w:multiLevelType w:val="singleLevel"/>
    <w:tmpl w:val="C781A2C1"/>
    <w:lvl w:ilvl="0" w:tentative="0">
      <w:start w:val="1"/>
      <w:numFmt w:val="decimal"/>
      <w:suff w:val="nothing"/>
      <w:lvlText w:val="%1、"/>
      <w:lvlJc w:val="left"/>
    </w:lvl>
  </w:abstractNum>
  <w:abstractNum w:abstractNumId="2">
    <w:nsid w:val="FB5E1D55"/>
    <w:multiLevelType w:val="singleLevel"/>
    <w:tmpl w:val="FB5E1D55"/>
    <w:lvl w:ilvl="0" w:tentative="0">
      <w:start w:val="1"/>
      <w:numFmt w:val="decimal"/>
      <w:suff w:val="nothing"/>
      <w:lvlText w:val="%1、"/>
      <w:lvlJc w:val="left"/>
    </w:lvl>
  </w:abstractNum>
  <w:abstractNum w:abstractNumId="3">
    <w:nsid w:val="68804528"/>
    <w:multiLevelType w:val="singleLevel"/>
    <w:tmpl w:val="68804528"/>
    <w:lvl w:ilvl="0" w:tentative="0">
      <w:start w:val="1"/>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50C29"/>
    <w:rsid w:val="003046FF"/>
    <w:rsid w:val="00333893"/>
    <w:rsid w:val="003D63F6"/>
    <w:rsid w:val="007276CA"/>
    <w:rsid w:val="009D19F6"/>
    <w:rsid w:val="00A64FB7"/>
    <w:rsid w:val="00BE3AC6"/>
    <w:rsid w:val="00DC74A7"/>
    <w:rsid w:val="00F46D54"/>
    <w:rsid w:val="01074046"/>
    <w:rsid w:val="01087146"/>
    <w:rsid w:val="01320A89"/>
    <w:rsid w:val="013F4762"/>
    <w:rsid w:val="01555D36"/>
    <w:rsid w:val="0162669E"/>
    <w:rsid w:val="01731009"/>
    <w:rsid w:val="017C1861"/>
    <w:rsid w:val="01814DD7"/>
    <w:rsid w:val="019330E1"/>
    <w:rsid w:val="01B55669"/>
    <w:rsid w:val="01C77ACE"/>
    <w:rsid w:val="02117A13"/>
    <w:rsid w:val="02175600"/>
    <w:rsid w:val="02201996"/>
    <w:rsid w:val="02336432"/>
    <w:rsid w:val="023A0ACB"/>
    <w:rsid w:val="023F7854"/>
    <w:rsid w:val="02444CD5"/>
    <w:rsid w:val="024D3B57"/>
    <w:rsid w:val="02571FB0"/>
    <w:rsid w:val="0276779B"/>
    <w:rsid w:val="02847DB9"/>
    <w:rsid w:val="029C681D"/>
    <w:rsid w:val="02DB343C"/>
    <w:rsid w:val="02E318C8"/>
    <w:rsid w:val="02E75AF7"/>
    <w:rsid w:val="02E9438C"/>
    <w:rsid w:val="030339CF"/>
    <w:rsid w:val="03063938"/>
    <w:rsid w:val="03107520"/>
    <w:rsid w:val="031E29D7"/>
    <w:rsid w:val="032D73EC"/>
    <w:rsid w:val="033D1FC5"/>
    <w:rsid w:val="03483054"/>
    <w:rsid w:val="03665FE4"/>
    <w:rsid w:val="036D76E4"/>
    <w:rsid w:val="037263D9"/>
    <w:rsid w:val="038559E0"/>
    <w:rsid w:val="03A21089"/>
    <w:rsid w:val="03AE7610"/>
    <w:rsid w:val="03DF073B"/>
    <w:rsid w:val="041202D3"/>
    <w:rsid w:val="041B7AA1"/>
    <w:rsid w:val="043F724A"/>
    <w:rsid w:val="045D5E10"/>
    <w:rsid w:val="04883E48"/>
    <w:rsid w:val="04884804"/>
    <w:rsid w:val="049C7734"/>
    <w:rsid w:val="049F249A"/>
    <w:rsid w:val="04D3141D"/>
    <w:rsid w:val="05091489"/>
    <w:rsid w:val="05513968"/>
    <w:rsid w:val="056636DB"/>
    <w:rsid w:val="05681A75"/>
    <w:rsid w:val="056D0811"/>
    <w:rsid w:val="05A40B04"/>
    <w:rsid w:val="05AB6CBE"/>
    <w:rsid w:val="05BD097D"/>
    <w:rsid w:val="05C33333"/>
    <w:rsid w:val="05DD7822"/>
    <w:rsid w:val="05F33DE3"/>
    <w:rsid w:val="05FD2716"/>
    <w:rsid w:val="06023097"/>
    <w:rsid w:val="0604537E"/>
    <w:rsid w:val="06101C8C"/>
    <w:rsid w:val="064B7704"/>
    <w:rsid w:val="06575936"/>
    <w:rsid w:val="06602BB4"/>
    <w:rsid w:val="06637207"/>
    <w:rsid w:val="066C1959"/>
    <w:rsid w:val="067B719C"/>
    <w:rsid w:val="06807BE4"/>
    <w:rsid w:val="06820453"/>
    <w:rsid w:val="06A341A7"/>
    <w:rsid w:val="06B75333"/>
    <w:rsid w:val="06E86867"/>
    <w:rsid w:val="06FD211F"/>
    <w:rsid w:val="070159FE"/>
    <w:rsid w:val="071A4A25"/>
    <w:rsid w:val="071F425E"/>
    <w:rsid w:val="07386A5E"/>
    <w:rsid w:val="07545637"/>
    <w:rsid w:val="075D175E"/>
    <w:rsid w:val="0760459B"/>
    <w:rsid w:val="07787161"/>
    <w:rsid w:val="077A7B8A"/>
    <w:rsid w:val="07A028AF"/>
    <w:rsid w:val="07A40B28"/>
    <w:rsid w:val="07A502F4"/>
    <w:rsid w:val="07C90E80"/>
    <w:rsid w:val="07D22F1A"/>
    <w:rsid w:val="07D87287"/>
    <w:rsid w:val="07DC5FAA"/>
    <w:rsid w:val="07E509E1"/>
    <w:rsid w:val="07F0031C"/>
    <w:rsid w:val="082D6213"/>
    <w:rsid w:val="082E414A"/>
    <w:rsid w:val="0834513C"/>
    <w:rsid w:val="08483D46"/>
    <w:rsid w:val="08596130"/>
    <w:rsid w:val="08686183"/>
    <w:rsid w:val="086C4F68"/>
    <w:rsid w:val="08831B75"/>
    <w:rsid w:val="088D0831"/>
    <w:rsid w:val="08A623AF"/>
    <w:rsid w:val="08AC7940"/>
    <w:rsid w:val="08D36930"/>
    <w:rsid w:val="08E33990"/>
    <w:rsid w:val="08FB3880"/>
    <w:rsid w:val="0901439C"/>
    <w:rsid w:val="091468DD"/>
    <w:rsid w:val="093375BB"/>
    <w:rsid w:val="094F58AB"/>
    <w:rsid w:val="094F5C49"/>
    <w:rsid w:val="095A0746"/>
    <w:rsid w:val="09882276"/>
    <w:rsid w:val="098B7D00"/>
    <w:rsid w:val="09987EDA"/>
    <w:rsid w:val="09BF31F9"/>
    <w:rsid w:val="09C7288A"/>
    <w:rsid w:val="09CC00F6"/>
    <w:rsid w:val="09D32AA4"/>
    <w:rsid w:val="09D427C0"/>
    <w:rsid w:val="09DC4DF0"/>
    <w:rsid w:val="09F64B8F"/>
    <w:rsid w:val="0A207B1F"/>
    <w:rsid w:val="0A2E5D2E"/>
    <w:rsid w:val="0A5C6E0F"/>
    <w:rsid w:val="0A796CC5"/>
    <w:rsid w:val="0A7D181C"/>
    <w:rsid w:val="0A844B06"/>
    <w:rsid w:val="0A857D39"/>
    <w:rsid w:val="0A885898"/>
    <w:rsid w:val="0A903042"/>
    <w:rsid w:val="0AA01447"/>
    <w:rsid w:val="0ABF7418"/>
    <w:rsid w:val="0AD140C6"/>
    <w:rsid w:val="0AD36DC9"/>
    <w:rsid w:val="0AE1709D"/>
    <w:rsid w:val="0AEF1CA4"/>
    <w:rsid w:val="0AFC7A29"/>
    <w:rsid w:val="0B103B47"/>
    <w:rsid w:val="0B2D4768"/>
    <w:rsid w:val="0B3558A5"/>
    <w:rsid w:val="0B426D02"/>
    <w:rsid w:val="0B4F1AAF"/>
    <w:rsid w:val="0B505CD8"/>
    <w:rsid w:val="0B8A7168"/>
    <w:rsid w:val="0B99666A"/>
    <w:rsid w:val="0B997CAF"/>
    <w:rsid w:val="0B9E62C4"/>
    <w:rsid w:val="0BA51239"/>
    <w:rsid w:val="0BA645D0"/>
    <w:rsid w:val="0BC631B1"/>
    <w:rsid w:val="0BD45DB0"/>
    <w:rsid w:val="0C2B34D5"/>
    <w:rsid w:val="0C3D07BF"/>
    <w:rsid w:val="0C4613F7"/>
    <w:rsid w:val="0C5E192C"/>
    <w:rsid w:val="0C7505D5"/>
    <w:rsid w:val="0C7722F9"/>
    <w:rsid w:val="0C825A90"/>
    <w:rsid w:val="0C8B1CB3"/>
    <w:rsid w:val="0C8C7FCB"/>
    <w:rsid w:val="0C8F7B18"/>
    <w:rsid w:val="0CB030D0"/>
    <w:rsid w:val="0CCF5AA7"/>
    <w:rsid w:val="0CD42BF0"/>
    <w:rsid w:val="0CD574E2"/>
    <w:rsid w:val="0CD635DC"/>
    <w:rsid w:val="0D042796"/>
    <w:rsid w:val="0D446F88"/>
    <w:rsid w:val="0D6C0F92"/>
    <w:rsid w:val="0D862E26"/>
    <w:rsid w:val="0D871BC2"/>
    <w:rsid w:val="0D8F2357"/>
    <w:rsid w:val="0D9A621B"/>
    <w:rsid w:val="0DB11C19"/>
    <w:rsid w:val="0DCA2163"/>
    <w:rsid w:val="0DCC33D9"/>
    <w:rsid w:val="0DD07926"/>
    <w:rsid w:val="0DDB0847"/>
    <w:rsid w:val="0DDC7116"/>
    <w:rsid w:val="0DF3401C"/>
    <w:rsid w:val="0DF5249E"/>
    <w:rsid w:val="0E1A6B31"/>
    <w:rsid w:val="0E2A3D70"/>
    <w:rsid w:val="0E3A01FA"/>
    <w:rsid w:val="0E3C19C8"/>
    <w:rsid w:val="0E4410A5"/>
    <w:rsid w:val="0E4970D4"/>
    <w:rsid w:val="0E4B613E"/>
    <w:rsid w:val="0E543543"/>
    <w:rsid w:val="0E761B6C"/>
    <w:rsid w:val="0E773ABB"/>
    <w:rsid w:val="0E7F3F63"/>
    <w:rsid w:val="0E8807BD"/>
    <w:rsid w:val="0EAD5805"/>
    <w:rsid w:val="0EC1568B"/>
    <w:rsid w:val="0F0D7B3F"/>
    <w:rsid w:val="0F2E7F18"/>
    <w:rsid w:val="0F31112A"/>
    <w:rsid w:val="0F4328C8"/>
    <w:rsid w:val="0F500AB0"/>
    <w:rsid w:val="0F5D3222"/>
    <w:rsid w:val="0F5D59BD"/>
    <w:rsid w:val="0F6147A0"/>
    <w:rsid w:val="0F76004A"/>
    <w:rsid w:val="0F8F2578"/>
    <w:rsid w:val="0F945149"/>
    <w:rsid w:val="0FA96E6B"/>
    <w:rsid w:val="0FB6376E"/>
    <w:rsid w:val="0FBA4E83"/>
    <w:rsid w:val="0FBC73ED"/>
    <w:rsid w:val="0FC54EE6"/>
    <w:rsid w:val="0FD609C1"/>
    <w:rsid w:val="0FE2665E"/>
    <w:rsid w:val="0FF6328B"/>
    <w:rsid w:val="10052627"/>
    <w:rsid w:val="100C3E07"/>
    <w:rsid w:val="1017171F"/>
    <w:rsid w:val="10206FB0"/>
    <w:rsid w:val="103E4562"/>
    <w:rsid w:val="10404158"/>
    <w:rsid w:val="108A7C66"/>
    <w:rsid w:val="109A0CC1"/>
    <w:rsid w:val="10A44B24"/>
    <w:rsid w:val="10A565D2"/>
    <w:rsid w:val="10AF51E5"/>
    <w:rsid w:val="10BA6E1A"/>
    <w:rsid w:val="10C2430D"/>
    <w:rsid w:val="10C90ACF"/>
    <w:rsid w:val="10CA3BDC"/>
    <w:rsid w:val="10CF3E89"/>
    <w:rsid w:val="112003A1"/>
    <w:rsid w:val="1146686D"/>
    <w:rsid w:val="11565CBD"/>
    <w:rsid w:val="11706D7A"/>
    <w:rsid w:val="117307F9"/>
    <w:rsid w:val="11796DD7"/>
    <w:rsid w:val="118A79F7"/>
    <w:rsid w:val="11941056"/>
    <w:rsid w:val="119909C8"/>
    <w:rsid w:val="119B2E2E"/>
    <w:rsid w:val="11AB4549"/>
    <w:rsid w:val="11AE7D52"/>
    <w:rsid w:val="11B52839"/>
    <w:rsid w:val="11CA4CC1"/>
    <w:rsid w:val="11DD0499"/>
    <w:rsid w:val="12211262"/>
    <w:rsid w:val="122E55DD"/>
    <w:rsid w:val="12412EA7"/>
    <w:rsid w:val="126D039E"/>
    <w:rsid w:val="12AF2AF5"/>
    <w:rsid w:val="12C32643"/>
    <w:rsid w:val="12C752F2"/>
    <w:rsid w:val="12DA0E63"/>
    <w:rsid w:val="12DE4FDF"/>
    <w:rsid w:val="12F04D11"/>
    <w:rsid w:val="12F176F2"/>
    <w:rsid w:val="12F56A98"/>
    <w:rsid w:val="12F862BA"/>
    <w:rsid w:val="133935F6"/>
    <w:rsid w:val="13394607"/>
    <w:rsid w:val="134A6FA1"/>
    <w:rsid w:val="13636863"/>
    <w:rsid w:val="137148E6"/>
    <w:rsid w:val="139460E2"/>
    <w:rsid w:val="13A34909"/>
    <w:rsid w:val="13B26B58"/>
    <w:rsid w:val="13BF68B0"/>
    <w:rsid w:val="13C2059E"/>
    <w:rsid w:val="13CB2A15"/>
    <w:rsid w:val="13D34164"/>
    <w:rsid w:val="13E928B9"/>
    <w:rsid w:val="13EA53CB"/>
    <w:rsid w:val="14023E93"/>
    <w:rsid w:val="141603FF"/>
    <w:rsid w:val="142F4A58"/>
    <w:rsid w:val="14524FEA"/>
    <w:rsid w:val="145F55A0"/>
    <w:rsid w:val="146A2630"/>
    <w:rsid w:val="14874CB2"/>
    <w:rsid w:val="14B27947"/>
    <w:rsid w:val="14BE4E9D"/>
    <w:rsid w:val="14DD0CB2"/>
    <w:rsid w:val="14FC6299"/>
    <w:rsid w:val="15270A82"/>
    <w:rsid w:val="154926B6"/>
    <w:rsid w:val="15882251"/>
    <w:rsid w:val="158C79C7"/>
    <w:rsid w:val="15A27F8D"/>
    <w:rsid w:val="15BC1A66"/>
    <w:rsid w:val="15C20B7F"/>
    <w:rsid w:val="15C7162A"/>
    <w:rsid w:val="15D62F35"/>
    <w:rsid w:val="15E31513"/>
    <w:rsid w:val="15E33711"/>
    <w:rsid w:val="16094054"/>
    <w:rsid w:val="160B72AB"/>
    <w:rsid w:val="160F4D63"/>
    <w:rsid w:val="16214B8C"/>
    <w:rsid w:val="162504D3"/>
    <w:rsid w:val="163A71FB"/>
    <w:rsid w:val="164C3FF0"/>
    <w:rsid w:val="165E551D"/>
    <w:rsid w:val="16757DC4"/>
    <w:rsid w:val="16A77DCA"/>
    <w:rsid w:val="16AF43BD"/>
    <w:rsid w:val="16B34234"/>
    <w:rsid w:val="16D34240"/>
    <w:rsid w:val="16F76675"/>
    <w:rsid w:val="170764AD"/>
    <w:rsid w:val="1712743B"/>
    <w:rsid w:val="17146B43"/>
    <w:rsid w:val="17334AF3"/>
    <w:rsid w:val="1734260A"/>
    <w:rsid w:val="17373E74"/>
    <w:rsid w:val="17407BE4"/>
    <w:rsid w:val="1749489B"/>
    <w:rsid w:val="17566A11"/>
    <w:rsid w:val="17671511"/>
    <w:rsid w:val="176A1936"/>
    <w:rsid w:val="176D1612"/>
    <w:rsid w:val="176E29FA"/>
    <w:rsid w:val="178A3401"/>
    <w:rsid w:val="17A35554"/>
    <w:rsid w:val="17A804B8"/>
    <w:rsid w:val="17C95459"/>
    <w:rsid w:val="17F21008"/>
    <w:rsid w:val="17F75769"/>
    <w:rsid w:val="17F91DD3"/>
    <w:rsid w:val="17FF78E9"/>
    <w:rsid w:val="18082A99"/>
    <w:rsid w:val="18115A0E"/>
    <w:rsid w:val="182C22CC"/>
    <w:rsid w:val="182E1F2D"/>
    <w:rsid w:val="182F2F78"/>
    <w:rsid w:val="183C3E93"/>
    <w:rsid w:val="18413D8A"/>
    <w:rsid w:val="189268DB"/>
    <w:rsid w:val="189370B5"/>
    <w:rsid w:val="18C21A9E"/>
    <w:rsid w:val="18CC3E05"/>
    <w:rsid w:val="18CE0FAF"/>
    <w:rsid w:val="18ED2160"/>
    <w:rsid w:val="18EE3749"/>
    <w:rsid w:val="18F676BF"/>
    <w:rsid w:val="19150E17"/>
    <w:rsid w:val="19241126"/>
    <w:rsid w:val="195B1ABE"/>
    <w:rsid w:val="195D28C8"/>
    <w:rsid w:val="19664670"/>
    <w:rsid w:val="19716B5F"/>
    <w:rsid w:val="19747000"/>
    <w:rsid w:val="19761130"/>
    <w:rsid w:val="19944212"/>
    <w:rsid w:val="19AA00F1"/>
    <w:rsid w:val="19E26A19"/>
    <w:rsid w:val="19ED508F"/>
    <w:rsid w:val="19F51DAE"/>
    <w:rsid w:val="1A05381A"/>
    <w:rsid w:val="1A061BAE"/>
    <w:rsid w:val="1A3D459F"/>
    <w:rsid w:val="1A481648"/>
    <w:rsid w:val="1A493DA2"/>
    <w:rsid w:val="1A566B3C"/>
    <w:rsid w:val="1A7515F6"/>
    <w:rsid w:val="1A9A2DD4"/>
    <w:rsid w:val="1AA5105E"/>
    <w:rsid w:val="1ABC52F8"/>
    <w:rsid w:val="1AD67472"/>
    <w:rsid w:val="1AF77E4C"/>
    <w:rsid w:val="1B31066B"/>
    <w:rsid w:val="1B35192F"/>
    <w:rsid w:val="1B425636"/>
    <w:rsid w:val="1B5C685A"/>
    <w:rsid w:val="1B5F55F8"/>
    <w:rsid w:val="1B6400DD"/>
    <w:rsid w:val="1B6C3AA8"/>
    <w:rsid w:val="1B6C451D"/>
    <w:rsid w:val="1B6C67DE"/>
    <w:rsid w:val="1BAA7B74"/>
    <w:rsid w:val="1BB22F8B"/>
    <w:rsid w:val="1BB40836"/>
    <w:rsid w:val="1BCB7A49"/>
    <w:rsid w:val="1BD86F30"/>
    <w:rsid w:val="1BE524A7"/>
    <w:rsid w:val="1BEF5590"/>
    <w:rsid w:val="1BF91DDE"/>
    <w:rsid w:val="1C0C4E7B"/>
    <w:rsid w:val="1C0E6A48"/>
    <w:rsid w:val="1C170433"/>
    <w:rsid w:val="1C35225B"/>
    <w:rsid w:val="1C4A573D"/>
    <w:rsid w:val="1C6F7FE7"/>
    <w:rsid w:val="1CA6649C"/>
    <w:rsid w:val="1CBA5C7F"/>
    <w:rsid w:val="1CC51C68"/>
    <w:rsid w:val="1CCF0419"/>
    <w:rsid w:val="1CE03283"/>
    <w:rsid w:val="1CF85411"/>
    <w:rsid w:val="1D28123C"/>
    <w:rsid w:val="1D286A1B"/>
    <w:rsid w:val="1D3421D3"/>
    <w:rsid w:val="1D484C1A"/>
    <w:rsid w:val="1D575B87"/>
    <w:rsid w:val="1D6C7639"/>
    <w:rsid w:val="1D6D45BF"/>
    <w:rsid w:val="1D855AF8"/>
    <w:rsid w:val="1D890A47"/>
    <w:rsid w:val="1D8E61A0"/>
    <w:rsid w:val="1D964B50"/>
    <w:rsid w:val="1D992B27"/>
    <w:rsid w:val="1DA85724"/>
    <w:rsid w:val="1DAF6062"/>
    <w:rsid w:val="1DBF590D"/>
    <w:rsid w:val="1DC5555E"/>
    <w:rsid w:val="1DEE2BE4"/>
    <w:rsid w:val="1DF233E7"/>
    <w:rsid w:val="1E0A2CBC"/>
    <w:rsid w:val="1E392AA0"/>
    <w:rsid w:val="1E41460A"/>
    <w:rsid w:val="1E664AE8"/>
    <w:rsid w:val="1E66787F"/>
    <w:rsid w:val="1E7C434A"/>
    <w:rsid w:val="1E933284"/>
    <w:rsid w:val="1E992AE1"/>
    <w:rsid w:val="1EAB5F88"/>
    <w:rsid w:val="1EBD70F2"/>
    <w:rsid w:val="1ED30E1E"/>
    <w:rsid w:val="1EE0406D"/>
    <w:rsid w:val="1F087131"/>
    <w:rsid w:val="1F114A63"/>
    <w:rsid w:val="1F2F5F8E"/>
    <w:rsid w:val="1F42409C"/>
    <w:rsid w:val="1F6B2BC8"/>
    <w:rsid w:val="1F7F2C8C"/>
    <w:rsid w:val="1F924453"/>
    <w:rsid w:val="1FD7167B"/>
    <w:rsid w:val="1FDA610A"/>
    <w:rsid w:val="201A0721"/>
    <w:rsid w:val="201A75A0"/>
    <w:rsid w:val="202277DA"/>
    <w:rsid w:val="20455F75"/>
    <w:rsid w:val="20546F73"/>
    <w:rsid w:val="205B6B40"/>
    <w:rsid w:val="2064698A"/>
    <w:rsid w:val="20695EC3"/>
    <w:rsid w:val="206E1F4D"/>
    <w:rsid w:val="20862C79"/>
    <w:rsid w:val="208716B2"/>
    <w:rsid w:val="20B32243"/>
    <w:rsid w:val="20B74057"/>
    <w:rsid w:val="20D24E25"/>
    <w:rsid w:val="20F0628E"/>
    <w:rsid w:val="21053910"/>
    <w:rsid w:val="21150C66"/>
    <w:rsid w:val="211E31CB"/>
    <w:rsid w:val="21247C7E"/>
    <w:rsid w:val="213C54CA"/>
    <w:rsid w:val="21641421"/>
    <w:rsid w:val="218C54DC"/>
    <w:rsid w:val="218D3B2C"/>
    <w:rsid w:val="2190457D"/>
    <w:rsid w:val="2194300F"/>
    <w:rsid w:val="21A40A5F"/>
    <w:rsid w:val="21A870E7"/>
    <w:rsid w:val="21C11051"/>
    <w:rsid w:val="21C9474B"/>
    <w:rsid w:val="21CA181C"/>
    <w:rsid w:val="21D01696"/>
    <w:rsid w:val="21EB600E"/>
    <w:rsid w:val="220C246C"/>
    <w:rsid w:val="22242822"/>
    <w:rsid w:val="22311A43"/>
    <w:rsid w:val="22431EAF"/>
    <w:rsid w:val="224B6A17"/>
    <w:rsid w:val="225D3D01"/>
    <w:rsid w:val="2272644B"/>
    <w:rsid w:val="22730643"/>
    <w:rsid w:val="2276739F"/>
    <w:rsid w:val="228D1798"/>
    <w:rsid w:val="22945884"/>
    <w:rsid w:val="22BB322B"/>
    <w:rsid w:val="22BD7151"/>
    <w:rsid w:val="22EE1F90"/>
    <w:rsid w:val="22F2208A"/>
    <w:rsid w:val="22FE2784"/>
    <w:rsid w:val="23002037"/>
    <w:rsid w:val="230E24AC"/>
    <w:rsid w:val="23322038"/>
    <w:rsid w:val="233F5379"/>
    <w:rsid w:val="23542ADE"/>
    <w:rsid w:val="2368536F"/>
    <w:rsid w:val="2373040B"/>
    <w:rsid w:val="2381456E"/>
    <w:rsid w:val="23886124"/>
    <w:rsid w:val="239F3402"/>
    <w:rsid w:val="23C50F1D"/>
    <w:rsid w:val="23F35F5F"/>
    <w:rsid w:val="24267C58"/>
    <w:rsid w:val="24413E93"/>
    <w:rsid w:val="24424A6E"/>
    <w:rsid w:val="244E03E6"/>
    <w:rsid w:val="24535587"/>
    <w:rsid w:val="24565B3A"/>
    <w:rsid w:val="24754533"/>
    <w:rsid w:val="24A90873"/>
    <w:rsid w:val="24B81B41"/>
    <w:rsid w:val="24C45A46"/>
    <w:rsid w:val="24EA054D"/>
    <w:rsid w:val="24EE4DE2"/>
    <w:rsid w:val="24F072DB"/>
    <w:rsid w:val="251076B1"/>
    <w:rsid w:val="25433F14"/>
    <w:rsid w:val="254F3C66"/>
    <w:rsid w:val="25633F3D"/>
    <w:rsid w:val="256C056F"/>
    <w:rsid w:val="25923550"/>
    <w:rsid w:val="25956E98"/>
    <w:rsid w:val="259D3FBA"/>
    <w:rsid w:val="25A96929"/>
    <w:rsid w:val="25DC4D1F"/>
    <w:rsid w:val="25E312AC"/>
    <w:rsid w:val="25EB65E2"/>
    <w:rsid w:val="25F862B3"/>
    <w:rsid w:val="262D5689"/>
    <w:rsid w:val="266F5831"/>
    <w:rsid w:val="267758CC"/>
    <w:rsid w:val="268A2E91"/>
    <w:rsid w:val="268E6E1C"/>
    <w:rsid w:val="269173C1"/>
    <w:rsid w:val="26967D4F"/>
    <w:rsid w:val="269A7114"/>
    <w:rsid w:val="26B3580F"/>
    <w:rsid w:val="26B4679E"/>
    <w:rsid w:val="26E00AF2"/>
    <w:rsid w:val="26E35247"/>
    <w:rsid w:val="2713062B"/>
    <w:rsid w:val="27256622"/>
    <w:rsid w:val="272B516E"/>
    <w:rsid w:val="27410EC2"/>
    <w:rsid w:val="274A69E0"/>
    <w:rsid w:val="276175F4"/>
    <w:rsid w:val="276D0529"/>
    <w:rsid w:val="27933927"/>
    <w:rsid w:val="27992A4C"/>
    <w:rsid w:val="27A33E35"/>
    <w:rsid w:val="27A94296"/>
    <w:rsid w:val="27B60BEB"/>
    <w:rsid w:val="27BD0064"/>
    <w:rsid w:val="27C34DE1"/>
    <w:rsid w:val="27D8374E"/>
    <w:rsid w:val="27DA0F13"/>
    <w:rsid w:val="27EB437A"/>
    <w:rsid w:val="27F56315"/>
    <w:rsid w:val="28110A08"/>
    <w:rsid w:val="2828350A"/>
    <w:rsid w:val="28623C15"/>
    <w:rsid w:val="286E334A"/>
    <w:rsid w:val="287050B3"/>
    <w:rsid w:val="288F5571"/>
    <w:rsid w:val="28A052D3"/>
    <w:rsid w:val="28A06F4C"/>
    <w:rsid w:val="290254C7"/>
    <w:rsid w:val="29087A30"/>
    <w:rsid w:val="291B5205"/>
    <w:rsid w:val="292F6200"/>
    <w:rsid w:val="29331E5F"/>
    <w:rsid w:val="29334BDF"/>
    <w:rsid w:val="294C6C0B"/>
    <w:rsid w:val="29515B93"/>
    <w:rsid w:val="295676E3"/>
    <w:rsid w:val="297A56E5"/>
    <w:rsid w:val="29814635"/>
    <w:rsid w:val="29A76063"/>
    <w:rsid w:val="29B85251"/>
    <w:rsid w:val="29BA74BA"/>
    <w:rsid w:val="29F1767A"/>
    <w:rsid w:val="2A0019E0"/>
    <w:rsid w:val="2A072146"/>
    <w:rsid w:val="2A0F729D"/>
    <w:rsid w:val="2A1D74F2"/>
    <w:rsid w:val="2A2D7895"/>
    <w:rsid w:val="2A3F0385"/>
    <w:rsid w:val="2A444CBB"/>
    <w:rsid w:val="2A5670C9"/>
    <w:rsid w:val="2A5E0C02"/>
    <w:rsid w:val="2A685432"/>
    <w:rsid w:val="2A822840"/>
    <w:rsid w:val="2A985E6C"/>
    <w:rsid w:val="2AB56028"/>
    <w:rsid w:val="2ACE37B6"/>
    <w:rsid w:val="2AEF5470"/>
    <w:rsid w:val="2AF509B4"/>
    <w:rsid w:val="2AF86D11"/>
    <w:rsid w:val="2AFC44BE"/>
    <w:rsid w:val="2B394314"/>
    <w:rsid w:val="2B3B1E2D"/>
    <w:rsid w:val="2B3E5205"/>
    <w:rsid w:val="2B6C40D4"/>
    <w:rsid w:val="2B6E0D08"/>
    <w:rsid w:val="2B8F3B05"/>
    <w:rsid w:val="2B997A76"/>
    <w:rsid w:val="2B9E755E"/>
    <w:rsid w:val="2BB16E20"/>
    <w:rsid w:val="2BD31423"/>
    <w:rsid w:val="2BE06716"/>
    <w:rsid w:val="2BE96133"/>
    <w:rsid w:val="2C085772"/>
    <w:rsid w:val="2C233268"/>
    <w:rsid w:val="2C34202D"/>
    <w:rsid w:val="2C3D4A6C"/>
    <w:rsid w:val="2C474C25"/>
    <w:rsid w:val="2C703BB0"/>
    <w:rsid w:val="2C935F3D"/>
    <w:rsid w:val="2CA32DB0"/>
    <w:rsid w:val="2CAF7EB1"/>
    <w:rsid w:val="2CB8065D"/>
    <w:rsid w:val="2CBC5486"/>
    <w:rsid w:val="2CC97325"/>
    <w:rsid w:val="2CEA56B6"/>
    <w:rsid w:val="2CFE4B72"/>
    <w:rsid w:val="2D023C70"/>
    <w:rsid w:val="2D0F4A83"/>
    <w:rsid w:val="2D1D6D45"/>
    <w:rsid w:val="2D31698D"/>
    <w:rsid w:val="2D3367EB"/>
    <w:rsid w:val="2D5E5EA2"/>
    <w:rsid w:val="2D730FC1"/>
    <w:rsid w:val="2D8674BF"/>
    <w:rsid w:val="2D8874B6"/>
    <w:rsid w:val="2D8C76AE"/>
    <w:rsid w:val="2D956579"/>
    <w:rsid w:val="2D983348"/>
    <w:rsid w:val="2DA34493"/>
    <w:rsid w:val="2DAC2659"/>
    <w:rsid w:val="2DC168A1"/>
    <w:rsid w:val="2DC81E94"/>
    <w:rsid w:val="2DD37126"/>
    <w:rsid w:val="2DE32195"/>
    <w:rsid w:val="2DE96A14"/>
    <w:rsid w:val="2DF27D78"/>
    <w:rsid w:val="2E241E0A"/>
    <w:rsid w:val="2E347B0A"/>
    <w:rsid w:val="2E3C2E20"/>
    <w:rsid w:val="2E3D0A0C"/>
    <w:rsid w:val="2E3F3833"/>
    <w:rsid w:val="2E4162D4"/>
    <w:rsid w:val="2E633B8A"/>
    <w:rsid w:val="2E8A51A3"/>
    <w:rsid w:val="2E9457B5"/>
    <w:rsid w:val="2E9B28AA"/>
    <w:rsid w:val="2ECA0EEF"/>
    <w:rsid w:val="2ED02202"/>
    <w:rsid w:val="2EEC5878"/>
    <w:rsid w:val="2F131BDA"/>
    <w:rsid w:val="2F2626A7"/>
    <w:rsid w:val="2F277782"/>
    <w:rsid w:val="2F33425A"/>
    <w:rsid w:val="2F40795E"/>
    <w:rsid w:val="2F436A32"/>
    <w:rsid w:val="2F600A4D"/>
    <w:rsid w:val="2F7B24D1"/>
    <w:rsid w:val="2F83447A"/>
    <w:rsid w:val="2FBB48F5"/>
    <w:rsid w:val="2FC82F9D"/>
    <w:rsid w:val="2FD32DD7"/>
    <w:rsid w:val="2FD57D60"/>
    <w:rsid w:val="2FFA067A"/>
    <w:rsid w:val="2FFF4CDE"/>
    <w:rsid w:val="302A358E"/>
    <w:rsid w:val="30341738"/>
    <w:rsid w:val="306A75D7"/>
    <w:rsid w:val="307B141B"/>
    <w:rsid w:val="3082744B"/>
    <w:rsid w:val="308D6AFB"/>
    <w:rsid w:val="30944600"/>
    <w:rsid w:val="30D66A99"/>
    <w:rsid w:val="30DF79C5"/>
    <w:rsid w:val="30E74543"/>
    <w:rsid w:val="30F2736A"/>
    <w:rsid w:val="30F42C52"/>
    <w:rsid w:val="30F620F0"/>
    <w:rsid w:val="31360F60"/>
    <w:rsid w:val="31485711"/>
    <w:rsid w:val="315B7E50"/>
    <w:rsid w:val="316C0946"/>
    <w:rsid w:val="31952860"/>
    <w:rsid w:val="31BD7603"/>
    <w:rsid w:val="31C765B0"/>
    <w:rsid w:val="31D04EA3"/>
    <w:rsid w:val="31D856DB"/>
    <w:rsid w:val="31E248BF"/>
    <w:rsid w:val="3230537A"/>
    <w:rsid w:val="32474245"/>
    <w:rsid w:val="32552601"/>
    <w:rsid w:val="32575271"/>
    <w:rsid w:val="3272345D"/>
    <w:rsid w:val="32765E32"/>
    <w:rsid w:val="32B86B24"/>
    <w:rsid w:val="32D97036"/>
    <w:rsid w:val="32DF21C2"/>
    <w:rsid w:val="32E11FA2"/>
    <w:rsid w:val="32ED2891"/>
    <w:rsid w:val="32EE25C6"/>
    <w:rsid w:val="330208DF"/>
    <w:rsid w:val="33032076"/>
    <w:rsid w:val="330E0160"/>
    <w:rsid w:val="3312251F"/>
    <w:rsid w:val="33237F61"/>
    <w:rsid w:val="332467E5"/>
    <w:rsid w:val="33262E95"/>
    <w:rsid w:val="33337F0A"/>
    <w:rsid w:val="333E2CA0"/>
    <w:rsid w:val="335C0183"/>
    <w:rsid w:val="338E40D2"/>
    <w:rsid w:val="33BA2267"/>
    <w:rsid w:val="33BD0809"/>
    <w:rsid w:val="33DE7074"/>
    <w:rsid w:val="34082A81"/>
    <w:rsid w:val="34093853"/>
    <w:rsid w:val="34290276"/>
    <w:rsid w:val="343612DE"/>
    <w:rsid w:val="344B1B35"/>
    <w:rsid w:val="34557EB5"/>
    <w:rsid w:val="345C0111"/>
    <w:rsid w:val="3494067B"/>
    <w:rsid w:val="34A81304"/>
    <w:rsid w:val="34BC2A3C"/>
    <w:rsid w:val="34BC7739"/>
    <w:rsid w:val="34DD0BBB"/>
    <w:rsid w:val="34DE3166"/>
    <w:rsid w:val="34DE523E"/>
    <w:rsid w:val="34E061B4"/>
    <w:rsid w:val="34EA1DE0"/>
    <w:rsid w:val="352263E4"/>
    <w:rsid w:val="352B7666"/>
    <w:rsid w:val="353F0589"/>
    <w:rsid w:val="355A4DC7"/>
    <w:rsid w:val="35757D45"/>
    <w:rsid w:val="357D54E6"/>
    <w:rsid w:val="35A97360"/>
    <w:rsid w:val="35AE6707"/>
    <w:rsid w:val="35B1695D"/>
    <w:rsid w:val="35C027FD"/>
    <w:rsid w:val="35C15C9F"/>
    <w:rsid w:val="35CB5AA1"/>
    <w:rsid w:val="35F82C92"/>
    <w:rsid w:val="360F1C77"/>
    <w:rsid w:val="36375033"/>
    <w:rsid w:val="365432CA"/>
    <w:rsid w:val="365956B3"/>
    <w:rsid w:val="365A06D0"/>
    <w:rsid w:val="36627FCC"/>
    <w:rsid w:val="36636EEA"/>
    <w:rsid w:val="366D4287"/>
    <w:rsid w:val="366F7E88"/>
    <w:rsid w:val="36707B69"/>
    <w:rsid w:val="36884F23"/>
    <w:rsid w:val="36B074E7"/>
    <w:rsid w:val="36CB22A7"/>
    <w:rsid w:val="36DE1E96"/>
    <w:rsid w:val="36F375F8"/>
    <w:rsid w:val="3713351B"/>
    <w:rsid w:val="37177C76"/>
    <w:rsid w:val="37346A5E"/>
    <w:rsid w:val="37482AF0"/>
    <w:rsid w:val="374C5898"/>
    <w:rsid w:val="375A7D15"/>
    <w:rsid w:val="37712B91"/>
    <w:rsid w:val="37793122"/>
    <w:rsid w:val="377F3E72"/>
    <w:rsid w:val="378055B2"/>
    <w:rsid w:val="37B37D61"/>
    <w:rsid w:val="37C23051"/>
    <w:rsid w:val="382429AE"/>
    <w:rsid w:val="3838196A"/>
    <w:rsid w:val="383C2B89"/>
    <w:rsid w:val="383F60A4"/>
    <w:rsid w:val="38601FC4"/>
    <w:rsid w:val="386E6695"/>
    <w:rsid w:val="387E162E"/>
    <w:rsid w:val="388C6CF2"/>
    <w:rsid w:val="388D35F0"/>
    <w:rsid w:val="38914F5D"/>
    <w:rsid w:val="389A1BDF"/>
    <w:rsid w:val="38A54C47"/>
    <w:rsid w:val="38B13472"/>
    <w:rsid w:val="38B93642"/>
    <w:rsid w:val="38E12884"/>
    <w:rsid w:val="38FD5F09"/>
    <w:rsid w:val="3954537C"/>
    <w:rsid w:val="3980064E"/>
    <w:rsid w:val="399A58EA"/>
    <w:rsid w:val="399B2127"/>
    <w:rsid w:val="399F08F3"/>
    <w:rsid w:val="399F1332"/>
    <w:rsid w:val="39E46FAD"/>
    <w:rsid w:val="39F5297E"/>
    <w:rsid w:val="3A0258FE"/>
    <w:rsid w:val="3A3C78D6"/>
    <w:rsid w:val="3A3E3E9F"/>
    <w:rsid w:val="3A6B176D"/>
    <w:rsid w:val="3A6B710D"/>
    <w:rsid w:val="3A700D10"/>
    <w:rsid w:val="3A714443"/>
    <w:rsid w:val="3A84298B"/>
    <w:rsid w:val="3A997D1F"/>
    <w:rsid w:val="3AA26A5D"/>
    <w:rsid w:val="3AA844FF"/>
    <w:rsid w:val="3AAA4B7B"/>
    <w:rsid w:val="3AB1112B"/>
    <w:rsid w:val="3AC7743B"/>
    <w:rsid w:val="3ACE70B0"/>
    <w:rsid w:val="3AD7738D"/>
    <w:rsid w:val="3ADC39B3"/>
    <w:rsid w:val="3AFC0789"/>
    <w:rsid w:val="3B0A6176"/>
    <w:rsid w:val="3B1F0A32"/>
    <w:rsid w:val="3B235BCB"/>
    <w:rsid w:val="3B3F3F46"/>
    <w:rsid w:val="3B5211E7"/>
    <w:rsid w:val="3B6B6801"/>
    <w:rsid w:val="3B84771D"/>
    <w:rsid w:val="3BB513C6"/>
    <w:rsid w:val="3BE10919"/>
    <w:rsid w:val="3C0274FD"/>
    <w:rsid w:val="3C14548B"/>
    <w:rsid w:val="3C2F70BE"/>
    <w:rsid w:val="3C3073EF"/>
    <w:rsid w:val="3C320FE1"/>
    <w:rsid w:val="3C325493"/>
    <w:rsid w:val="3C3616AF"/>
    <w:rsid w:val="3C3B6C18"/>
    <w:rsid w:val="3C4E0450"/>
    <w:rsid w:val="3C545870"/>
    <w:rsid w:val="3C7B3B44"/>
    <w:rsid w:val="3CA45331"/>
    <w:rsid w:val="3CA57CFE"/>
    <w:rsid w:val="3CAE4CF8"/>
    <w:rsid w:val="3CAE7AEC"/>
    <w:rsid w:val="3CCC781D"/>
    <w:rsid w:val="3CCE7C2A"/>
    <w:rsid w:val="3CE77340"/>
    <w:rsid w:val="3CE90379"/>
    <w:rsid w:val="3CFF37D8"/>
    <w:rsid w:val="3D195B95"/>
    <w:rsid w:val="3D2329FD"/>
    <w:rsid w:val="3D29684E"/>
    <w:rsid w:val="3D39578E"/>
    <w:rsid w:val="3D614D99"/>
    <w:rsid w:val="3D76742B"/>
    <w:rsid w:val="3DA701B4"/>
    <w:rsid w:val="3DA83998"/>
    <w:rsid w:val="3DB80722"/>
    <w:rsid w:val="3DBD65F0"/>
    <w:rsid w:val="3DDA4533"/>
    <w:rsid w:val="3DE1146E"/>
    <w:rsid w:val="3DE12F32"/>
    <w:rsid w:val="3DEA3F0C"/>
    <w:rsid w:val="3DFF226A"/>
    <w:rsid w:val="3E025CF4"/>
    <w:rsid w:val="3E144F0D"/>
    <w:rsid w:val="3E1B7092"/>
    <w:rsid w:val="3E1F40C4"/>
    <w:rsid w:val="3E3D5661"/>
    <w:rsid w:val="3E73624E"/>
    <w:rsid w:val="3E960E27"/>
    <w:rsid w:val="3E985F61"/>
    <w:rsid w:val="3EAD3EF7"/>
    <w:rsid w:val="3F002AB5"/>
    <w:rsid w:val="3F1339B8"/>
    <w:rsid w:val="3F196A9F"/>
    <w:rsid w:val="3F1C125E"/>
    <w:rsid w:val="3F1C1904"/>
    <w:rsid w:val="3F240B0A"/>
    <w:rsid w:val="3F2653A3"/>
    <w:rsid w:val="3F284847"/>
    <w:rsid w:val="3F2E191C"/>
    <w:rsid w:val="3F3E4D72"/>
    <w:rsid w:val="3F487A21"/>
    <w:rsid w:val="3F4D2FAB"/>
    <w:rsid w:val="3F625DFB"/>
    <w:rsid w:val="3F6741A7"/>
    <w:rsid w:val="3F9A38BF"/>
    <w:rsid w:val="3F9C5D3D"/>
    <w:rsid w:val="3FA615BB"/>
    <w:rsid w:val="3FAE6978"/>
    <w:rsid w:val="3FB65F72"/>
    <w:rsid w:val="3FCF0135"/>
    <w:rsid w:val="3FE56688"/>
    <w:rsid w:val="3FEF543D"/>
    <w:rsid w:val="402F643A"/>
    <w:rsid w:val="40323DF2"/>
    <w:rsid w:val="4043244B"/>
    <w:rsid w:val="405A761E"/>
    <w:rsid w:val="407511A9"/>
    <w:rsid w:val="40B77ACC"/>
    <w:rsid w:val="40CE01B2"/>
    <w:rsid w:val="40D44447"/>
    <w:rsid w:val="40E3448C"/>
    <w:rsid w:val="40EE4695"/>
    <w:rsid w:val="40EF2E8F"/>
    <w:rsid w:val="40F42748"/>
    <w:rsid w:val="40FD344B"/>
    <w:rsid w:val="410B01A8"/>
    <w:rsid w:val="41252762"/>
    <w:rsid w:val="41503639"/>
    <w:rsid w:val="416A0599"/>
    <w:rsid w:val="41A5473E"/>
    <w:rsid w:val="41A6399F"/>
    <w:rsid w:val="41B938EB"/>
    <w:rsid w:val="41BD4A1A"/>
    <w:rsid w:val="41C76C5D"/>
    <w:rsid w:val="41CD41ED"/>
    <w:rsid w:val="41E64231"/>
    <w:rsid w:val="41ED4A55"/>
    <w:rsid w:val="42027EA1"/>
    <w:rsid w:val="420B1F27"/>
    <w:rsid w:val="42182D34"/>
    <w:rsid w:val="424259D6"/>
    <w:rsid w:val="424802AA"/>
    <w:rsid w:val="428A4FE0"/>
    <w:rsid w:val="428E2E24"/>
    <w:rsid w:val="429017FC"/>
    <w:rsid w:val="42B00F6D"/>
    <w:rsid w:val="42B10DBC"/>
    <w:rsid w:val="42BA1E7D"/>
    <w:rsid w:val="42C7289D"/>
    <w:rsid w:val="42C85A7F"/>
    <w:rsid w:val="42D54D2A"/>
    <w:rsid w:val="42D86242"/>
    <w:rsid w:val="42FE4918"/>
    <w:rsid w:val="430355D1"/>
    <w:rsid w:val="430931EF"/>
    <w:rsid w:val="432A5BD6"/>
    <w:rsid w:val="433B122E"/>
    <w:rsid w:val="43771E90"/>
    <w:rsid w:val="43821D42"/>
    <w:rsid w:val="43987604"/>
    <w:rsid w:val="43BB4049"/>
    <w:rsid w:val="43BB4C9D"/>
    <w:rsid w:val="43C93EA9"/>
    <w:rsid w:val="43E92280"/>
    <w:rsid w:val="43F421E8"/>
    <w:rsid w:val="43F707D8"/>
    <w:rsid w:val="4402298A"/>
    <w:rsid w:val="440C2EEA"/>
    <w:rsid w:val="441D2BDD"/>
    <w:rsid w:val="441D3234"/>
    <w:rsid w:val="4420224D"/>
    <w:rsid w:val="44243A14"/>
    <w:rsid w:val="44244565"/>
    <w:rsid w:val="44370325"/>
    <w:rsid w:val="445459C2"/>
    <w:rsid w:val="44617D0A"/>
    <w:rsid w:val="44682D18"/>
    <w:rsid w:val="446944E9"/>
    <w:rsid w:val="446F13F6"/>
    <w:rsid w:val="44723BA6"/>
    <w:rsid w:val="447C5BAA"/>
    <w:rsid w:val="4480015B"/>
    <w:rsid w:val="448174D9"/>
    <w:rsid w:val="4490304D"/>
    <w:rsid w:val="44A9401A"/>
    <w:rsid w:val="44AC3086"/>
    <w:rsid w:val="44BD076D"/>
    <w:rsid w:val="44C30184"/>
    <w:rsid w:val="44C93ABA"/>
    <w:rsid w:val="44DB36D1"/>
    <w:rsid w:val="44EB3F4C"/>
    <w:rsid w:val="44F75C85"/>
    <w:rsid w:val="44FD00BD"/>
    <w:rsid w:val="453C4611"/>
    <w:rsid w:val="4542601F"/>
    <w:rsid w:val="45471252"/>
    <w:rsid w:val="455B0F07"/>
    <w:rsid w:val="455B70CF"/>
    <w:rsid w:val="456125FB"/>
    <w:rsid w:val="45646D5D"/>
    <w:rsid w:val="456B16C4"/>
    <w:rsid w:val="45B304D2"/>
    <w:rsid w:val="45C972E7"/>
    <w:rsid w:val="45F146F2"/>
    <w:rsid w:val="45FB5F89"/>
    <w:rsid w:val="45FF1EFE"/>
    <w:rsid w:val="461058D9"/>
    <w:rsid w:val="46165015"/>
    <w:rsid w:val="46280A29"/>
    <w:rsid w:val="463B4251"/>
    <w:rsid w:val="468539A4"/>
    <w:rsid w:val="46C66179"/>
    <w:rsid w:val="46CB17EB"/>
    <w:rsid w:val="46DE668F"/>
    <w:rsid w:val="47014483"/>
    <w:rsid w:val="472F4367"/>
    <w:rsid w:val="473F3688"/>
    <w:rsid w:val="47522D9A"/>
    <w:rsid w:val="47763C9E"/>
    <w:rsid w:val="4778738B"/>
    <w:rsid w:val="47865720"/>
    <w:rsid w:val="478A29F0"/>
    <w:rsid w:val="478A3249"/>
    <w:rsid w:val="478C0ADF"/>
    <w:rsid w:val="4790736A"/>
    <w:rsid w:val="479E7121"/>
    <w:rsid w:val="47A80B00"/>
    <w:rsid w:val="47AD45F5"/>
    <w:rsid w:val="47E77EB6"/>
    <w:rsid w:val="47F20C0E"/>
    <w:rsid w:val="480515E9"/>
    <w:rsid w:val="48065890"/>
    <w:rsid w:val="48127D91"/>
    <w:rsid w:val="48273063"/>
    <w:rsid w:val="482A5811"/>
    <w:rsid w:val="484031A0"/>
    <w:rsid w:val="48474441"/>
    <w:rsid w:val="485A4946"/>
    <w:rsid w:val="487F196B"/>
    <w:rsid w:val="48843707"/>
    <w:rsid w:val="48921589"/>
    <w:rsid w:val="48B1483E"/>
    <w:rsid w:val="48F0103C"/>
    <w:rsid w:val="48F3402C"/>
    <w:rsid w:val="48F62D03"/>
    <w:rsid w:val="48F77F22"/>
    <w:rsid w:val="492A6E95"/>
    <w:rsid w:val="493A24D0"/>
    <w:rsid w:val="493C6687"/>
    <w:rsid w:val="4959124E"/>
    <w:rsid w:val="495D071E"/>
    <w:rsid w:val="49664EA6"/>
    <w:rsid w:val="496B669D"/>
    <w:rsid w:val="496E712A"/>
    <w:rsid w:val="49722A47"/>
    <w:rsid w:val="4973140F"/>
    <w:rsid w:val="49B35477"/>
    <w:rsid w:val="49B66EC5"/>
    <w:rsid w:val="49B7682F"/>
    <w:rsid w:val="49BE306A"/>
    <w:rsid w:val="49C071A1"/>
    <w:rsid w:val="49C161D8"/>
    <w:rsid w:val="49CC3F16"/>
    <w:rsid w:val="49D81F13"/>
    <w:rsid w:val="49E31136"/>
    <w:rsid w:val="4A335BDC"/>
    <w:rsid w:val="4A360F96"/>
    <w:rsid w:val="4A3A2422"/>
    <w:rsid w:val="4A3B40B2"/>
    <w:rsid w:val="4A573C9B"/>
    <w:rsid w:val="4A5B1925"/>
    <w:rsid w:val="4AB50E42"/>
    <w:rsid w:val="4ADC4024"/>
    <w:rsid w:val="4AE17C2C"/>
    <w:rsid w:val="4AEA24F0"/>
    <w:rsid w:val="4AF5404E"/>
    <w:rsid w:val="4AF83131"/>
    <w:rsid w:val="4B063561"/>
    <w:rsid w:val="4B6937DD"/>
    <w:rsid w:val="4B870600"/>
    <w:rsid w:val="4B8E0170"/>
    <w:rsid w:val="4BFB520C"/>
    <w:rsid w:val="4BFC046E"/>
    <w:rsid w:val="4BFC6236"/>
    <w:rsid w:val="4C073CF8"/>
    <w:rsid w:val="4C102782"/>
    <w:rsid w:val="4C4541E5"/>
    <w:rsid w:val="4C511CEE"/>
    <w:rsid w:val="4C5316E4"/>
    <w:rsid w:val="4C5C3EA5"/>
    <w:rsid w:val="4C631272"/>
    <w:rsid w:val="4C8556B7"/>
    <w:rsid w:val="4CA1222F"/>
    <w:rsid w:val="4CBF3179"/>
    <w:rsid w:val="4CDD168C"/>
    <w:rsid w:val="4CDE1580"/>
    <w:rsid w:val="4D0F7EAD"/>
    <w:rsid w:val="4D15514C"/>
    <w:rsid w:val="4D166BD9"/>
    <w:rsid w:val="4D1C782A"/>
    <w:rsid w:val="4D2237E5"/>
    <w:rsid w:val="4D2A6914"/>
    <w:rsid w:val="4D341316"/>
    <w:rsid w:val="4D4F3E2D"/>
    <w:rsid w:val="4D5077DD"/>
    <w:rsid w:val="4DA15110"/>
    <w:rsid w:val="4DB56ED5"/>
    <w:rsid w:val="4DB73A62"/>
    <w:rsid w:val="4E0C0C92"/>
    <w:rsid w:val="4E2241CB"/>
    <w:rsid w:val="4E251856"/>
    <w:rsid w:val="4E282639"/>
    <w:rsid w:val="4E317E06"/>
    <w:rsid w:val="4E416B1D"/>
    <w:rsid w:val="4E4B212D"/>
    <w:rsid w:val="4E5C563B"/>
    <w:rsid w:val="4E7E3962"/>
    <w:rsid w:val="4E9B7400"/>
    <w:rsid w:val="4EC30B2B"/>
    <w:rsid w:val="4EC30BAA"/>
    <w:rsid w:val="4EDB7799"/>
    <w:rsid w:val="4EE80F4D"/>
    <w:rsid w:val="4EF11B96"/>
    <w:rsid w:val="4EF5428A"/>
    <w:rsid w:val="4F18079A"/>
    <w:rsid w:val="4F1B620F"/>
    <w:rsid w:val="4F2717D1"/>
    <w:rsid w:val="4F5C12A0"/>
    <w:rsid w:val="4F7760C5"/>
    <w:rsid w:val="4F857B40"/>
    <w:rsid w:val="4F923128"/>
    <w:rsid w:val="4F9D7F82"/>
    <w:rsid w:val="4FB72501"/>
    <w:rsid w:val="4FDB2A14"/>
    <w:rsid w:val="4FE5216E"/>
    <w:rsid w:val="4FEE43C5"/>
    <w:rsid w:val="4FF50AA2"/>
    <w:rsid w:val="4FF55E04"/>
    <w:rsid w:val="4FFA1F79"/>
    <w:rsid w:val="4FFE6D44"/>
    <w:rsid w:val="501C3419"/>
    <w:rsid w:val="50334961"/>
    <w:rsid w:val="504A2ECF"/>
    <w:rsid w:val="50641F16"/>
    <w:rsid w:val="506D39BB"/>
    <w:rsid w:val="506F3338"/>
    <w:rsid w:val="509C1B97"/>
    <w:rsid w:val="50A40B8B"/>
    <w:rsid w:val="50AB2E49"/>
    <w:rsid w:val="50AC26DF"/>
    <w:rsid w:val="50AE19B8"/>
    <w:rsid w:val="50B00860"/>
    <w:rsid w:val="50C02457"/>
    <w:rsid w:val="50DA5D1D"/>
    <w:rsid w:val="50DF3746"/>
    <w:rsid w:val="51065AE3"/>
    <w:rsid w:val="5130697A"/>
    <w:rsid w:val="518D502C"/>
    <w:rsid w:val="51984E54"/>
    <w:rsid w:val="51AE3CED"/>
    <w:rsid w:val="51B97C10"/>
    <w:rsid w:val="51C606FB"/>
    <w:rsid w:val="51D854A9"/>
    <w:rsid w:val="51E30B6A"/>
    <w:rsid w:val="51EF1984"/>
    <w:rsid w:val="52103C34"/>
    <w:rsid w:val="52252690"/>
    <w:rsid w:val="52252BF9"/>
    <w:rsid w:val="52337F1C"/>
    <w:rsid w:val="5249689C"/>
    <w:rsid w:val="52525E85"/>
    <w:rsid w:val="52567E52"/>
    <w:rsid w:val="52802154"/>
    <w:rsid w:val="528B4CAA"/>
    <w:rsid w:val="52BF6099"/>
    <w:rsid w:val="52D935FA"/>
    <w:rsid w:val="52E84EAB"/>
    <w:rsid w:val="52FA4A88"/>
    <w:rsid w:val="530326EF"/>
    <w:rsid w:val="531955E1"/>
    <w:rsid w:val="53311999"/>
    <w:rsid w:val="533C45DC"/>
    <w:rsid w:val="534534A3"/>
    <w:rsid w:val="535B5FF9"/>
    <w:rsid w:val="536D21D8"/>
    <w:rsid w:val="53796342"/>
    <w:rsid w:val="538D79B9"/>
    <w:rsid w:val="53AA73C8"/>
    <w:rsid w:val="53C241C4"/>
    <w:rsid w:val="53C429B7"/>
    <w:rsid w:val="53EB712E"/>
    <w:rsid w:val="53F5628E"/>
    <w:rsid w:val="54183F4F"/>
    <w:rsid w:val="541C53CD"/>
    <w:rsid w:val="54241077"/>
    <w:rsid w:val="542E1E30"/>
    <w:rsid w:val="54391E2A"/>
    <w:rsid w:val="543F370E"/>
    <w:rsid w:val="54505D70"/>
    <w:rsid w:val="54812C87"/>
    <w:rsid w:val="548361DF"/>
    <w:rsid w:val="54957EB4"/>
    <w:rsid w:val="54AA7585"/>
    <w:rsid w:val="54BB6BD3"/>
    <w:rsid w:val="54C63A10"/>
    <w:rsid w:val="54F70681"/>
    <w:rsid w:val="55006CF5"/>
    <w:rsid w:val="55132040"/>
    <w:rsid w:val="553E6CB0"/>
    <w:rsid w:val="55437516"/>
    <w:rsid w:val="555A19E2"/>
    <w:rsid w:val="55757CBD"/>
    <w:rsid w:val="55957379"/>
    <w:rsid w:val="55966F76"/>
    <w:rsid w:val="55B52048"/>
    <w:rsid w:val="55BD174C"/>
    <w:rsid w:val="55C81BB8"/>
    <w:rsid w:val="55CE6A55"/>
    <w:rsid w:val="55E25788"/>
    <w:rsid w:val="55E417AE"/>
    <w:rsid w:val="55EF6F20"/>
    <w:rsid w:val="56047661"/>
    <w:rsid w:val="560D3F28"/>
    <w:rsid w:val="56105F34"/>
    <w:rsid w:val="561671B6"/>
    <w:rsid w:val="56231287"/>
    <w:rsid w:val="5629232E"/>
    <w:rsid w:val="563E0D12"/>
    <w:rsid w:val="56444033"/>
    <w:rsid w:val="56582EC5"/>
    <w:rsid w:val="565A1147"/>
    <w:rsid w:val="56635A76"/>
    <w:rsid w:val="56864983"/>
    <w:rsid w:val="568E7350"/>
    <w:rsid w:val="56A47248"/>
    <w:rsid w:val="56C44362"/>
    <w:rsid w:val="56CA4BBB"/>
    <w:rsid w:val="56DD6AC9"/>
    <w:rsid w:val="56E03E16"/>
    <w:rsid w:val="56ED3EE4"/>
    <w:rsid w:val="56F00B76"/>
    <w:rsid w:val="56F745A8"/>
    <w:rsid w:val="56FF6F78"/>
    <w:rsid w:val="571635A1"/>
    <w:rsid w:val="57352F0E"/>
    <w:rsid w:val="573B48F4"/>
    <w:rsid w:val="57415D44"/>
    <w:rsid w:val="57492FF5"/>
    <w:rsid w:val="574A5AA3"/>
    <w:rsid w:val="575C1A86"/>
    <w:rsid w:val="57767700"/>
    <w:rsid w:val="579B330C"/>
    <w:rsid w:val="57A37560"/>
    <w:rsid w:val="57A83858"/>
    <w:rsid w:val="57B4655E"/>
    <w:rsid w:val="57D903E2"/>
    <w:rsid w:val="57FB0019"/>
    <w:rsid w:val="581A5F5A"/>
    <w:rsid w:val="5822625D"/>
    <w:rsid w:val="58264612"/>
    <w:rsid w:val="58306021"/>
    <w:rsid w:val="5843317B"/>
    <w:rsid w:val="58507329"/>
    <w:rsid w:val="58821087"/>
    <w:rsid w:val="588F1C60"/>
    <w:rsid w:val="58B41748"/>
    <w:rsid w:val="58C425E3"/>
    <w:rsid w:val="58CF4446"/>
    <w:rsid w:val="58EE76E8"/>
    <w:rsid w:val="58FD2B7C"/>
    <w:rsid w:val="58FF0E69"/>
    <w:rsid w:val="59206ABC"/>
    <w:rsid w:val="59256ED3"/>
    <w:rsid w:val="59271FEC"/>
    <w:rsid w:val="59393975"/>
    <w:rsid w:val="5946051F"/>
    <w:rsid w:val="59692FF0"/>
    <w:rsid w:val="597645D2"/>
    <w:rsid w:val="59967306"/>
    <w:rsid w:val="599D37A3"/>
    <w:rsid w:val="59B76C32"/>
    <w:rsid w:val="59C67DEE"/>
    <w:rsid w:val="59C9568A"/>
    <w:rsid w:val="5A007E30"/>
    <w:rsid w:val="5A0343C9"/>
    <w:rsid w:val="5A08125A"/>
    <w:rsid w:val="5A160D56"/>
    <w:rsid w:val="5A2776EF"/>
    <w:rsid w:val="5A45521F"/>
    <w:rsid w:val="5A5051A4"/>
    <w:rsid w:val="5A6A69B7"/>
    <w:rsid w:val="5A6B504C"/>
    <w:rsid w:val="5A885001"/>
    <w:rsid w:val="5A8960C5"/>
    <w:rsid w:val="5A99743F"/>
    <w:rsid w:val="5A9E1877"/>
    <w:rsid w:val="5AA87A7C"/>
    <w:rsid w:val="5ADD4D11"/>
    <w:rsid w:val="5AE26CDD"/>
    <w:rsid w:val="5AEA0953"/>
    <w:rsid w:val="5AEC23B4"/>
    <w:rsid w:val="5B052047"/>
    <w:rsid w:val="5B32108D"/>
    <w:rsid w:val="5B3625B8"/>
    <w:rsid w:val="5B7339AD"/>
    <w:rsid w:val="5B813703"/>
    <w:rsid w:val="5B842A8E"/>
    <w:rsid w:val="5BA86394"/>
    <w:rsid w:val="5BB95B06"/>
    <w:rsid w:val="5BFA335F"/>
    <w:rsid w:val="5C322A65"/>
    <w:rsid w:val="5C595364"/>
    <w:rsid w:val="5C7B6810"/>
    <w:rsid w:val="5C7E1616"/>
    <w:rsid w:val="5C805B19"/>
    <w:rsid w:val="5C84485C"/>
    <w:rsid w:val="5C92145C"/>
    <w:rsid w:val="5C99030E"/>
    <w:rsid w:val="5C9A4295"/>
    <w:rsid w:val="5C9E3C9E"/>
    <w:rsid w:val="5CAD01E8"/>
    <w:rsid w:val="5CD40035"/>
    <w:rsid w:val="5CDF2B73"/>
    <w:rsid w:val="5D0449CF"/>
    <w:rsid w:val="5D3468C4"/>
    <w:rsid w:val="5D3B635D"/>
    <w:rsid w:val="5D434714"/>
    <w:rsid w:val="5D457A5D"/>
    <w:rsid w:val="5D4E3012"/>
    <w:rsid w:val="5D4E3C68"/>
    <w:rsid w:val="5D5F23EC"/>
    <w:rsid w:val="5D797731"/>
    <w:rsid w:val="5DA70253"/>
    <w:rsid w:val="5DCB09A1"/>
    <w:rsid w:val="5E3036B9"/>
    <w:rsid w:val="5E464496"/>
    <w:rsid w:val="5E61698D"/>
    <w:rsid w:val="5E7E60A9"/>
    <w:rsid w:val="5EDB00E0"/>
    <w:rsid w:val="5EDE5287"/>
    <w:rsid w:val="5EE61F49"/>
    <w:rsid w:val="5F1950E1"/>
    <w:rsid w:val="5F1E54FC"/>
    <w:rsid w:val="5F315AA9"/>
    <w:rsid w:val="5F445B2E"/>
    <w:rsid w:val="5F5F359D"/>
    <w:rsid w:val="5F714A57"/>
    <w:rsid w:val="5F715D02"/>
    <w:rsid w:val="5F7B5532"/>
    <w:rsid w:val="5F8C05DD"/>
    <w:rsid w:val="5F976056"/>
    <w:rsid w:val="5F9A541A"/>
    <w:rsid w:val="5FA96BB5"/>
    <w:rsid w:val="5FC26490"/>
    <w:rsid w:val="5FCC0F20"/>
    <w:rsid w:val="5FE3287C"/>
    <w:rsid w:val="5FEF66DA"/>
    <w:rsid w:val="5FF727EF"/>
    <w:rsid w:val="600A2620"/>
    <w:rsid w:val="600D7226"/>
    <w:rsid w:val="60177C95"/>
    <w:rsid w:val="601C03AD"/>
    <w:rsid w:val="60226395"/>
    <w:rsid w:val="602B20E7"/>
    <w:rsid w:val="60612816"/>
    <w:rsid w:val="60615277"/>
    <w:rsid w:val="60695999"/>
    <w:rsid w:val="60A023E2"/>
    <w:rsid w:val="60C86DFB"/>
    <w:rsid w:val="6100676D"/>
    <w:rsid w:val="610757A6"/>
    <w:rsid w:val="61224AC8"/>
    <w:rsid w:val="612F062B"/>
    <w:rsid w:val="61355264"/>
    <w:rsid w:val="613D1908"/>
    <w:rsid w:val="616B34F1"/>
    <w:rsid w:val="61B34920"/>
    <w:rsid w:val="61B8363E"/>
    <w:rsid w:val="61D35210"/>
    <w:rsid w:val="61E26A39"/>
    <w:rsid w:val="61F2346C"/>
    <w:rsid w:val="61F3564A"/>
    <w:rsid w:val="620455FF"/>
    <w:rsid w:val="62051E5E"/>
    <w:rsid w:val="62096860"/>
    <w:rsid w:val="620D5CAE"/>
    <w:rsid w:val="620F5FBB"/>
    <w:rsid w:val="621B439A"/>
    <w:rsid w:val="623C3E79"/>
    <w:rsid w:val="624B1DCB"/>
    <w:rsid w:val="624D3860"/>
    <w:rsid w:val="627E4AA6"/>
    <w:rsid w:val="62B775E1"/>
    <w:rsid w:val="62C20E6C"/>
    <w:rsid w:val="62DD303E"/>
    <w:rsid w:val="62EB1915"/>
    <w:rsid w:val="62F05B79"/>
    <w:rsid w:val="62F54D21"/>
    <w:rsid w:val="63145F63"/>
    <w:rsid w:val="63153B67"/>
    <w:rsid w:val="63191F45"/>
    <w:rsid w:val="6327117C"/>
    <w:rsid w:val="633270F6"/>
    <w:rsid w:val="633849E8"/>
    <w:rsid w:val="633F742D"/>
    <w:rsid w:val="63446387"/>
    <w:rsid w:val="6359534E"/>
    <w:rsid w:val="63945C4D"/>
    <w:rsid w:val="63AF6032"/>
    <w:rsid w:val="63BA23B1"/>
    <w:rsid w:val="63BE0768"/>
    <w:rsid w:val="63BE1EAF"/>
    <w:rsid w:val="63BE4877"/>
    <w:rsid w:val="63CC1E6C"/>
    <w:rsid w:val="63D42E6F"/>
    <w:rsid w:val="63DF01FA"/>
    <w:rsid w:val="63ED7418"/>
    <w:rsid w:val="63F55F2B"/>
    <w:rsid w:val="640E09AC"/>
    <w:rsid w:val="641423F7"/>
    <w:rsid w:val="6414705B"/>
    <w:rsid w:val="6418742C"/>
    <w:rsid w:val="64383811"/>
    <w:rsid w:val="64527EE2"/>
    <w:rsid w:val="6463704A"/>
    <w:rsid w:val="64746411"/>
    <w:rsid w:val="64773568"/>
    <w:rsid w:val="64784319"/>
    <w:rsid w:val="648A53C3"/>
    <w:rsid w:val="64B1582E"/>
    <w:rsid w:val="64C007C5"/>
    <w:rsid w:val="64C25AE1"/>
    <w:rsid w:val="64D8522D"/>
    <w:rsid w:val="64FF5554"/>
    <w:rsid w:val="64FF5B33"/>
    <w:rsid w:val="650C735C"/>
    <w:rsid w:val="651A528F"/>
    <w:rsid w:val="652210F7"/>
    <w:rsid w:val="65310787"/>
    <w:rsid w:val="654A0485"/>
    <w:rsid w:val="655679F7"/>
    <w:rsid w:val="655C0221"/>
    <w:rsid w:val="656B28FD"/>
    <w:rsid w:val="658B2995"/>
    <w:rsid w:val="65981B19"/>
    <w:rsid w:val="65F46A63"/>
    <w:rsid w:val="660367A1"/>
    <w:rsid w:val="66093FCB"/>
    <w:rsid w:val="660C1008"/>
    <w:rsid w:val="66130AAB"/>
    <w:rsid w:val="6645606B"/>
    <w:rsid w:val="664A5DB0"/>
    <w:rsid w:val="66704DB8"/>
    <w:rsid w:val="667430BA"/>
    <w:rsid w:val="66A04B27"/>
    <w:rsid w:val="66B327B0"/>
    <w:rsid w:val="66B57968"/>
    <w:rsid w:val="66B92610"/>
    <w:rsid w:val="66C65DA4"/>
    <w:rsid w:val="66CB27C0"/>
    <w:rsid w:val="66CD7497"/>
    <w:rsid w:val="66E67C21"/>
    <w:rsid w:val="67475E38"/>
    <w:rsid w:val="67537032"/>
    <w:rsid w:val="67656864"/>
    <w:rsid w:val="676B362B"/>
    <w:rsid w:val="676D60D7"/>
    <w:rsid w:val="67775F53"/>
    <w:rsid w:val="67873F03"/>
    <w:rsid w:val="67A2624C"/>
    <w:rsid w:val="67AE39D7"/>
    <w:rsid w:val="67B42723"/>
    <w:rsid w:val="67CD5390"/>
    <w:rsid w:val="67CF66A0"/>
    <w:rsid w:val="67F41BB8"/>
    <w:rsid w:val="67F60BB7"/>
    <w:rsid w:val="67FC1404"/>
    <w:rsid w:val="68022384"/>
    <w:rsid w:val="6806232A"/>
    <w:rsid w:val="680B049B"/>
    <w:rsid w:val="681329CD"/>
    <w:rsid w:val="682870E2"/>
    <w:rsid w:val="68514045"/>
    <w:rsid w:val="686E2CBE"/>
    <w:rsid w:val="68995A67"/>
    <w:rsid w:val="689E408E"/>
    <w:rsid w:val="68B77FEA"/>
    <w:rsid w:val="68CC65D0"/>
    <w:rsid w:val="68D8103F"/>
    <w:rsid w:val="68EE6D9D"/>
    <w:rsid w:val="68FB681C"/>
    <w:rsid w:val="69010FD4"/>
    <w:rsid w:val="6934460D"/>
    <w:rsid w:val="694E280C"/>
    <w:rsid w:val="69607A6C"/>
    <w:rsid w:val="697C6401"/>
    <w:rsid w:val="697D34E1"/>
    <w:rsid w:val="69865073"/>
    <w:rsid w:val="69A7696E"/>
    <w:rsid w:val="69AB6664"/>
    <w:rsid w:val="69C37CDD"/>
    <w:rsid w:val="69F27551"/>
    <w:rsid w:val="6A017D99"/>
    <w:rsid w:val="6A114CCF"/>
    <w:rsid w:val="6A195EB9"/>
    <w:rsid w:val="6A322912"/>
    <w:rsid w:val="6A483D54"/>
    <w:rsid w:val="6A4F0FE3"/>
    <w:rsid w:val="6A6E3D8A"/>
    <w:rsid w:val="6ABD2B8A"/>
    <w:rsid w:val="6AC122A3"/>
    <w:rsid w:val="6ACA5FB0"/>
    <w:rsid w:val="6ADE18EE"/>
    <w:rsid w:val="6ADF3594"/>
    <w:rsid w:val="6AE73F4D"/>
    <w:rsid w:val="6B0B1D32"/>
    <w:rsid w:val="6B0F0139"/>
    <w:rsid w:val="6B2142CE"/>
    <w:rsid w:val="6B2315D2"/>
    <w:rsid w:val="6B3B0707"/>
    <w:rsid w:val="6B471513"/>
    <w:rsid w:val="6B56083E"/>
    <w:rsid w:val="6B6B376C"/>
    <w:rsid w:val="6B7C613A"/>
    <w:rsid w:val="6B850C29"/>
    <w:rsid w:val="6B954CEF"/>
    <w:rsid w:val="6BA840D6"/>
    <w:rsid w:val="6BBE61C0"/>
    <w:rsid w:val="6C3707E3"/>
    <w:rsid w:val="6C6958BA"/>
    <w:rsid w:val="6C6E6BE1"/>
    <w:rsid w:val="6C860712"/>
    <w:rsid w:val="6C860B71"/>
    <w:rsid w:val="6C863AD3"/>
    <w:rsid w:val="6C8F0FB6"/>
    <w:rsid w:val="6C995B9F"/>
    <w:rsid w:val="6CB543F8"/>
    <w:rsid w:val="6CD3191A"/>
    <w:rsid w:val="6CE83B52"/>
    <w:rsid w:val="6D222178"/>
    <w:rsid w:val="6D535020"/>
    <w:rsid w:val="6D6B3F91"/>
    <w:rsid w:val="6D8901BC"/>
    <w:rsid w:val="6D9346AE"/>
    <w:rsid w:val="6DB96B12"/>
    <w:rsid w:val="6DC918BA"/>
    <w:rsid w:val="6DEE7E36"/>
    <w:rsid w:val="6E132BBF"/>
    <w:rsid w:val="6E156AB9"/>
    <w:rsid w:val="6E2A1D7A"/>
    <w:rsid w:val="6E347D9E"/>
    <w:rsid w:val="6E5140E8"/>
    <w:rsid w:val="6E523ECC"/>
    <w:rsid w:val="6E777980"/>
    <w:rsid w:val="6E8C433E"/>
    <w:rsid w:val="6E9C45CA"/>
    <w:rsid w:val="6EBF54EA"/>
    <w:rsid w:val="6ECB09B7"/>
    <w:rsid w:val="6ECC5B21"/>
    <w:rsid w:val="6EE62D04"/>
    <w:rsid w:val="6F2C025F"/>
    <w:rsid w:val="6F4308A1"/>
    <w:rsid w:val="6F5603AA"/>
    <w:rsid w:val="6F7B4F57"/>
    <w:rsid w:val="6F8173A5"/>
    <w:rsid w:val="6F98023F"/>
    <w:rsid w:val="6FC57B35"/>
    <w:rsid w:val="6FCB5618"/>
    <w:rsid w:val="6FF551F5"/>
    <w:rsid w:val="6FF901E4"/>
    <w:rsid w:val="703503A4"/>
    <w:rsid w:val="7036351C"/>
    <w:rsid w:val="703D6CEF"/>
    <w:rsid w:val="70412B93"/>
    <w:rsid w:val="70553D44"/>
    <w:rsid w:val="705D42D1"/>
    <w:rsid w:val="7062375F"/>
    <w:rsid w:val="70706378"/>
    <w:rsid w:val="708B2925"/>
    <w:rsid w:val="70C06B12"/>
    <w:rsid w:val="70CE5088"/>
    <w:rsid w:val="70D900D5"/>
    <w:rsid w:val="70EC759C"/>
    <w:rsid w:val="71215B48"/>
    <w:rsid w:val="712357B2"/>
    <w:rsid w:val="71362F91"/>
    <w:rsid w:val="713C7860"/>
    <w:rsid w:val="7158707F"/>
    <w:rsid w:val="715F7096"/>
    <w:rsid w:val="71634934"/>
    <w:rsid w:val="71723E36"/>
    <w:rsid w:val="71895007"/>
    <w:rsid w:val="718C2955"/>
    <w:rsid w:val="719C38AD"/>
    <w:rsid w:val="71BA2D03"/>
    <w:rsid w:val="71DD2475"/>
    <w:rsid w:val="71DD54E0"/>
    <w:rsid w:val="71E25D9B"/>
    <w:rsid w:val="71EA1849"/>
    <w:rsid w:val="71FC4024"/>
    <w:rsid w:val="72097561"/>
    <w:rsid w:val="724033F7"/>
    <w:rsid w:val="728175C3"/>
    <w:rsid w:val="728E5109"/>
    <w:rsid w:val="72AC288B"/>
    <w:rsid w:val="72C03295"/>
    <w:rsid w:val="72CE404E"/>
    <w:rsid w:val="72E47A77"/>
    <w:rsid w:val="72ED4786"/>
    <w:rsid w:val="72FD4B94"/>
    <w:rsid w:val="731822C5"/>
    <w:rsid w:val="73274383"/>
    <w:rsid w:val="73296A24"/>
    <w:rsid w:val="733E766B"/>
    <w:rsid w:val="736F044F"/>
    <w:rsid w:val="737410AC"/>
    <w:rsid w:val="73785F09"/>
    <w:rsid w:val="73AA5EEC"/>
    <w:rsid w:val="73BB09D2"/>
    <w:rsid w:val="73CB6CEC"/>
    <w:rsid w:val="73E27B00"/>
    <w:rsid w:val="73EF42A9"/>
    <w:rsid w:val="73F017DA"/>
    <w:rsid w:val="73F07D9A"/>
    <w:rsid w:val="74180BBF"/>
    <w:rsid w:val="74266B95"/>
    <w:rsid w:val="742E73BF"/>
    <w:rsid w:val="74451C3B"/>
    <w:rsid w:val="74566DBA"/>
    <w:rsid w:val="745D2796"/>
    <w:rsid w:val="7460605D"/>
    <w:rsid w:val="74645E2C"/>
    <w:rsid w:val="748D4D0B"/>
    <w:rsid w:val="748F2873"/>
    <w:rsid w:val="74C07362"/>
    <w:rsid w:val="74E0416E"/>
    <w:rsid w:val="74F16FF8"/>
    <w:rsid w:val="75032417"/>
    <w:rsid w:val="751B0EF7"/>
    <w:rsid w:val="75494DE0"/>
    <w:rsid w:val="754A58F7"/>
    <w:rsid w:val="75684184"/>
    <w:rsid w:val="75B30DD6"/>
    <w:rsid w:val="75C25231"/>
    <w:rsid w:val="75C876B4"/>
    <w:rsid w:val="75DF4381"/>
    <w:rsid w:val="75E5151B"/>
    <w:rsid w:val="75F16CCA"/>
    <w:rsid w:val="76054A17"/>
    <w:rsid w:val="76211AF6"/>
    <w:rsid w:val="76275FAE"/>
    <w:rsid w:val="762E39BD"/>
    <w:rsid w:val="763B3B81"/>
    <w:rsid w:val="76417696"/>
    <w:rsid w:val="76686B17"/>
    <w:rsid w:val="767F314F"/>
    <w:rsid w:val="76940D5A"/>
    <w:rsid w:val="769F638C"/>
    <w:rsid w:val="778B74B3"/>
    <w:rsid w:val="779C66D3"/>
    <w:rsid w:val="77A52D33"/>
    <w:rsid w:val="77B86D8D"/>
    <w:rsid w:val="77B95085"/>
    <w:rsid w:val="77C94A5C"/>
    <w:rsid w:val="77D51602"/>
    <w:rsid w:val="77F359E9"/>
    <w:rsid w:val="780E6346"/>
    <w:rsid w:val="7810476F"/>
    <w:rsid w:val="781B6277"/>
    <w:rsid w:val="782402F6"/>
    <w:rsid w:val="7826124C"/>
    <w:rsid w:val="782E0211"/>
    <w:rsid w:val="783E6B68"/>
    <w:rsid w:val="786660BB"/>
    <w:rsid w:val="787967A0"/>
    <w:rsid w:val="78AE55B9"/>
    <w:rsid w:val="78C33580"/>
    <w:rsid w:val="78CA3104"/>
    <w:rsid w:val="78DD724E"/>
    <w:rsid w:val="78E144CE"/>
    <w:rsid w:val="78FE7A25"/>
    <w:rsid w:val="790300B9"/>
    <w:rsid w:val="79392389"/>
    <w:rsid w:val="793F4619"/>
    <w:rsid w:val="79476D94"/>
    <w:rsid w:val="79533E74"/>
    <w:rsid w:val="79537BB7"/>
    <w:rsid w:val="796C1BE9"/>
    <w:rsid w:val="797C1FFB"/>
    <w:rsid w:val="798F727F"/>
    <w:rsid w:val="7998292C"/>
    <w:rsid w:val="79BC5130"/>
    <w:rsid w:val="79F075B1"/>
    <w:rsid w:val="79FB0C04"/>
    <w:rsid w:val="79FE5779"/>
    <w:rsid w:val="7A0144E6"/>
    <w:rsid w:val="7A082841"/>
    <w:rsid w:val="7A444B44"/>
    <w:rsid w:val="7A4568FC"/>
    <w:rsid w:val="7A6639DD"/>
    <w:rsid w:val="7A697475"/>
    <w:rsid w:val="7A6D79AA"/>
    <w:rsid w:val="7A7A62B5"/>
    <w:rsid w:val="7A8210D7"/>
    <w:rsid w:val="7A8E0619"/>
    <w:rsid w:val="7AD53C91"/>
    <w:rsid w:val="7AD91D8E"/>
    <w:rsid w:val="7ADD7099"/>
    <w:rsid w:val="7AE53FA2"/>
    <w:rsid w:val="7AE91E92"/>
    <w:rsid w:val="7AF37660"/>
    <w:rsid w:val="7B30530E"/>
    <w:rsid w:val="7B3846C8"/>
    <w:rsid w:val="7B693808"/>
    <w:rsid w:val="7B6D58DE"/>
    <w:rsid w:val="7B9E0E8A"/>
    <w:rsid w:val="7BAA71B9"/>
    <w:rsid w:val="7BAF7D8E"/>
    <w:rsid w:val="7BB10B07"/>
    <w:rsid w:val="7BF71F56"/>
    <w:rsid w:val="7BFB33F0"/>
    <w:rsid w:val="7C0467F7"/>
    <w:rsid w:val="7C1C2365"/>
    <w:rsid w:val="7C440D38"/>
    <w:rsid w:val="7C4A26E6"/>
    <w:rsid w:val="7C59098D"/>
    <w:rsid w:val="7C816640"/>
    <w:rsid w:val="7C907C58"/>
    <w:rsid w:val="7CA26400"/>
    <w:rsid w:val="7CA504FC"/>
    <w:rsid w:val="7CA92D22"/>
    <w:rsid w:val="7CB53CE5"/>
    <w:rsid w:val="7CB8747E"/>
    <w:rsid w:val="7CD91ED4"/>
    <w:rsid w:val="7CDA4FD7"/>
    <w:rsid w:val="7CE31486"/>
    <w:rsid w:val="7CE355AB"/>
    <w:rsid w:val="7CED4739"/>
    <w:rsid w:val="7CF81AC1"/>
    <w:rsid w:val="7D051E6D"/>
    <w:rsid w:val="7D130BAA"/>
    <w:rsid w:val="7D293E37"/>
    <w:rsid w:val="7D2C2A2C"/>
    <w:rsid w:val="7D3D1E08"/>
    <w:rsid w:val="7D3F49EB"/>
    <w:rsid w:val="7D491923"/>
    <w:rsid w:val="7D6C6BA9"/>
    <w:rsid w:val="7D8E409D"/>
    <w:rsid w:val="7DE065A7"/>
    <w:rsid w:val="7DF52D47"/>
    <w:rsid w:val="7DFA7B58"/>
    <w:rsid w:val="7E054DC3"/>
    <w:rsid w:val="7E0E2884"/>
    <w:rsid w:val="7E1813FE"/>
    <w:rsid w:val="7E2E5534"/>
    <w:rsid w:val="7E3139AB"/>
    <w:rsid w:val="7E631219"/>
    <w:rsid w:val="7E7517E8"/>
    <w:rsid w:val="7E8E203F"/>
    <w:rsid w:val="7EAC6DCF"/>
    <w:rsid w:val="7EBC1F58"/>
    <w:rsid w:val="7EC9106A"/>
    <w:rsid w:val="7EC957DD"/>
    <w:rsid w:val="7ED14DB6"/>
    <w:rsid w:val="7EDC3B37"/>
    <w:rsid w:val="7EE76915"/>
    <w:rsid w:val="7EF118F1"/>
    <w:rsid w:val="7F0B68A2"/>
    <w:rsid w:val="7F2039B5"/>
    <w:rsid w:val="7F4419AA"/>
    <w:rsid w:val="7F45214C"/>
    <w:rsid w:val="7F4E793F"/>
    <w:rsid w:val="7F617E8B"/>
    <w:rsid w:val="7F837A9D"/>
    <w:rsid w:val="7F977394"/>
    <w:rsid w:val="7FA450A9"/>
    <w:rsid w:val="7FA87001"/>
    <w:rsid w:val="7FDA4E4D"/>
    <w:rsid w:val="7FFC5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4">
    <w:name w:val="heading 1"/>
    <w:basedOn w:val="1"/>
    <w:next w:val="1"/>
    <w:qFormat/>
    <w:uiPriority w:val="0"/>
    <w:pPr>
      <w:keepNext/>
      <w:keepLines/>
      <w:spacing w:before="340" w:beforeLines="0" w:after="330" w:afterLines="0"/>
      <w:ind w:firstLine="0" w:firstLineChars="0"/>
      <w:outlineLvl w:val="0"/>
    </w:pPr>
    <w:rPr>
      <w:b/>
      <w:bCs/>
      <w:kern w:val="44"/>
      <w:szCs w:val="44"/>
    </w:rPr>
  </w:style>
  <w:style w:type="paragraph" w:styleId="5">
    <w:name w:val="heading 2"/>
    <w:basedOn w:val="1"/>
    <w:next w:val="1"/>
    <w:qFormat/>
    <w:uiPriority w:val="0"/>
    <w:pPr>
      <w:keepNext/>
      <w:keepLines/>
      <w:spacing w:before="260" w:beforeLines="0" w:after="260" w:afterLines="0" w:line="416" w:lineRule="auto"/>
      <w:outlineLvl w:val="1"/>
    </w:pPr>
    <w:rPr>
      <w:rFonts w:ascii="Arial" w:hAnsi="Arial" w:eastAsia="黑体"/>
      <w:b/>
      <w:bCs/>
      <w:kern w:val="2"/>
      <w:sz w:val="32"/>
      <w:szCs w:val="32"/>
      <w:lang w:val="en-US" w:eastAsia="zh-CN" w:bidi="ar-SA"/>
    </w:rPr>
  </w:style>
  <w:style w:type="paragraph" w:styleId="6">
    <w:name w:val="heading 3"/>
    <w:basedOn w:val="1"/>
    <w:next w:val="1"/>
    <w:qFormat/>
    <w:uiPriority w:val="0"/>
    <w:pPr>
      <w:keepNext/>
      <w:outlineLvl w:val="2"/>
    </w:pPr>
    <w:rPr>
      <w:sz w:val="44"/>
      <w:shd w:val="pct10" w:color="auto" w:fill="FFFFFF"/>
    </w:rPr>
  </w:style>
  <w:style w:type="character" w:default="1" w:styleId="21">
    <w:name w:val="Default Paragraph Font"/>
    <w:link w:val="22"/>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qFormat/>
    <w:uiPriority w:val="0"/>
    <w:pPr>
      <w:widowControl/>
      <w:jc w:val="center"/>
    </w:pPr>
    <w:rPr>
      <w:rFonts w:eastAsia="楷体_GB2312"/>
      <w:kern w:val="0"/>
      <w:sz w:val="24"/>
    </w:rPr>
  </w:style>
  <w:style w:type="paragraph" w:styleId="7">
    <w:name w:val="table of authorities"/>
    <w:basedOn w:val="1"/>
    <w:next w:val="1"/>
    <w:semiHidden/>
    <w:qFormat/>
    <w:uiPriority w:val="0"/>
    <w:pPr>
      <w:ind w:left="420" w:leftChars="200"/>
    </w:pPr>
  </w:style>
  <w:style w:type="paragraph" w:styleId="8">
    <w:name w:val="Normal Indent"/>
    <w:basedOn w:val="1"/>
    <w:qFormat/>
    <w:uiPriority w:val="0"/>
    <w:pPr>
      <w:widowControl w:val="0"/>
      <w:spacing w:before="120" w:beforeLines="50" w:line="360" w:lineRule="auto"/>
      <w:ind w:firstLine="560" w:firstLineChars="200"/>
      <w:jc w:val="both"/>
    </w:pPr>
    <w:rPr>
      <w:kern w:val="2"/>
      <w:sz w:val="28"/>
    </w:rPr>
  </w:style>
  <w:style w:type="paragraph" w:styleId="9">
    <w:name w:val="annotation text"/>
    <w:basedOn w:val="1"/>
    <w:qFormat/>
    <w:uiPriority w:val="0"/>
    <w:pPr>
      <w:jc w:val="left"/>
    </w:pPr>
  </w:style>
  <w:style w:type="paragraph" w:styleId="10">
    <w:name w:val="Body Text"/>
    <w:basedOn w:val="1"/>
    <w:qFormat/>
    <w:uiPriority w:val="0"/>
    <w:rPr>
      <w:rFonts w:eastAsia="楷体_GB2312"/>
      <w:spacing w:val="-8"/>
      <w:sz w:val="24"/>
    </w:rPr>
  </w:style>
  <w:style w:type="paragraph" w:styleId="11">
    <w:name w:val="Block Text"/>
    <w:basedOn w:val="1"/>
    <w:qFormat/>
    <w:uiPriority w:val="0"/>
    <w:pPr>
      <w:widowControl/>
      <w:spacing w:line="440" w:lineRule="exact"/>
      <w:ind w:left="113" w:right="113" w:firstLine="567"/>
    </w:pPr>
    <w:rPr>
      <w:rFonts w:ascii="仿宋_GB2312" w:eastAsia="仿宋_GB2312"/>
      <w:kern w:val="0"/>
      <w:sz w:val="28"/>
      <w:szCs w:val="20"/>
    </w:rPr>
  </w:style>
  <w:style w:type="paragraph" w:styleId="12">
    <w:name w:val="Plain Text"/>
    <w:basedOn w:val="1"/>
    <w:unhideWhenUsed/>
    <w:qFormat/>
    <w:uiPriority w:val="99"/>
    <w:rPr>
      <w:rFonts w:ascii="宋体" w:hAnsi="Courier New"/>
      <w:kern w:val="0"/>
      <w:sz w:val="20"/>
      <w:szCs w:val="21"/>
    </w:rPr>
  </w:style>
  <w:style w:type="paragraph" w:styleId="13">
    <w:name w:val="footer"/>
    <w:basedOn w:val="1"/>
    <w:qFormat/>
    <w:uiPriority w:val="0"/>
    <w:pPr>
      <w:tabs>
        <w:tab w:val="center" w:pos="4153"/>
        <w:tab w:val="right" w:pos="8306"/>
      </w:tabs>
    </w:pPr>
    <w:rPr>
      <w:rFonts w:ascii="Tahoma" w:hAnsi="Tahoma"/>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List"/>
    <w:basedOn w:val="1"/>
    <w:qFormat/>
    <w:uiPriority w:val="0"/>
    <w:pPr>
      <w:ind w:left="200" w:hanging="200" w:hangingChars="200"/>
    </w:p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Body Text First Indent"/>
    <w:basedOn w:val="10"/>
    <w:qFormat/>
    <w:uiPriority w:val="0"/>
    <w:pPr>
      <w:spacing w:line="240" w:lineRule="auto"/>
      <w:ind w:firstLine="420" w:firstLineChars="100"/>
    </w:pPr>
    <w:rPr>
      <w:sz w:val="18"/>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 Char Char Char Char Char2 Char Char Char Char"/>
    <w:basedOn w:val="1"/>
    <w:link w:val="21"/>
    <w:qFormat/>
    <w:uiPriority w:val="0"/>
    <w:pPr>
      <w:spacing w:line="360" w:lineRule="auto"/>
      <w:ind w:firstLine="200" w:firstLineChars="200"/>
    </w:pPr>
  </w:style>
  <w:style w:type="character" w:styleId="23">
    <w:name w:val="page number"/>
    <w:basedOn w:val="21"/>
    <w:qFormat/>
    <w:uiPriority w:val="0"/>
  </w:style>
  <w:style w:type="character" w:styleId="24">
    <w:name w:val="Emphasis"/>
    <w:basedOn w:val="21"/>
    <w:qFormat/>
    <w:uiPriority w:val="0"/>
    <w:rPr>
      <w:i/>
    </w:rPr>
  </w:style>
  <w:style w:type="character" w:styleId="25">
    <w:name w:val="annotation reference"/>
    <w:semiHidden/>
    <w:qFormat/>
    <w:uiPriority w:val="0"/>
    <w:rPr>
      <w:sz w:val="21"/>
      <w:szCs w:val="21"/>
    </w:rPr>
  </w:style>
  <w:style w:type="paragraph" w:customStyle="1" w:styleId="26">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27">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28">
    <w:name w:val="谢—正文"/>
    <w:basedOn w:val="1"/>
    <w:qFormat/>
    <w:uiPriority w:val="0"/>
    <w:pPr>
      <w:spacing w:line="500" w:lineRule="exact"/>
      <w:ind w:firstLine="200" w:firstLineChars="200"/>
    </w:pPr>
    <w:rPr>
      <w:rFonts w:eastAsia="楷体_GB2312"/>
      <w:sz w:val="28"/>
    </w:rPr>
  </w:style>
  <w:style w:type="paragraph" w:customStyle="1" w:styleId="29">
    <w:name w:val="p0"/>
    <w:basedOn w:val="1"/>
    <w:qFormat/>
    <w:uiPriority w:val="0"/>
    <w:pPr>
      <w:widowControl/>
      <w:spacing w:line="365" w:lineRule="atLeast"/>
      <w:ind w:left="1"/>
      <w:textAlignment w:val="bottom"/>
    </w:pPr>
    <w:rPr>
      <w:kern w:val="0"/>
      <w:sz w:val="20"/>
      <w:szCs w:val="20"/>
    </w:rPr>
  </w:style>
  <w:style w:type="paragraph" w:customStyle="1" w:styleId="30">
    <w:name w:val="表格1"/>
    <w:basedOn w:val="12"/>
    <w:next w:val="1"/>
    <w:qFormat/>
    <w:uiPriority w:val="0"/>
  </w:style>
  <w:style w:type="paragraph" w:customStyle="1" w:styleId="31">
    <w:name w:val="0正文"/>
    <w:basedOn w:val="1"/>
    <w:semiHidden/>
    <w:qFormat/>
    <w:uiPriority w:val="99"/>
    <w:pPr>
      <w:spacing w:line="360" w:lineRule="auto"/>
      <w:ind w:firstLine="720" w:firstLineChars="200"/>
      <w:jc w:val="left"/>
    </w:pPr>
    <w:rPr>
      <w:kern w:val="0"/>
      <w:sz w:val="24"/>
      <w:szCs w:val="24"/>
    </w:rPr>
  </w:style>
  <w:style w:type="paragraph" w:customStyle="1" w:styleId="32">
    <w:name w:val="表内容123"/>
    <w:basedOn w:val="1"/>
    <w:qFormat/>
    <w:uiPriority w:val="0"/>
    <w:pPr>
      <w:widowControl/>
      <w:pBdr>
        <w:top w:val="none" w:color="auto" w:sz="0" w:space="1"/>
        <w:left w:val="none" w:color="auto" w:sz="0" w:space="4"/>
        <w:bottom w:val="none" w:color="auto" w:sz="0" w:space="1"/>
        <w:right w:val="none" w:color="auto" w:sz="0" w:space="4"/>
      </w:pBdr>
      <w:spacing w:line="340" w:lineRule="exact"/>
      <w:ind w:firstLine="0" w:firstLineChars="0"/>
      <w:jc w:val="center"/>
    </w:pPr>
    <w:rPr>
      <w:rFonts w:ascii="Times New Roman" w:hAnsi="Times New Roman"/>
      <w:kern w:val="0"/>
      <w:sz w:val="21"/>
    </w:rPr>
  </w:style>
  <w:style w:type="paragraph" w:customStyle="1" w:styleId="33">
    <w:name w:val="样式4"/>
    <w:basedOn w:val="10"/>
    <w:qFormat/>
    <w:uiPriority w:val="0"/>
    <w:pPr>
      <w:widowControl w:val="0"/>
      <w:spacing w:line="360" w:lineRule="auto"/>
      <w:ind w:right="-120" w:rightChars="-50" w:firstLine="600" w:firstLineChars="250"/>
      <w:jc w:val="both"/>
    </w:pPr>
    <w:rPr>
      <w:rFonts w:hAnsi="宋体" w:eastAsia="宋体"/>
      <w:snapToGrid w:val="0"/>
      <w:spacing w:val="0"/>
      <w:kern w:val="2"/>
      <w:szCs w:val="24"/>
    </w:rPr>
  </w:style>
  <w:style w:type="paragraph" w:customStyle="1" w:styleId="34">
    <w:name w:val="样式1"/>
    <w:basedOn w:val="1"/>
    <w:qFormat/>
    <w:uiPriority w:val="0"/>
    <w:pPr>
      <w:jc w:val="center"/>
    </w:pPr>
    <w:rPr>
      <w:sz w:val="21"/>
      <w:szCs w:val="21"/>
    </w:rPr>
  </w:style>
  <w:style w:type="paragraph" w:customStyle="1" w:styleId="35">
    <w:name w:val="图图正文"/>
    <w:basedOn w:val="1"/>
    <w:qFormat/>
    <w:uiPriority w:val="0"/>
    <w:pPr>
      <w:widowControl w:val="0"/>
      <w:spacing w:line="360" w:lineRule="auto"/>
      <w:ind w:firstLine="200" w:firstLineChars="200"/>
      <w:jc w:val="both"/>
    </w:pPr>
    <w:rPr>
      <w:kern w:val="2"/>
      <w:sz w:val="24"/>
      <w:szCs w:val="24"/>
    </w:rPr>
  </w:style>
  <w:style w:type="paragraph" w:customStyle="1" w:styleId="36">
    <w:name w:val="啊啊正文"/>
    <w:basedOn w:val="1"/>
    <w:qFormat/>
    <w:uiPriority w:val="0"/>
    <w:pPr>
      <w:autoSpaceDE w:val="0"/>
      <w:autoSpaceDN w:val="0"/>
      <w:adjustRightInd w:val="0"/>
      <w:spacing w:line="360" w:lineRule="auto"/>
      <w:ind w:firstLine="200" w:firstLineChars="200"/>
    </w:pPr>
    <w:rPr>
      <w:rFonts w:cs="仿宋_GB2312"/>
      <w:sz w:val="24"/>
      <w:szCs w:val="28"/>
      <w:lang w:val="zh-CN"/>
    </w:rPr>
  </w:style>
  <w:style w:type="paragraph" w:customStyle="1" w:styleId="37">
    <w:name w:val="样式 首行缩进:  2 字符1"/>
    <w:basedOn w:val="1"/>
    <w:qFormat/>
    <w:uiPriority w:val="0"/>
    <w:pPr>
      <w:adjustRightInd w:val="0"/>
      <w:snapToGrid w:val="0"/>
      <w:spacing w:line="360" w:lineRule="auto"/>
      <w:ind w:firstLine="480" w:firstLineChars="200"/>
    </w:pPr>
    <w:rPr>
      <w:rFonts w:cs="宋体"/>
      <w:szCs w:val="20"/>
    </w:rPr>
  </w:style>
  <w:style w:type="paragraph" w:customStyle="1" w:styleId="38">
    <w:name w:val="宗兴正文"/>
    <w:basedOn w:val="1"/>
    <w:qFormat/>
    <w:uiPriority w:val="0"/>
    <w:pPr>
      <w:adjustRightInd w:val="0"/>
      <w:snapToGrid w:val="0"/>
      <w:spacing w:line="240" w:lineRule="auto"/>
      <w:ind w:firstLine="200"/>
      <w:jc w:val="both"/>
    </w:pPr>
    <w:rPr>
      <w:rFonts w:ascii="宋体" w:hAnsi="宋体"/>
      <w:spacing w:val="2"/>
      <w:sz w:val="21"/>
    </w:rPr>
  </w:style>
  <w:style w:type="paragraph" w:customStyle="1" w:styleId="39">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标题3"/>
    <w:basedOn w:val="7"/>
    <w:next w:val="6"/>
    <w:qFormat/>
    <w:uiPriority w:val="0"/>
    <w:pPr>
      <w:ind w:left="0" w:leftChars="0"/>
      <w:jc w:val="both"/>
    </w:pPr>
    <w:rPr>
      <w:rFonts w:ascii="宋体" w:hAnsi="宋体"/>
      <w:b/>
      <w:bCs/>
      <w:szCs w:val="24"/>
    </w:rPr>
  </w:style>
  <w:style w:type="paragraph" w:customStyle="1" w:styleId="42">
    <w:name w:val="标题2"/>
    <w:basedOn w:val="7"/>
    <w:qFormat/>
    <w:uiPriority w:val="0"/>
    <w:pPr>
      <w:spacing w:before="156" w:beforeLines="50" w:after="156" w:afterLines="50"/>
      <w:ind w:left="0" w:leftChars="0" w:firstLine="0" w:firstLineChars="0"/>
      <w:jc w:val="both"/>
    </w:pPr>
    <w:rPr>
      <w:rFonts w:ascii="宋体" w:hAnsi="宋体"/>
      <w:b/>
      <w:sz w:val="28"/>
      <w:szCs w:val="28"/>
    </w:rPr>
  </w:style>
  <w:style w:type="paragraph" w:customStyle="1" w:styleId="43">
    <w:name w:val="啊啊表格内容"/>
    <w:basedOn w:val="1"/>
    <w:qFormat/>
    <w:uiPriority w:val="0"/>
    <w:pPr>
      <w:autoSpaceDE w:val="0"/>
      <w:autoSpaceDN w:val="0"/>
      <w:adjustRightInd w:val="0"/>
      <w:spacing w:line="340" w:lineRule="exact"/>
    </w:pPr>
    <w:rPr>
      <w:rFonts w:ascii="宋体" w:hAnsi="宋体" w:cs="仿宋_GB2312"/>
      <w:szCs w:val="28"/>
      <w:lang w:val="zh-CN"/>
    </w:rPr>
  </w:style>
  <w:style w:type="paragraph" w:customStyle="1" w:styleId="44">
    <w:name w:val="正文表格"/>
    <w:basedOn w:val="1"/>
    <w:qFormat/>
    <w:uiPriority w:val="0"/>
    <w:pPr>
      <w:adjustRightInd w:val="0"/>
      <w:snapToGrid w:val="0"/>
      <w:jc w:val="center"/>
    </w:pPr>
    <w:rPr>
      <w:rFonts w:eastAsia="楷体_GB2312"/>
      <w:bCs/>
      <w:sz w:val="24"/>
      <w:szCs w:val="20"/>
    </w:rPr>
  </w:style>
  <w:style w:type="paragraph" w:customStyle="1" w:styleId="45">
    <w:name w:val="Table Paragraph"/>
    <w:basedOn w:val="1"/>
    <w:qFormat/>
    <w:uiPriority w:val="0"/>
    <w:pPr>
      <w:jc w:val="left"/>
    </w:pPr>
    <w:rPr>
      <w:rFonts w:ascii="Calibri" w:hAnsi="Calibri"/>
      <w:kern w:val="0"/>
      <w:sz w:val="22"/>
      <w:szCs w:val="22"/>
      <w:lang w:eastAsia="en-US"/>
    </w:rPr>
  </w:style>
  <w:style w:type="paragraph" w:customStyle="1" w:styleId="46">
    <w:name w:val="样式2"/>
    <w:basedOn w:val="1"/>
    <w:qFormat/>
    <w:uiPriority w:val="0"/>
    <w:pPr>
      <w:ind w:firstLine="964" w:firstLineChars="400"/>
    </w:pPr>
    <w:rPr>
      <w:rFonts w:ascii="黑体" w:eastAsia="黑体"/>
      <w:b/>
      <w:bCs/>
      <w:sz w:val="24"/>
    </w:rPr>
  </w:style>
  <w:style w:type="paragraph" w:customStyle="1" w:styleId="47">
    <w:name w:val="表"/>
    <w:basedOn w:val="16"/>
    <w:qFormat/>
    <w:uiPriority w:val="0"/>
    <w:pPr>
      <w:keepNext/>
      <w:keepLines/>
      <w:spacing w:before="60" w:beforeLines="0" w:after="60" w:afterLines="0" w:line="240" w:lineRule="exact"/>
      <w:ind w:left="0" w:firstLine="0" w:firstLineChars="0"/>
      <w:jc w:val="center"/>
    </w:pPr>
  </w:style>
  <w:style w:type="character" w:customStyle="1" w:styleId="48">
    <w:name w:val="font31"/>
    <w:qFormat/>
    <w:uiPriority w:val="0"/>
    <w:rPr>
      <w:rFonts w:hint="eastAsia" w:ascii="宋体" w:hAnsi="宋体" w:eastAsia="宋体" w:cs="宋体"/>
      <w:color w:val="000000"/>
      <w:sz w:val="22"/>
      <w:szCs w:val="22"/>
      <w:u w:val="none"/>
    </w:rPr>
  </w:style>
  <w:style w:type="paragraph" w:customStyle="1" w:styleId="49">
    <w:name w:val="123正文"/>
    <w:basedOn w:val="1"/>
    <w:link w:val="50"/>
    <w:qFormat/>
    <w:uiPriority w:val="0"/>
    <w:pPr>
      <w:snapToGrid w:val="0"/>
      <w:spacing w:line="360" w:lineRule="auto"/>
      <w:ind w:firstLine="480" w:firstLineChars="200"/>
    </w:pPr>
    <w:rPr>
      <w:color w:val="0000FF"/>
      <w:sz w:val="24"/>
      <w:lang w:val="zh-CN"/>
    </w:rPr>
  </w:style>
  <w:style w:type="character" w:customStyle="1" w:styleId="50">
    <w:name w:val="123正文 Char"/>
    <w:link w:val="49"/>
    <w:qFormat/>
    <w:uiPriority w:val="0"/>
    <w:rPr>
      <w:color w:val="0000FF"/>
      <w:sz w:val="24"/>
      <w:lang w:val="zh-CN"/>
    </w:rPr>
  </w:style>
  <w:style w:type="paragraph" w:customStyle="1" w:styleId="51">
    <w:name w:val="1.1."/>
    <w:basedOn w:val="5"/>
    <w:qFormat/>
    <w:uiPriority w:val="0"/>
    <w:pPr>
      <w:numPr>
        <w:ilvl w:val="0"/>
        <w:numId w:val="0"/>
      </w:numPr>
      <w:spacing w:before="120" w:beforeLines="50" w:after="120" w:afterLines="50" w:line="360" w:lineRule="auto"/>
    </w:pPr>
    <w:rPr>
      <w:color w:val="0000FF"/>
      <w:sz w:val="28"/>
      <w:szCs w:val="28"/>
    </w:rPr>
  </w:style>
  <w:style w:type="paragraph" w:customStyle="1" w:styleId="52">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54">
    <w:name w:val="正文 New New New New"/>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42</Pages>
  <Words>10895</Words>
  <Characters>13107</Characters>
  <Lines>0</Lines>
  <Paragraphs>0</Paragraphs>
  <TotalTime>41</TotalTime>
  <ScaleCrop>false</ScaleCrop>
  <LinksUpToDate>false</LinksUpToDate>
  <CharactersWithSpaces>13504</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2018-06-07T06:22:00Z</dcterms:created>
  <dc:creator>sM</dc:creator>
  <cp:lastModifiedBy>阿三</cp:lastModifiedBy>
  <cp:lastPrinted>2020-03-20T01:19:44Z</cp:lastPrinted>
  <dcterms:modified xsi:type="dcterms:W3CDTF">2020-03-20T01:50:31Z</dcterms:modified>
  <dc:title>年扩建5000万个纸质品项目竣工环境保护验收监测报告表</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